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174625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53"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spacing w:after="0" w:line="51"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W</w:t>
      </w:r>
      <w:r>
        <w:rPr>
          <w:rFonts w:ascii="Arial" w:cs="Arial" w:eastAsia="Arial" w:hAnsi="Arial"/>
          <w:sz w:val="22"/>
          <w:szCs w:val="22"/>
          <w:b w:val="1"/>
          <w:bCs w:val="1"/>
          <w:u w:val="single" w:color="auto"/>
          <w:color w:val="auto"/>
        </w:rPr>
        <w:t>ASHINGTON, D.C. 205</w:t>
      </w:r>
      <w:r>
        <w:rPr>
          <w:rFonts w:ascii="Arial" w:cs="Arial" w:eastAsia="Arial" w:hAnsi="Arial"/>
          <w:sz w:val="22"/>
          <w:szCs w:val="22"/>
          <w:b w:val="1"/>
          <w:bCs w:val="1"/>
          <w:color w:val="auto"/>
        </w:rPr>
        <w:t>49</w:t>
      </w:r>
    </w:p>
    <w:p>
      <w:pPr>
        <w:spacing w:after="0" w:line="204"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41275</wp:posOffset>
            </wp:positionV>
            <wp:extent cx="142303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06"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CURRENT REPORT</w:t>
      </w:r>
    </w:p>
    <w:p>
      <w:pPr>
        <w:spacing w:after="0" w:line="179"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Pursuant to Section 13 or 15(d) of the Securities Exchange Act of 1934</w:t>
      </w:r>
    </w:p>
    <w:p>
      <w:pPr>
        <w:spacing w:after="0" w:line="134"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color w:val="auto"/>
        </w:rPr>
        <w:t>Date of Report (Date of earliest event reported): November 17, 2021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85725</wp:posOffset>
            </wp:positionV>
            <wp:extent cx="142303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93"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DESTINATION XL GROUP, INC.</w:t>
      </w:r>
    </w:p>
    <w:p>
      <w:pPr>
        <w:spacing w:after="0" w:line="125" w:lineRule="exact"/>
        <w:rPr>
          <w:sz w:val="24"/>
          <w:szCs w:val="24"/>
          <w:color w:val="auto"/>
        </w:rPr>
      </w:pPr>
    </w:p>
    <w:p>
      <w:pPr>
        <w:jc w:val="center"/>
        <w:spacing w:after="0"/>
        <w:rPr>
          <w:sz w:val="20"/>
          <w:szCs w:val="20"/>
          <w:color w:val="auto"/>
        </w:rPr>
      </w:pPr>
      <w:r>
        <w:rPr>
          <w:rFonts w:ascii="Arial" w:cs="Arial" w:eastAsia="Arial" w:hAnsi="Arial"/>
          <w:sz w:val="13"/>
          <w:szCs w:val="13"/>
          <w:b w:val="1"/>
          <w:bCs w:val="1"/>
          <w:color w:val="auto"/>
        </w:rPr>
        <w:t>(Exact name of Registrant as Specified in Its Charter)</w:t>
      </w:r>
    </w:p>
    <w:p>
      <w:pPr>
        <w:spacing w:after="0" w:line="159" w:lineRule="exact"/>
        <w:rPr>
          <w:sz w:val="24"/>
          <w:szCs w:val="24"/>
          <w:color w:val="auto"/>
        </w:rPr>
      </w:pPr>
    </w:p>
    <w:tbl>
      <w:tblPr>
        <w:tblLayout w:type="fixed"/>
        <w:tblInd w:w="1240" w:type="dxa"/>
        <w:tblCellMar>
          <w:top w:w="0" w:type="dxa"/>
          <w:left w:w="0" w:type="dxa"/>
          <w:bottom w:w="0" w:type="dxa"/>
          <w:right w:w="0" w:type="dxa"/>
        </w:tblCellMar>
      </w:tblPr>
      <w:tr>
        <w:trPr>
          <w:trHeight w:val="248"/>
        </w:trPr>
        <w:tc>
          <w:tcPr>
            <w:tcW w:w="3260" w:type="dxa"/>
            <w:vAlign w:val="bottom"/>
          </w:tcPr>
          <w:p>
            <w:pPr>
              <w:jc w:val="center"/>
              <w:ind w:right="1024"/>
              <w:spacing w:after="0"/>
              <w:rPr>
                <w:sz w:val="20"/>
                <w:szCs w:val="20"/>
                <w:color w:val="auto"/>
              </w:rPr>
            </w:pPr>
            <w:r>
              <w:rPr>
                <w:rFonts w:ascii="Arial" w:cs="Arial" w:eastAsia="Arial" w:hAnsi="Arial"/>
                <w:sz w:val="18"/>
                <w:szCs w:val="18"/>
                <w:b w:val="1"/>
                <w:bCs w:val="1"/>
                <w:color w:val="auto"/>
                <w:w w:val="91"/>
              </w:rPr>
              <w:t>Delaware</w:t>
            </w:r>
          </w:p>
        </w:tc>
        <w:tc>
          <w:tcPr>
            <w:tcW w:w="2240" w:type="dxa"/>
            <w:vAlign w:val="bottom"/>
            <w:tcBorders>
              <w:top w:val="single" w:sz="8" w:color="auto"/>
            </w:tcBorders>
          </w:tcPr>
          <w:p>
            <w:pPr>
              <w:jc w:val="right"/>
              <w:ind w:right="684"/>
              <w:spacing w:after="0"/>
              <w:rPr>
                <w:sz w:val="20"/>
                <w:szCs w:val="20"/>
                <w:color w:val="auto"/>
              </w:rPr>
            </w:pPr>
            <w:r>
              <w:rPr>
                <w:rFonts w:ascii="Arial" w:cs="Arial" w:eastAsia="Arial" w:hAnsi="Arial"/>
                <w:sz w:val="18"/>
                <w:szCs w:val="18"/>
                <w:b w:val="1"/>
                <w:bCs w:val="1"/>
                <w:color w:val="auto"/>
              </w:rPr>
              <w:t>01-34219</w:t>
            </w:r>
          </w:p>
        </w:tc>
        <w:tc>
          <w:tcPr>
            <w:tcW w:w="2700" w:type="dxa"/>
            <w:vAlign w:val="bottom"/>
          </w:tcPr>
          <w:p>
            <w:pPr>
              <w:jc w:val="right"/>
              <w:spacing w:after="0"/>
              <w:rPr>
                <w:sz w:val="20"/>
                <w:szCs w:val="20"/>
                <w:color w:val="auto"/>
              </w:rPr>
            </w:pPr>
            <w:r>
              <w:rPr>
                <w:rFonts w:ascii="Arial" w:cs="Arial" w:eastAsia="Arial" w:hAnsi="Arial"/>
                <w:sz w:val="18"/>
                <w:szCs w:val="18"/>
                <w:b w:val="1"/>
                <w:bCs w:val="1"/>
                <w:color w:val="auto"/>
              </w:rPr>
              <w:t>04-2623104</w:t>
            </w:r>
          </w:p>
        </w:tc>
      </w:tr>
      <w:tr>
        <w:trPr>
          <w:trHeight w:val="166"/>
        </w:trPr>
        <w:tc>
          <w:tcPr>
            <w:tcW w:w="3260" w:type="dxa"/>
            <w:vAlign w:val="bottom"/>
          </w:tcPr>
          <w:p>
            <w:pPr>
              <w:jc w:val="center"/>
              <w:ind w:right="1044"/>
              <w:spacing w:after="0"/>
              <w:rPr>
                <w:sz w:val="20"/>
                <w:szCs w:val="20"/>
                <w:color w:val="auto"/>
              </w:rPr>
            </w:pPr>
            <w:r>
              <w:rPr>
                <w:rFonts w:ascii="Arial" w:cs="Arial" w:eastAsia="Arial" w:hAnsi="Arial"/>
                <w:sz w:val="13"/>
                <w:szCs w:val="13"/>
                <w:b w:val="1"/>
                <w:bCs w:val="1"/>
                <w:color w:val="auto"/>
                <w:w w:val="89"/>
              </w:rPr>
              <w:t>(State or Other Jurisdiction</w:t>
            </w:r>
          </w:p>
        </w:tc>
        <w:tc>
          <w:tcPr>
            <w:tcW w:w="2240" w:type="dxa"/>
            <w:vAlign w:val="bottom"/>
          </w:tcPr>
          <w:p>
            <w:pPr>
              <w:jc w:val="center"/>
              <w:spacing w:after="0"/>
              <w:rPr>
                <w:sz w:val="20"/>
                <w:szCs w:val="20"/>
                <w:color w:val="auto"/>
              </w:rPr>
            </w:pPr>
            <w:r>
              <w:rPr>
                <w:rFonts w:ascii="Arial" w:cs="Arial" w:eastAsia="Arial" w:hAnsi="Arial"/>
                <w:sz w:val="13"/>
                <w:szCs w:val="13"/>
                <w:b w:val="1"/>
                <w:bCs w:val="1"/>
                <w:color w:val="auto"/>
                <w:w w:val="88"/>
              </w:rPr>
              <w:t>(Commission File Number)</w:t>
            </w:r>
          </w:p>
        </w:tc>
        <w:tc>
          <w:tcPr>
            <w:tcW w:w="2700" w:type="dxa"/>
            <w:vAlign w:val="bottom"/>
          </w:tcPr>
          <w:p>
            <w:pPr>
              <w:jc w:val="center"/>
              <w:ind w:left="1626"/>
              <w:spacing w:after="0"/>
              <w:rPr>
                <w:sz w:val="20"/>
                <w:szCs w:val="20"/>
                <w:color w:val="auto"/>
              </w:rPr>
            </w:pPr>
            <w:r>
              <w:rPr>
                <w:rFonts w:ascii="Arial" w:cs="Arial" w:eastAsia="Arial" w:hAnsi="Arial"/>
                <w:sz w:val="13"/>
                <w:szCs w:val="13"/>
                <w:b w:val="1"/>
                <w:bCs w:val="1"/>
                <w:color w:val="auto"/>
                <w:w w:val="89"/>
              </w:rPr>
              <w:t>(IRS Employer</w:t>
            </w:r>
          </w:p>
        </w:tc>
      </w:tr>
      <w:tr>
        <w:trPr>
          <w:trHeight w:val="164"/>
        </w:trPr>
        <w:tc>
          <w:tcPr>
            <w:tcW w:w="3260" w:type="dxa"/>
            <w:vAlign w:val="bottom"/>
          </w:tcPr>
          <w:p>
            <w:pPr>
              <w:jc w:val="center"/>
              <w:ind w:right="1044"/>
              <w:spacing w:after="0"/>
              <w:rPr>
                <w:sz w:val="20"/>
                <w:szCs w:val="20"/>
                <w:color w:val="auto"/>
              </w:rPr>
            </w:pPr>
            <w:r>
              <w:rPr>
                <w:rFonts w:ascii="Arial" w:cs="Arial" w:eastAsia="Arial" w:hAnsi="Arial"/>
                <w:sz w:val="13"/>
                <w:szCs w:val="13"/>
                <w:b w:val="1"/>
                <w:bCs w:val="1"/>
                <w:color w:val="auto"/>
                <w:w w:val="90"/>
              </w:rPr>
              <w:t>of Incorporation)</w:t>
            </w:r>
          </w:p>
        </w:tc>
        <w:tc>
          <w:tcPr>
            <w:tcW w:w="2240" w:type="dxa"/>
            <w:vAlign w:val="bottom"/>
          </w:tcPr>
          <w:p>
            <w:pPr>
              <w:spacing w:after="0"/>
              <w:rPr>
                <w:sz w:val="14"/>
                <w:szCs w:val="14"/>
                <w:color w:val="auto"/>
              </w:rPr>
            </w:pPr>
          </w:p>
        </w:tc>
        <w:tc>
          <w:tcPr>
            <w:tcW w:w="2700" w:type="dxa"/>
            <w:vAlign w:val="bottom"/>
          </w:tcPr>
          <w:p>
            <w:pPr>
              <w:jc w:val="center"/>
              <w:ind w:left="1626"/>
              <w:spacing w:after="0"/>
              <w:rPr>
                <w:sz w:val="20"/>
                <w:szCs w:val="20"/>
                <w:color w:val="auto"/>
              </w:rPr>
            </w:pPr>
            <w:r>
              <w:rPr>
                <w:rFonts w:ascii="Arial" w:cs="Arial" w:eastAsia="Arial" w:hAnsi="Arial"/>
                <w:sz w:val="13"/>
                <w:szCs w:val="13"/>
                <w:b w:val="1"/>
                <w:bCs w:val="1"/>
                <w:color w:val="auto"/>
                <w:w w:val="91"/>
              </w:rPr>
              <w:t>Identification No.)</w:t>
            </w:r>
          </w:p>
        </w:tc>
      </w:tr>
      <w:tr>
        <w:trPr>
          <w:trHeight w:val="488"/>
        </w:trPr>
        <w:tc>
          <w:tcPr>
            <w:tcW w:w="3260" w:type="dxa"/>
            <w:vAlign w:val="bottom"/>
          </w:tcPr>
          <w:p>
            <w:pPr>
              <w:jc w:val="center"/>
              <w:ind w:right="1024"/>
              <w:spacing w:after="0"/>
              <w:rPr>
                <w:sz w:val="20"/>
                <w:szCs w:val="20"/>
                <w:color w:val="auto"/>
              </w:rPr>
            </w:pPr>
            <w:r>
              <w:rPr>
                <w:rFonts w:ascii="Arial" w:cs="Arial" w:eastAsia="Arial" w:hAnsi="Arial"/>
                <w:sz w:val="18"/>
                <w:szCs w:val="18"/>
                <w:b w:val="1"/>
                <w:bCs w:val="1"/>
                <w:color w:val="auto"/>
                <w:w w:val="90"/>
              </w:rPr>
              <w:t>555 Turnpike Street</w:t>
            </w:r>
          </w:p>
        </w:tc>
        <w:tc>
          <w:tcPr>
            <w:tcW w:w="2240" w:type="dxa"/>
            <w:vAlign w:val="bottom"/>
          </w:tcPr>
          <w:p>
            <w:pPr>
              <w:spacing w:after="0"/>
              <w:rPr>
                <w:sz w:val="24"/>
                <w:szCs w:val="24"/>
                <w:color w:val="auto"/>
              </w:rPr>
            </w:pPr>
          </w:p>
        </w:tc>
        <w:tc>
          <w:tcPr>
            <w:tcW w:w="2700" w:type="dxa"/>
            <w:vAlign w:val="bottom"/>
          </w:tcPr>
          <w:p>
            <w:pPr>
              <w:spacing w:after="0"/>
              <w:rPr>
                <w:sz w:val="24"/>
                <w:szCs w:val="24"/>
                <w:color w:val="auto"/>
              </w:rPr>
            </w:pPr>
          </w:p>
        </w:tc>
      </w:tr>
      <w:tr>
        <w:trPr>
          <w:trHeight w:val="243"/>
        </w:trPr>
        <w:tc>
          <w:tcPr>
            <w:tcW w:w="3260" w:type="dxa"/>
            <w:vAlign w:val="bottom"/>
          </w:tcPr>
          <w:p>
            <w:pPr>
              <w:jc w:val="center"/>
              <w:ind w:right="1024"/>
              <w:spacing w:after="0"/>
              <w:rPr>
                <w:sz w:val="20"/>
                <w:szCs w:val="20"/>
                <w:color w:val="auto"/>
              </w:rPr>
            </w:pPr>
            <w:r>
              <w:rPr>
                <w:rFonts w:ascii="Arial" w:cs="Arial" w:eastAsia="Arial" w:hAnsi="Arial"/>
                <w:sz w:val="18"/>
                <w:szCs w:val="18"/>
                <w:b w:val="1"/>
                <w:bCs w:val="1"/>
                <w:color w:val="auto"/>
                <w:w w:val="87"/>
              </w:rPr>
              <w:t>Canton, Massachusetts</w:t>
            </w:r>
          </w:p>
        </w:tc>
        <w:tc>
          <w:tcPr>
            <w:tcW w:w="2240" w:type="dxa"/>
            <w:vAlign w:val="bottom"/>
          </w:tcPr>
          <w:p>
            <w:pPr>
              <w:spacing w:after="0"/>
              <w:rPr>
                <w:sz w:val="21"/>
                <w:szCs w:val="21"/>
                <w:color w:val="auto"/>
              </w:rPr>
            </w:pPr>
          </w:p>
        </w:tc>
        <w:tc>
          <w:tcPr>
            <w:tcW w:w="2700" w:type="dxa"/>
            <w:vAlign w:val="bottom"/>
          </w:tcPr>
          <w:p>
            <w:pPr>
              <w:jc w:val="right"/>
              <w:ind w:right="206"/>
              <w:spacing w:after="0"/>
              <w:rPr>
                <w:sz w:val="20"/>
                <w:szCs w:val="20"/>
                <w:color w:val="auto"/>
              </w:rPr>
            </w:pPr>
            <w:r>
              <w:rPr>
                <w:rFonts w:ascii="Arial" w:cs="Arial" w:eastAsia="Arial" w:hAnsi="Arial"/>
                <w:sz w:val="18"/>
                <w:szCs w:val="18"/>
                <w:b w:val="1"/>
                <w:bCs w:val="1"/>
                <w:color w:val="auto"/>
              </w:rPr>
              <w:t>02021</w:t>
            </w:r>
          </w:p>
        </w:tc>
      </w:tr>
      <w:tr>
        <w:trPr>
          <w:trHeight w:val="173"/>
        </w:trPr>
        <w:tc>
          <w:tcPr>
            <w:tcW w:w="3260" w:type="dxa"/>
            <w:vAlign w:val="bottom"/>
          </w:tcPr>
          <w:p>
            <w:pPr>
              <w:jc w:val="center"/>
              <w:ind w:right="1024"/>
              <w:spacing w:after="0"/>
              <w:rPr>
                <w:sz w:val="20"/>
                <w:szCs w:val="20"/>
                <w:color w:val="auto"/>
              </w:rPr>
            </w:pPr>
            <w:r>
              <w:rPr>
                <w:rFonts w:ascii="Arial" w:cs="Arial" w:eastAsia="Arial" w:hAnsi="Arial"/>
                <w:sz w:val="13"/>
                <w:szCs w:val="13"/>
                <w:b w:val="1"/>
                <w:bCs w:val="1"/>
                <w:color w:val="auto"/>
                <w:w w:val="87"/>
              </w:rPr>
              <w:t>(Address of Principal Executive Offices)</w:t>
            </w:r>
          </w:p>
        </w:tc>
        <w:tc>
          <w:tcPr>
            <w:tcW w:w="2240" w:type="dxa"/>
            <w:vAlign w:val="bottom"/>
          </w:tcPr>
          <w:p>
            <w:pPr>
              <w:spacing w:after="0"/>
              <w:rPr>
                <w:sz w:val="15"/>
                <w:szCs w:val="15"/>
                <w:color w:val="auto"/>
              </w:rPr>
            </w:pPr>
          </w:p>
        </w:tc>
        <w:tc>
          <w:tcPr>
            <w:tcW w:w="2700" w:type="dxa"/>
            <w:vAlign w:val="bottom"/>
          </w:tcPr>
          <w:p>
            <w:pPr>
              <w:jc w:val="center"/>
              <w:ind w:left="1626"/>
              <w:spacing w:after="0"/>
              <w:rPr>
                <w:sz w:val="20"/>
                <w:szCs w:val="20"/>
                <w:color w:val="auto"/>
              </w:rPr>
            </w:pPr>
            <w:r>
              <w:rPr>
                <w:rFonts w:ascii="Arial" w:cs="Arial" w:eastAsia="Arial" w:hAnsi="Arial"/>
                <w:sz w:val="13"/>
                <w:szCs w:val="13"/>
                <w:b w:val="1"/>
                <w:bCs w:val="1"/>
                <w:color w:val="auto"/>
                <w:w w:val="93"/>
              </w:rPr>
              <w:t>(Zip Code)</w:t>
            </w:r>
          </w:p>
        </w:tc>
      </w:tr>
    </w:tbl>
    <w:p>
      <w:pPr>
        <w:spacing w:after="0" w:line="241"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color w:val="auto"/>
        </w:rPr>
        <w:t>Registrant’s Telephone Number, Including Area Code: 781 828-9300</w:t>
      </w:r>
    </w:p>
    <w:p>
      <w:pPr>
        <w:spacing w:after="0" w:line="200" w:lineRule="exact"/>
        <w:rPr>
          <w:sz w:val="24"/>
          <w:szCs w:val="24"/>
          <w:color w:val="auto"/>
        </w:rPr>
      </w:pPr>
    </w:p>
    <w:p>
      <w:pPr>
        <w:spacing w:after="0" w:line="241" w:lineRule="exact"/>
        <w:rPr>
          <w:sz w:val="24"/>
          <w:szCs w:val="24"/>
          <w:color w:val="auto"/>
        </w:rPr>
      </w:pPr>
    </w:p>
    <w:p>
      <w:pPr>
        <w:jc w:val="center"/>
        <w:spacing w:after="0"/>
        <w:rPr>
          <w:sz w:val="20"/>
          <w:szCs w:val="20"/>
          <w:color w:val="auto"/>
        </w:rPr>
      </w:pPr>
      <w:r>
        <w:rPr>
          <w:rFonts w:ascii="Arial" w:cs="Arial" w:eastAsia="Arial" w:hAnsi="Arial"/>
          <w:sz w:val="13"/>
          <w:szCs w:val="13"/>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122555</wp:posOffset>
            </wp:positionV>
            <wp:extent cx="142303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347" w:lineRule="exact"/>
        <w:rPr>
          <w:sz w:val="24"/>
          <w:szCs w:val="24"/>
          <w:color w:val="auto"/>
        </w:rPr>
      </w:pPr>
    </w:p>
    <w:p>
      <w:pPr>
        <w:ind w:right="680"/>
        <w:spacing w:after="0" w:line="293"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16" w:lineRule="exact"/>
        <w:rPr>
          <w:sz w:val="24"/>
          <w:szCs w:val="24"/>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18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registered pursuant to Section 12(b) of the Act:</w:t>
      </w:r>
    </w:p>
    <w:p>
      <w:pPr>
        <w:spacing w:after="0" w:line="185" w:lineRule="exact"/>
        <w:rPr>
          <w:sz w:val="24"/>
          <w:szCs w:val="24"/>
          <w:color w:val="auto"/>
        </w:rPr>
      </w:pPr>
    </w:p>
    <w:tbl>
      <w:tblPr>
        <w:tblLayout w:type="fixed"/>
        <w:tblInd w:w="0" w:type="dxa"/>
        <w:tblCellMar>
          <w:top w:w="0" w:type="dxa"/>
          <w:left w:w="0" w:type="dxa"/>
          <w:bottom w:w="0" w:type="dxa"/>
          <w:right w:w="0" w:type="dxa"/>
        </w:tblCellMar>
      </w:tblPr>
      <w:tr>
        <w:trPr>
          <w:trHeight w:val="230"/>
        </w:trPr>
        <w:tc>
          <w:tcPr>
            <w:tcW w:w="4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80" w:type="dxa"/>
            <w:vAlign w:val="bottom"/>
          </w:tcPr>
          <w:p>
            <w:pPr>
              <w:jc w:val="center"/>
              <w:spacing w:after="0"/>
              <w:rPr>
                <w:sz w:val="20"/>
                <w:szCs w:val="20"/>
                <w:color w:val="auto"/>
              </w:rPr>
            </w:pPr>
            <w:r>
              <w:rPr>
                <w:rFonts w:ascii="Arial" w:cs="Arial" w:eastAsia="Arial" w:hAnsi="Arial"/>
                <w:sz w:val="18"/>
                <w:szCs w:val="18"/>
                <w:b w:val="1"/>
                <w:bCs w:val="1"/>
                <w:color w:val="auto"/>
                <w:w w:val="93"/>
              </w:rPr>
              <w:t>Trading</w:t>
            </w:r>
          </w:p>
        </w:tc>
        <w:tc>
          <w:tcPr>
            <w:tcW w:w="120" w:type="dxa"/>
            <w:vAlign w:val="bottom"/>
          </w:tcPr>
          <w:p>
            <w:pPr>
              <w:spacing w:after="0"/>
              <w:rPr>
                <w:sz w:val="19"/>
                <w:szCs w:val="19"/>
                <w:color w:val="auto"/>
              </w:rPr>
            </w:pPr>
          </w:p>
        </w:tc>
        <w:tc>
          <w:tcPr>
            <w:tcW w:w="5040" w:type="dxa"/>
            <w:vAlign w:val="bottom"/>
          </w:tcPr>
          <w:p>
            <w:pPr>
              <w:spacing w:after="0"/>
              <w:rPr>
                <w:sz w:val="19"/>
                <w:szCs w:val="19"/>
                <w:color w:val="auto"/>
              </w:rPr>
            </w:pPr>
          </w:p>
        </w:tc>
      </w:tr>
      <w:tr>
        <w:trPr>
          <w:trHeight w:val="234"/>
        </w:trPr>
        <w:tc>
          <w:tcPr>
            <w:tcW w:w="42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6"/>
              </w:rPr>
              <w:t>Title of each class</w:t>
            </w:r>
          </w:p>
        </w:tc>
        <w:tc>
          <w:tcPr>
            <w:tcW w:w="120" w:type="dxa"/>
            <w:vAlign w:val="bottom"/>
          </w:tcPr>
          <w:p>
            <w:pPr>
              <w:spacing w:after="0"/>
              <w:rPr>
                <w:sz w:val="20"/>
                <w:szCs w:val="20"/>
                <w:color w:val="auto"/>
              </w:rPr>
            </w:pPr>
          </w:p>
        </w:tc>
        <w:tc>
          <w:tcPr>
            <w:tcW w:w="16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Symbol(s)</w:t>
            </w:r>
          </w:p>
        </w:tc>
        <w:tc>
          <w:tcPr>
            <w:tcW w:w="120" w:type="dxa"/>
            <w:vAlign w:val="bottom"/>
          </w:tcPr>
          <w:p>
            <w:pPr>
              <w:spacing w:after="0"/>
              <w:rPr>
                <w:sz w:val="20"/>
                <w:szCs w:val="20"/>
                <w:color w:val="auto"/>
              </w:rPr>
            </w:pPr>
          </w:p>
        </w:tc>
        <w:tc>
          <w:tcPr>
            <w:tcW w:w="50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7"/>
              </w:rPr>
              <w:t>Name of each exchange on which registered</w:t>
            </w:r>
          </w:p>
        </w:tc>
      </w:tr>
      <w:tr>
        <w:trPr>
          <w:trHeight w:val="224"/>
        </w:trPr>
        <w:tc>
          <w:tcPr>
            <w:tcW w:w="4280" w:type="dxa"/>
            <w:vAlign w:val="bottom"/>
          </w:tcPr>
          <w:p>
            <w:pPr>
              <w:jc w:val="center"/>
              <w:spacing w:after="0"/>
              <w:rPr>
                <w:sz w:val="20"/>
                <w:szCs w:val="20"/>
                <w:color w:val="auto"/>
              </w:rPr>
            </w:pPr>
            <w:r>
              <w:rPr>
                <w:rFonts w:ascii="Arial" w:cs="Arial" w:eastAsia="Arial" w:hAnsi="Arial"/>
                <w:sz w:val="18"/>
                <w:szCs w:val="18"/>
                <w:color w:val="auto"/>
                <w:w w:val="89"/>
              </w:rPr>
              <w:t>Common Stock, par value $0.01 per share</w:t>
            </w:r>
          </w:p>
        </w:tc>
        <w:tc>
          <w:tcPr>
            <w:tcW w:w="120" w:type="dxa"/>
            <w:vAlign w:val="bottom"/>
          </w:tcPr>
          <w:p>
            <w:pPr>
              <w:spacing w:after="0"/>
              <w:rPr>
                <w:sz w:val="19"/>
                <w:szCs w:val="19"/>
                <w:color w:val="auto"/>
              </w:rPr>
            </w:pPr>
          </w:p>
        </w:tc>
        <w:tc>
          <w:tcPr>
            <w:tcW w:w="1680" w:type="dxa"/>
            <w:vAlign w:val="bottom"/>
          </w:tcPr>
          <w:p>
            <w:pPr>
              <w:jc w:val="center"/>
              <w:spacing w:after="0"/>
              <w:rPr>
                <w:sz w:val="20"/>
                <w:szCs w:val="20"/>
                <w:color w:val="auto"/>
              </w:rPr>
            </w:pPr>
            <w:r>
              <w:rPr>
                <w:rFonts w:ascii="Arial" w:cs="Arial" w:eastAsia="Arial" w:hAnsi="Arial"/>
                <w:sz w:val="18"/>
                <w:szCs w:val="18"/>
                <w:color w:val="auto"/>
              </w:rPr>
              <w:t>DXLG</w:t>
            </w:r>
          </w:p>
        </w:tc>
        <w:tc>
          <w:tcPr>
            <w:tcW w:w="120" w:type="dxa"/>
            <w:vAlign w:val="bottom"/>
          </w:tcPr>
          <w:p>
            <w:pPr>
              <w:spacing w:after="0"/>
              <w:rPr>
                <w:sz w:val="19"/>
                <w:szCs w:val="19"/>
                <w:color w:val="auto"/>
              </w:rPr>
            </w:pPr>
          </w:p>
        </w:tc>
        <w:tc>
          <w:tcPr>
            <w:tcW w:w="5040" w:type="dxa"/>
            <w:vAlign w:val="bottom"/>
          </w:tcPr>
          <w:p>
            <w:pPr>
              <w:jc w:val="center"/>
              <w:spacing w:after="0"/>
              <w:rPr>
                <w:sz w:val="20"/>
                <w:szCs w:val="20"/>
                <w:color w:val="auto"/>
              </w:rPr>
            </w:pPr>
            <w:r>
              <w:rPr>
                <w:rFonts w:ascii="Arial" w:cs="Arial" w:eastAsia="Arial" w:hAnsi="Arial"/>
                <w:sz w:val="18"/>
                <w:szCs w:val="18"/>
                <w:color w:val="auto"/>
                <w:w w:val="95"/>
              </w:rPr>
              <w:t>The NASDAQ Stock Market LLC</w:t>
            </w:r>
          </w:p>
        </w:tc>
      </w:tr>
    </w:tbl>
    <w:p>
      <w:pPr>
        <w:spacing w:after="0" w:line="228" w:lineRule="exact"/>
        <w:rPr>
          <w:sz w:val="24"/>
          <w:szCs w:val="24"/>
          <w:color w:val="auto"/>
        </w:rPr>
      </w:pPr>
    </w:p>
    <w:p>
      <w:pPr>
        <w:ind w:right="480"/>
        <w:spacing w:after="0" w:line="293"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 230.405 of this chapter) or Rule 12b-2 of the Securities Exchange Act of 1934 (§ 240.12b-2 of this chapter).</w:t>
      </w:r>
    </w:p>
    <w:p>
      <w:pPr>
        <w:spacing w:after="0" w:line="83"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217" w:lineRule="exact"/>
        <w:rPr>
          <w:sz w:val="24"/>
          <w:szCs w:val="24"/>
          <w:color w:val="auto"/>
        </w:rPr>
      </w:pPr>
    </w:p>
    <w:p>
      <w:pPr>
        <w:ind w:right="160"/>
        <w:spacing w:after="0" w:line="240"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-12065</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4445</wp:posOffset>
            </wp:positionV>
            <wp:extent cx="71323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360680</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82" w:right="33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t>Item 2.02 Results of Operations and Financial Condition.</w:t>
      </w:r>
    </w:p>
    <w:p>
      <w:pPr>
        <w:spacing w:after="0" w:line="256" w:lineRule="exact"/>
        <w:rPr>
          <w:sz w:val="20"/>
          <w:szCs w:val="20"/>
          <w:color w:val="auto"/>
        </w:rPr>
      </w:pPr>
    </w:p>
    <w:p>
      <w:pPr>
        <w:ind w:right="440"/>
        <w:spacing w:after="0" w:line="293" w:lineRule="auto"/>
        <w:rPr>
          <w:sz w:val="20"/>
          <w:szCs w:val="20"/>
          <w:color w:val="auto"/>
        </w:rPr>
      </w:pPr>
      <w:r>
        <w:rPr>
          <w:rFonts w:ascii="Arial" w:cs="Arial" w:eastAsia="Arial" w:hAnsi="Arial"/>
          <w:sz w:val="18"/>
          <w:szCs w:val="18"/>
          <w:color w:val="auto"/>
        </w:rPr>
        <w:t>On November 17, 2021, Destination XL Group, Inc. (the “Company”) issued a press release announcing the Company’s operating results for the third quarter of fiscal 2021. A copy of this press release is furnished herewith as Exhibit 99.1.</w:t>
      </w:r>
    </w:p>
    <w:p>
      <w:pPr>
        <w:spacing w:after="0" w:line="183" w:lineRule="exact"/>
        <w:rPr>
          <w:sz w:val="20"/>
          <w:szCs w:val="20"/>
          <w:color w:val="auto"/>
        </w:rPr>
      </w:pPr>
    </w:p>
    <w:p>
      <w:pPr>
        <w:spacing w:after="0"/>
        <w:rPr>
          <w:sz w:val="20"/>
          <w:szCs w:val="20"/>
          <w:color w:val="auto"/>
        </w:rPr>
      </w:pPr>
      <w:r>
        <w:rPr>
          <w:rFonts w:ascii="Arial" w:cs="Arial" w:eastAsia="Arial" w:hAnsi="Arial"/>
          <w:sz w:val="16"/>
          <w:szCs w:val="16"/>
          <w:color w:val="auto"/>
        </w:rPr>
        <w:t>An audio webcast to discuss the Company’s operating results for the third quarter of fiscal 2021 will be held on Friday, November 19, 2021 at 9:00 a.m.</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ET. Interested parties can access the webcast on the Company's website at www.dxl.com under the Investor Relations section.</w:t>
      </w: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7.01 Regulation FD Disclosure</w:t>
      </w:r>
    </w:p>
    <w:p>
      <w:pPr>
        <w:spacing w:after="0" w:line="283" w:lineRule="exact"/>
        <w:rPr>
          <w:sz w:val="20"/>
          <w:szCs w:val="20"/>
          <w:color w:val="auto"/>
        </w:rPr>
      </w:pPr>
    </w:p>
    <w:p>
      <w:pPr>
        <w:jc w:val="both"/>
        <w:ind w:right="300"/>
        <w:spacing w:after="0" w:line="329" w:lineRule="auto"/>
        <w:rPr>
          <w:sz w:val="20"/>
          <w:szCs w:val="20"/>
          <w:color w:val="auto"/>
        </w:rPr>
      </w:pPr>
      <w:r>
        <w:rPr>
          <w:rFonts w:ascii="Arial" w:cs="Arial" w:eastAsia="Arial" w:hAnsi="Arial"/>
          <w:sz w:val="16"/>
          <w:szCs w:val="16"/>
          <w:color w:val="auto"/>
        </w:rPr>
        <w:t>On November 16, 2021, members of the Company’s senior management virtually attended the 12th Annual Craig-Hallum Alpha Select Conference and met one-on-one with certain investors. A copy of the presentation used at the conference in investor meetings is available on the Company’s website at investor.destinationxl.com, and was included as Exhibit 99.1 to the Company’s Current Report on Form 8-K filed on September 14, 2021.</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25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20"/>
                <w:szCs w:val="20"/>
                <w:color w:val="auto"/>
              </w:rPr>
            </w:pPr>
          </w:p>
        </w:tc>
        <w:tc>
          <w:tcPr>
            <w:tcW w:w="2360" w:type="dxa"/>
            <w:vAlign w:val="bottom"/>
            <w:gridSpan w:val="2"/>
          </w:tcPr>
          <w:p>
            <w:pPr>
              <w:ind w:left="520"/>
              <w:spacing w:after="0"/>
              <w:rPr>
                <w:sz w:val="20"/>
                <w:szCs w:val="20"/>
                <w:color w:val="auto"/>
              </w:rPr>
            </w:pPr>
            <w:r>
              <w:rPr>
                <w:rFonts w:ascii="Arial" w:cs="Arial" w:eastAsia="Arial" w:hAnsi="Arial"/>
                <w:sz w:val="18"/>
                <w:szCs w:val="18"/>
                <w:color w:val="auto"/>
              </w:rPr>
              <w:t>(d) Exhibits</w:t>
            </w:r>
          </w:p>
        </w:tc>
        <w:tc>
          <w:tcPr>
            <w:tcW w:w="900" w:type="dxa"/>
            <w:vAlign w:val="bottom"/>
          </w:tcPr>
          <w:p>
            <w:pPr>
              <w:spacing w:after="0"/>
              <w:rPr>
                <w:sz w:val="20"/>
                <w:szCs w:val="20"/>
                <w:color w:val="auto"/>
              </w:rPr>
            </w:pPr>
          </w:p>
        </w:tc>
        <w:tc>
          <w:tcPr>
            <w:tcW w:w="374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254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418"/>
        </w:trPr>
        <w:tc>
          <w:tcPr>
            <w:tcW w:w="20" w:type="dxa"/>
            <w:vAlign w:val="bottom"/>
          </w:tcPr>
          <w:p>
            <w:pPr>
              <w:spacing w:after="0"/>
              <w:rPr>
                <w:sz w:val="24"/>
                <w:szCs w:val="24"/>
                <w:color w:val="auto"/>
              </w:rPr>
            </w:pPr>
          </w:p>
        </w:tc>
        <w:tc>
          <w:tcPr>
            <w:tcW w:w="2360" w:type="dxa"/>
            <w:vAlign w:val="bottom"/>
            <w:gridSpan w:val="2"/>
          </w:tcPr>
          <w:p>
            <w:pPr>
              <w:spacing w:after="0"/>
              <w:rPr>
                <w:sz w:val="20"/>
                <w:szCs w:val="20"/>
                <w:color w:val="auto"/>
              </w:rPr>
            </w:pPr>
            <w:r>
              <w:rPr>
                <w:rFonts w:ascii="Arial" w:cs="Arial" w:eastAsia="Arial" w:hAnsi="Arial"/>
                <w:sz w:val="18"/>
                <w:szCs w:val="18"/>
                <w:b w:val="1"/>
                <w:bCs w:val="1"/>
                <w:color w:val="auto"/>
              </w:rPr>
              <w:t>Exhibit No.</w:t>
            </w:r>
          </w:p>
        </w:tc>
        <w:tc>
          <w:tcPr>
            <w:tcW w:w="8860" w:type="dxa"/>
            <w:vAlign w:val="bottom"/>
            <w:gridSpan w:val="5"/>
          </w:tcPr>
          <w:p>
            <w:pPr>
              <w:spacing w:after="0"/>
              <w:rPr>
                <w:sz w:val="20"/>
                <w:szCs w:val="20"/>
                <w:color w:val="auto"/>
              </w:rPr>
            </w:pPr>
            <w:r>
              <w:rPr>
                <w:rFonts w:ascii="Arial" w:cs="Arial" w:eastAsia="Arial" w:hAnsi="Arial"/>
                <w:sz w:val="18"/>
                <w:szCs w:val="18"/>
                <w:b w:val="1"/>
                <w:bCs w:val="1"/>
                <w:color w:val="auto"/>
              </w:rPr>
              <w:t>Description</w:t>
            </w:r>
          </w:p>
        </w:tc>
      </w:tr>
      <w:tr>
        <w:trPr>
          <w:trHeight w:val="20"/>
        </w:trPr>
        <w:tc>
          <w:tcPr>
            <w:tcW w:w="2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374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840" w:type="dxa"/>
            <w:vAlign w:val="bottom"/>
          </w:tcPr>
          <w:p>
            <w:pPr>
              <w:spacing w:after="0"/>
              <w:rPr>
                <w:sz w:val="20"/>
                <w:szCs w:val="20"/>
                <w:color w:val="auto"/>
              </w:rPr>
            </w:pPr>
            <w:r>
              <w:rPr>
                <w:rFonts w:ascii="Arial" w:cs="Arial" w:eastAsia="Arial" w:hAnsi="Arial"/>
                <w:sz w:val="18"/>
                <w:szCs w:val="18"/>
                <w:color w:val="auto"/>
              </w:rPr>
              <w:t>99.1</w:t>
            </w:r>
          </w:p>
        </w:tc>
        <w:tc>
          <w:tcPr>
            <w:tcW w:w="1520" w:type="dxa"/>
            <w:vAlign w:val="bottom"/>
          </w:tcPr>
          <w:p>
            <w:pPr>
              <w:spacing w:after="0"/>
              <w:rPr>
                <w:sz w:val="19"/>
                <w:szCs w:val="19"/>
                <w:color w:val="auto"/>
              </w:rPr>
            </w:pPr>
          </w:p>
        </w:tc>
        <w:tc>
          <w:tcPr>
            <w:tcW w:w="6260" w:type="dxa"/>
            <w:vAlign w:val="bottom"/>
            <w:tcBorders>
              <w:bottom w:val="single" w:sz="8" w:color="0000FF"/>
            </w:tcBorders>
            <w:gridSpan w:val="3"/>
          </w:tcPr>
          <w:p>
            <w:pPr>
              <w:spacing w:after="0"/>
              <w:rPr>
                <w:rFonts w:ascii="Arial" w:cs="Arial" w:eastAsia="Arial" w:hAnsi="Arial"/>
                <w:sz w:val="18"/>
                <w:szCs w:val="18"/>
                <w:color w:val="0000FF"/>
                <w:w w:val="89"/>
              </w:rPr>
            </w:pPr>
            <w:hyperlink w:anchor="page4">
              <w:r>
                <w:rPr>
                  <w:rFonts w:ascii="Arial" w:cs="Arial" w:eastAsia="Arial" w:hAnsi="Arial"/>
                  <w:sz w:val="18"/>
                  <w:szCs w:val="18"/>
                  <w:color w:val="0000FF"/>
                  <w:w w:val="89"/>
                </w:rPr>
                <w:t>Press release dated November 17, 2021 announcing third quarter of fiscal 2021 results.</w:t>
              </w:r>
            </w:hyperlink>
          </w:p>
        </w:tc>
        <w:tc>
          <w:tcPr>
            <w:tcW w:w="2600" w:type="dxa"/>
            <w:vAlign w:val="bottom"/>
            <w:gridSpan w:val="2"/>
          </w:tcPr>
          <w:p>
            <w:pPr>
              <w:spacing w:after="0"/>
              <w:rPr>
                <w:sz w:val="19"/>
                <w:szCs w:val="19"/>
                <w:color w:val="auto"/>
              </w:rPr>
            </w:pPr>
          </w:p>
        </w:tc>
      </w:tr>
      <w:tr>
        <w:trPr>
          <w:trHeight w:val="466"/>
        </w:trPr>
        <w:tc>
          <w:tcPr>
            <w:tcW w:w="860" w:type="dxa"/>
            <w:vAlign w:val="bottom"/>
            <w:gridSpan w:val="2"/>
          </w:tcPr>
          <w:p>
            <w:pPr>
              <w:ind w:left="20"/>
              <w:spacing w:after="0"/>
              <w:rPr>
                <w:sz w:val="20"/>
                <w:szCs w:val="20"/>
                <w:color w:val="auto"/>
              </w:rPr>
            </w:pPr>
            <w:r>
              <w:rPr>
                <w:rFonts w:ascii="Arial" w:cs="Arial" w:eastAsia="Arial" w:hAnsi="Arial"/>
                <w:sz w:val="18"/>
                <w:szCs w:val="18"/>
                <w:color w:val="auto"/>
              </w:rPr>
              <w:t>104</w:t>
            </w:r>
          </w:p>
        </w:tc>
        <w:tc>
          <w:tcPr>
            <w:tcW w:w="1520" w:type="dxa"/>
            <w:vAlign w:val="bottom"/>
          </w:tcPr>
          <w:p>
            <w:pPr>
              <w:spacing w:after="0"/>
              <w:rPr>
                <w:sz w:val="24"/>
                <w:szCs w:val="24"/>
                <w:color w:val="auto"/>
              </w:rPr>
            </w:pPr>
          </w:p>
        </w:tc>
        <w:tc>
          <w:tcPr>
            <w:tcW w:w="8800" w:type="dxa"/>
            <w:vAlign w:val="bottom"/>
            <w:tcBorders>
              <w:bottom w:val="single" w:sz="8" w:color="auto"/>
            </w:tcBorders>
            <w:gridSpan w:val="4"/>
          </w:tcPr>
          <w:p>
            <w:pPr>
              <w:spacing w:after="0"/>
              <w:rPr>
                <w:sz w:val="20"/>
                <w:szCs w:val="20"/>
                <w:color w:val="auto"/>
              </w:rPr>
            </w:pPr>
            <w:r>
              <w:rPr>
                <w:rFonts w:ascii="Arial" w:cs="Arial" w:eastAsia="Arial" w:hAnsi="Arial"/>
                <w:sz w:val="18"/>
                <w:szCs w:val="18"/>
                <w:color w:val="auto"/>
                <w:w w:val="90"/>
              </w:rPr>
              <w:t>Cover Page Interactive Data File – The cover page interactive data file does not appear in the interactive data file because</w:t>
            </w:r>
          </w:p>
        </w:tc>
        <w:tc>
          <w:tcPr>
            <w:tcW w:w="60" w:type="dxa"/>
            <w:vAlign w:val="bottom"/>
          </w:tcPr>
          <w:p>
            <w:pPr>
              <w:spacing w:after="0"/>
              <w:rPr>
                <w:sz w:val="24"/>
                <w:szCs w:val="24"/>
                <w:color w:val="auto"/>
              </w:rPr>
            </w:pPr>
          </w:p>
        </w:tc>
      </w:tr>
      <w:tr>
        <w:trPr>
          <w:trHeight w:val="209"/>
        </w:trPr>
        <w:tc>
          <w:tcPr>
            <w:tcW w:w="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8860" w:type="dxa"/>
            <w:vAlign w:val="bottom"/>
            <w:gridSpan w:val="5"/>
          </w:tcPr>
          <w:p>
            <w:pPr>
              <w:spacing w:after="0"/>
              <w:rPr>
                <w:sz w:val="20"/>
                <w:szCs w:val="20"/>
                <w:color w:val="auto"/>
              </w:rPr>
            </w:pPr>
            <w:r>
              <w:rPr>
                <w:rFonts w:ascii="Arial" w:cs="Arial" w:eastAsia="Arial" w:hAnsi="Arial"/>
                <w:sz w:val="18"/>
                <w:szCs w:val="18"/>
                <w:color w:val="auto"/>
              </w:rPr>
              <w:t>its XBRL tags are embedded within the Inline XBRL document.</w:t>
            </w:r>
          </w:p>
        </w:tc>
      </w:tr>
      <w:tr>
        <w:trPr>
          <w:trHeight w:val="608"/>
        </w:trPr>
        <w:tc>
          <w:tcPr>
            <w:tcW w:w="20" w:type="dxa"/>
            <w:vAlign w:val="bottom"/>
            <w:tcBorders>
              <w:bottom w:val="single" w:sz="8" w:color="9A9A9A"/>
            </w:tcBorders>
          </w:tcPr>
          <w:p>
            <w:pPr>
              <w:spacing w:after="0"/>
              <w:rPr>
                <w:sz w:val="24"/>
                <w:szCs w:val="24"/>
                <w:color w:val="auto"/>
              </w:rPr>
            </w:pPr>
          </w:p>
        </w:tc>
        <w:tc>
          <w:tcPr>
            <w:tcW w:w="840" w:type="dxa"/>
            <w:vAlign w:val="bottom"/>
            <w:tcBorders>
              <w:bottom w:val="single" w:sz="8" w:color="9A9A9A"/>
            </w:tcBorders>
          </w:tcPr>
          <w:p>
            <w:pPr>
              <w:spacing w:after="0"/>
              <w:rPr>
                <w:sz w:val="24"/>
                <w:szCs w:val="24"/>
                <w:color w:val="auto"/>
              </w:rPr>
            </w:pPr>
          </w:p>
        </w:tc>
        <w:tc>
          <w:tcPr>
            <w:tcW w:w="1520" w:type="dxa"/>
            <w:vAlign w:val="bottom"/>
            <w:tcBorders>
              <w:bottom w:val="single" w:sz="8" w:color="9A9A9A"/>
            </w:tcBorders>
          </w:tcPr>
          <w:p>
            <w:pPr>
              <w:spacing w:after="0"/>
              <w:rPr>
                <w:sz w:val="24"/>
                <w:szCs w:val="24"/>
                <w:color w:val="auto"/>
              </w:rPr>
            </w:pPr>
          </w:p>
        </w:tc>
        <w:tc>
          <w:tcPr>
            <w:tcW w:w="900" w:type="dxa"/>
            <w:vAlign w:val="bottom"/>
            <w:tcBorders>
              <w:top w:val="single" w:sz="8" w:color="auto"/>
              <w:bottom w:val="single" w:sz="8" w:color="9A9A9A"/>
            </w:tcBorders>
          </w:tcPr>
          <w:p>
            <w:pPr>
              <w:spacing w:after="0"/>
              <w:rPr>
                <w:sz w:val="24"/>
                <w:szCs w:val="24"/>
                <w:color w:val="auto"/>
              </w:rPr>
            </w:pPr>
          </w:p>
        </w:tc>
        <w:tc>
          <w:tcPr>
            <w:tcW w:w="3740" w:type="dxa"/>
            <w:vAlign w:val="bottom"/>
            <w:tcBorders>
              <w:top w:val="single" w:sz="8" w:color="auto"/>
              <w:bottom w:val="single" w:sz="8" w:color="9A9A9A"/>
            </w:tcBorders>
          </w:tcPr>
          <w:p>
            <w:pPr>
              <w:spacing w:after="0"/>
              <w:rPr>
                <w:sz w:val="24"/>
                <w:szCs w:val="24"/>
                <w:color w:val="auto"/>
              </w:rPr>
            </w:pPr>
          </w:p>
        </w:tc>
        <w:tc>
          <w:tcPr>
            <w:tcW w:w="1620" w:type="dxa"/>
            <w:vAlign w:val="bottom"/>
            <w:tcBorders>
              <w:bottom w:val="single" w:sz="8" w:color="9A9A9A"/>
            </w:tcBorders>
          </w:tcPr>
          <w:p>
            <w:pPr>
              <w:spacing w:after="0"/>
              <w:rPr>
                <w:sz w:val="24"/>
                <w:szCs w:val="24"/>
                <w:color w:val="auto"/>
              </w:rPr>
            </w:pPr>
          </w:p>
        </w:tc>
        <w:tc>
          <w:tcPr>
            <w:tcW w:w="254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35" w:right="339" w:bottom="1440" w:gutter="0" w:footer="0" w:header="0"/>
        </w:sectPr>
      </w:pPr>
    </w:p>
    <w:bookmarkStart w:id="2" w:name="page3"/>
    <w:bookmarkEnd w:id="2"/>
    <w:p>
      <w:pPr>
        <w:jc w:val="center"/>
        <w:ind w:right="-39"/>
        <w:spacing w:after="0"/>
        <w:rPr>
          <w:sz w:val="20"/>
          <w:szCs w:val="20"/>
          <w:color w:val="auto"/>
        </w:rPr>
      </w:pPr>
      <w:r>
        <w:rPr>
          <w:rFonts w:ascii="Arial" w:cs="Arial" w:eastAsia="Arial" w:hAnsi="Arial"/>
          <w:sz w:val="18"/>
          <w:szCs w:val="18"/>
          <w:b w:val="1"/>
          <w:bCs w:val="1"/>
          <w:color w:val="auto"/>
        </w:rPr>
        <w:t>SIGNATURES</w:t>
      </w:r>
    </w:p>
    <w:p>
      <w:pPr>
        <w:spacing w:after="0" w:line="189" w:lineRule="exact"/>
        <w:rPr>
          <w:sz w:val="20"/>
          <w:szCs w:val="20"/>
          <w:color w:val="auto"/>
        </w:rPr>
      </w:pPr>
    </w:p>
    <w:p>
      <w:pPr>
        <w:spacing w:after="0" w:line="293"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210" w:lineRule="exact"/>
        <w:rPr>
          <w:sz w:val="20"/>
          <w:szCs w:val="20"/>
          <w:color w:val="auto"/>
        </w:rPr>
      </w:pPr>
    </w:p>
    <w:p>
      <w:pPr>
        <w:ind w:left="6100"/>
        <w:spacing w:after="0"/>
        <w:rPr>
          <w:sz w:val="20"/>
          <w:szCs w:val="20"/>
          <w:color w:val="auto"/>
        </w:rPr>
      </w:pPr>
      <w:r>
        <w:rPr>
          <w:rFonts w:ascii="Arial" w:cs="Arial" w:eastAsia="Arial" w:hAnsi="Arial"/>
          <w:sz w:val="18"/>
          <w:szCs w:val="18"/>
          <w:color w:val="auto"/>
        </w:rPr>
        <w:t>Destination XL Group, Inc.</w:t>
      </w:r>
    </w:p>
    <w:p>
      <w:pPr>
        <w:spacing w:after="0" w:line="200" w:lineRule="exact"/>
        <w:rPr>
          <w:sz w:val="20"/>
          <w:szCs w:val="20"/>
          <w:color w:val="auto"/>
        </w:rPr>
      </w:pPr>
    </w:p>
    <w:p>
      <w:pPr>
        <w:spacing w:after="0" w:line="228" w:lineRule="exact"/>
        <w:rPr>
          <w:sz w:val="20"/>
          <w:szCs w:val="20"/>
          <w:color w:val="auto"/>
        </w:rPr>
      </w:pPr>
    </w:p>
    <w:p>
      <w:pPr>
        <w:ind w:left="20"/>
        <w:spacing w:after="0"/>
        <w:tabs>
          <w:tab w:leader="none" w:pos="680" w:val="left"/>
          <w:tab w:leader="none" w:pos="5640" w:val="left"/>
          <w:tab w:leader="none" w:pos="608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November 17, 2021</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Robert S. Molloy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3862705</wp:posOffset>
            </wp:positionH>
            <wp:positionV relativeFrom="paragraph">
              <wp:posOffset>14605</wp:posOffset>
            </wp:positionV>
            <wp:extent cx="3274695"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274695" cy="8255"/>
                    </a:xfrm>
                    <a:prstGeom prst="rect">
                      <a:avLst/>
                    </a:prstGeom>
                    <a:noFill/>
                  </pic:spPr>
                </pic:pic>
              </a:graphicData>
            </a:graphic>
          </wp:anchor>
        </w:drawing>
      </w:r>
    </w:p>
    <w:p>
      <w:pPr>
        <w:spacing w:after="0" w:line="30" w:lineRule="exact"/>
        <w:rPr>
          <w:sz w:val="20"/>
          <w:szCs w:val="20"/>
          <w:color w:val="auto"/>
        </w:rPr>
      </w:pPr>
    </w:p>
    <w:p>
      <w:pPr>
        <w:ind w:left="6100"/>
        <w:spacing w:after="0"/>
        <w:rPr>
          <w:sz w:val="20"/>
          <w:szCs w:val="20"/>
          <w:color w:val="auto"/>
        </w:rPr>
      </w:pPr>
      <w:r>
        <w:rPr>
          <w:rFonts w:ascii="Arial" w:cs="Arial" w:eastAsia="Arial" w:hAnsi="Arial"/>
          <w:sz w:val="18"/>
          <w:szCs w:val="18"/>
          <w:color w:val="auto"/>
        </w:rPr>
        <w:t>General Counsel and Secretary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327660</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364" w:right="379" w:bottom="1440" w:gutter="0" w:footer="0" w:header="0"/>
        </w:sectPr>
      </w:pPr>
    </w:p>
    <w:bookmarkStart w:id="3" w:name="page4"/>
    <w:bookmarkEnd w:id="3"/>
    <w:p>
      <w:pPr>
        <w:jc w:val="right"/>
        <w:spacing w:after="0"/>
        <w:rPr>
          <w:sz w:val="20"/>
          <w:szCs w:val="20"/>
          <w:color w:val="auto"/>
        </w:rPr>
      </w:pPr>
      <w:r>
        <w:rPr>
          <w:rFonts w:ascii="Arial" w:cs="Arial" w:eastAsia="Arial" w:hAnsi="Arial"/>
          <w:sz w:val="22"/>
          <w:szCs w:val="22"/>
          <w:b w:val="1"/>
          <w:bCs w:val="1"/>
          <w:color w:val="auto"/>
        </w:rPr>
        <w:t>Exhibit 99.1</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Destination XL Group, Inc. Reports Third Quarter Financial Results</w:t>
      </w:r>
    </w:p>
    <w:p>
      <w:pPr>
        <w:spacing w:after="0" w:line="179" w:lineRule="exact"/>
        <w:rPr>
          <w:sz w:val="20"/>
          <w:szCs w:val="20"/>
          <w:color w:val="auto"/>
        </w:rPr>
      </w:pPr>
    </w:p>
    <w:p>
      <w:pPr>
        <w:ind w:left="3460"/>
        <w:spacing w:after="0"/>
        <w:rPr>
          <w:sz w:val="20"/>
          <w:szCs w:val="20"/>
          <w:color w:val="auto"/>
        </w:rPr>
      </w:pPr>
      <w:r>
        <w:rPr>
          <w:rFonts w:ascii="Arial" w:cs="Arial" w:eastAsia="Arial" w:hAnsi="Arial"/>
          <w:sz w:val="18"/>
          <w:szCs w:val="18"/>
          <w:i w:val="1"/>
          <w:iCs w:val="1"/>
          <w:color w:val="auto"/>
        </w:rPr>
        <w:t>Third Quarter Comparable Sales up 22.9% to Fiscal 2019;</w:t>
      </w:r>
    </w:p>
    <w:p>
      <w:pPr>
        <w:spacing w:after="0" w:line="36" w:lineRule="exact"/>
        <w:rPr>
          <w:sz w:val="20"/>
          <w:szCs w:val="20"/>
          <w:color w:val="auto"/>
        </w:rPr>
      </w:pPr>
    </w:p>
    <w:p>
      <w:pPr>
        <w:ind w:left="3120"/>
        <w:spacing w:after="0"/>
        <w:rPr>
          <w:sz w:val="20"/>
          <w:szCs w:val="20"/>
          <w:color w:val="auto"/>
        </w:rPr>
      </w:pPr>
      <w:r>
        <w:rPr>
          <w:rFonts w:ascii="Arial" w:cs="Arial" w:eastAsia="Arial" w:hAnsi="Arial"/>
          <w:sz w:val="18"/>
          <w:szCs w:val="18"/>
          <w:i w:val="1"/>
          <w:iCs w:val="1"/>
          <w:color w:val="auto"/>
        </w:rPr>
        <w:t>Third Quarter Net Income $13.7 million, EPS $0.20 per diluted share</w:t>
      </w:r>
    </w:p>
    <w:p>
      <w:pPr>
        <w:spacing w:after="0" w:line="36" w:lineRule="exact"/>
        <w:rPr>
          <w:sz w:val="20"/>
          <w:szCs w:val="20"/>
          <w:color w:val="auto"/>
        </w:rPr>
      </w:pPr>
    </w:p>
    <w:p>
      <w:pPr>
        <w:ind w:left="2220"/>
        <w:spacing w:after="0"/>
        <w:rPr>
          <w:sz w:val="20"/>
          <w:szCs w:val="20"/>
          <w:color w:val="auto"/>
        </w:rPr>
      </w:pPr>
      <w:r>
        <w:rPr>
          <w:rFonts w:ascii="Arial" w:cs="Arial" w:eastAsia="Arial" w:hAnsi="Arial"/>
          <w:sz w:val="18"/>
          <w:szCs w:val="18"/>
          <w:i w:val="1"/>
          <w:iCs w:val="1"/>
          <w:color w:val="auto"/>
        </w:rPr>
        <w:t>Raises Guidance for Fiscal 2021: Sales $500-$510 million, EPS $0.72-$0.80 per diluted share</w:t>
      </w:r>
    </w:p>
    <w:p>
      <w:pPr>
        <w:spacing w:after="0" w:line="200" w:lineRule="exact"/>
        <w:rPr>
          <w:sz w:val="20"/>
          <w:szCs w:val="20"/>
          <w:color w:val="auto"/>
        </w:rPr>
      </w:pP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color w:val="auto"/>
        </w:rPr>
        <w:t>CANTON, Mass., November 17, 2021 – Destination XL Group, Inc. (NASDAQ: DXLG), the leading omni-channel specialty retailer of Big</w:t>
      </w:r>
    </w:p>
    <w:p>
      <w:pPr>
        <w:spacing w:after="0" w:line="77" w:lineRule="exact"/>
        <w:rPr>
          <w:sz w:val="20"/>
          <w:szCs w:val="20"/>
          <w:color w:val="auto"/>
        </w:rPr>
      </w:pPr>
    </w:p>
    <w:p>
      <w:pPr>
        <w:ind w:right="280" w:firstLine="8"/>
        <w:spacing w:after="0" w:line="317" w:lineRule="auto"/>
        <w:tabs>
          <w:tab w:leader="none" w:pos="161" w:val="left"/>
        </w:tabs>
        <w:numPr>
          <w:ilvl w:val="0"/>
          <w:numId w:val="2"/>
        </w:numPr>
        <w:rPr>
          <w:rFonts w:ascii="Arial" w:cs="Arial" w:eastAsia="Arial" w:hAnsi="Arial"/>
          <w:sz w:val="20"/>
          <w:szCs w:val="20"/>
          <w:color w:val="auto"/>
        </w:rPr>
      </w:pPr>
      <w:r>
        <w:rPr>
          <w:rFonts w:ascii="Arial" w:cs="Arial" w:eastAsia="Arial" w:hAnsi="Arial"/>
          <w:sz w:val="20"/>
          <w:szCs w:val="20"/>
          <w:color w:val="auto"/>
        </w:rPr>
        <w:t>Tall men’s clothing and shoes, today reported operating results for the third quarter of fiscal 2021 and provided updated guidance for the fiscal year.</w:t>
      </w:r>
    </w:p>
    <w:p>
      <w:pPr>
        <w:spacing w:after="0" w:line="102"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Third Quarter Financial Highlights</w:t>
      </w:r>
    </w:p>
    <w:p>
      <w:pPr>
        <w:spacing w:after="0" w:line="195" w:lineRule="exact"/>
        <w:rPr>
          <w:sz w:val="20"/>
          <w:szCs w:val="20"/>
          <w:color w:val="auto"/>
        </w:rPr>
      </w:pPr>
    </w:p>
    <w:p>
      <w:pPr>
        <w:ind w:left="700" w:right="220"/>
        <w:spacing w:after="0" w:line="306" w:lineRule="auto"/>
        <w:rPr>
          <w:sz w:val="20"/>
          <w:szCs w:val="20"/>
          <w:color w:val="auto"/>
        </w:rPr>
      </w:pPr>
      <w:r>
        <w:rPr>
          <w:rFonts w:ascii="Arial" w:cs="Arial" w:eastAsia="Arial" w:hAnsi="Arial"/>
          <w:sz w:val="20"/>
          <w:szCs w:val="20"/>
          <w:color w:val="auto"/>
        </w:rPr>
        <w:t>Total sales for the third quarter were $121.5 million, up 42.6% from $85.2 million in the third quarter of fiscal 2020 and up 14.0% from $106.6 million in the third quarter of fiscal 2019. Compared to the third quarter of fiscal 2019, comparable sales increased 22.9%.</w:t>
      </w:r>
    </w:p>
    <w:p>
      <w:pPr>
        <w:spacing w:after="0" w:line="160" w:lineRule="exact"/>
        <w:rPr>
          <w:sz w:val="20"/>
          <w:szCs w:val="20"/>
          <w:color w:val="auto"/>
        </w:rPr>
      </w:pPr>
    </w:p>
    <w:p>
      <w:pPr>
        <w:ind w:left="700" w:right="80"/>
        <w:spacing w:after="0" w:line="306" w:lineRule="auto"/>
        <w:rPr>
          <w:sz w:val="20"/>
          <w:szCs w:val="20"/>
          <w:color w:val="auto"/>
        </w:rPr>
      </w:pPr>
      <w:r>
        <w:rPr>
          <w:rFonts w:ascii="Arial" w:cs="Arial" w:eastAsia="Arial" w:hAnsi="Arial"/>
          <w:sz w:val="20"/>
          <w:szCs w:val="20"/>
          <w:color w:val="auto"/>
        </w:rPr>
        <w:t>Net income for the third quarter was $13.7 million, or $0.20 per diluted share, as compared to a net loss of $(7.0) million, or $(0.14) per diluted share, in the third quarter of fiscal 2020 and a net loss of $(7.2) million, or $(0.14) per diluted share, in the third quarter of fiscal 2019.</w:t>
      </w:r>
    </w:p>
    <w:p>
      <w:pPr>
        <w:spacing w:after="0" w:line="146" w:lineRule="exact"/>
        <w:rPr>
          <w:sz w:val="20"/>
          <w:szCs w:val="20"/>
          <w:color w:val="auto"/>
        </w:rPr>
      </w:pPr>
    </w:p>
    <w:p>
      <w:pPr>
        <w:ind w:left="700" w:right="400"/>
        <w:spacing w:after="0" w:line="317" w:lineRule="auto"/>
        <w:rPr>
          <w:sz w:val="20"/>
          <w:szCs w:val="20"/>
          <w:color w:val="auto"/>
        </w:rPr>
      </w:pPr>
      <w:r>
        <w:rPr>
          <w:rFonts w:ascii="Arial" w:cs="Arial" w:eastAsia="Arial" w:hAnsi="Arial"/>
          <w:sz w:val="20"/>
          <w:szCs w:val="20"/>
          <w:color w:val="auto"/>
        </w:rPr>
        <w:t>Adjusted EBITDA for the third quarter was $19.0 million compared to $(1.7) million in the third quarter of fiscal 2020 and $1.7 million in the third quarter of fiscal 2019.</w:t>
      </w:r>
    </w:p>
    <w:p>
      <w:pPr>
        <w:spacing w:after="0" w:line="135" w:lineRule="exact"/>
        <w:rPr>
          <w:sz w:val="20"/>
          <w:szCs w:val="20"/>
          <w:color w:val="auto"/>
        </w:rPr>
      </w:pPr>
    </w:p>
    <w:p>
      <w:pPr>
        <w:jc w:val="both"/>
        <w:ind w:left="700" w:right="80"/>
        <w:spacing w:after="0" w:line="328" w:lineRule="auto"/>
        <w:rPr>
          <w:sz w:val="20"/>
          <w:szCs w:val="20"/>
          <w:color w:val="auto"/>
        </w:rPr>
      </w:pPr>
      <w:r>
        <w:rPr>
          <w:rFonts w:ascii="Arial" w:cs="Arial" w:eastAsia="Arial" w:hAnsi="Arial"/>
          <w:sz w:val="19"/>
          <w:szCs w:val="19"/>
          <w:color w:val="auto"/>
        </w:rPr>
        <w:t>Cash Flow from operations for the first nine months of fiscal 2021 was $64.2 million as compared to the first nine months of fiscal 2020 of $(8.6) million and the first nine months of fiscal 2019 of $(14.4) million. Free Cash Flow was $61.3 million as compared to $(11.6) million for the first nine months of 2020 and $(25.4) million for the first nine months of fiscal 2019.</w:t>
      </w:r>
    </w:p>
    <w:p>
      <w:pPr>
        <w:spacing w:after="0" w:line="144" w:lineRule="exact"/>
        <w:rPr>
          <w:sz w:val="20"/>
          <w:szCs w:val="20"/>
          <w:color w:val="auto"/>
        </w:rPr>
      </w:pPr>
    </w:p>
    <w:p>
      <w:pPr>
        <w:jc w:val="both"/>
        <w:ind w:left="700" w:right="480"/>
        <w:spacing w:after="0" w:line="353" w:lineRule="auto"/>
        <w:rPr>
          <w:sz w:val="20"/>
          <w:szCs w:val="20"/>
          <w:color w:val="auto"/>
        </w:rPr>
      </w:pPr>
      <w:r>
        <w:rPr>
          <w:rFonts w:ascii="Arial" w:cs="Arial" w:eastAsia="Arial" w:hAnsi="Arial"/>
          <w:sz w:val="18"/>
          <w:szCs w:val="18"/>
          <w:color w:val="auto"/>
        </w:rPr>
        <w:t>At October 30, 2021, there was no debt outstanding and total cash of $6.9 million, compared to total debt, net of cash, of $61.5 million at October 31, 2020 and $77.5 million at November 2, 2019. Availability under our credit facility was $74.0 million at October 30, 2021 as compared to $13.5 million at October 31, 2020 and $40.6 million at November 2, 2019.</w:t>
      </w:r>
    </w:p>
    <w:p>
      <w:pPr>
        <w:spacing w:after="0" w:line="147"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Management’s Comments</w:t>
      </w:r>
    </w:p>
    <w:p>
      <w:pPr>
        <w:spacing w:after="0" w:line="195" w:lineRule="exact"/>
        <w:rPr>
          <w:sz w:val="20"/>
          <w:szCs w:val="20"/>
          <w:color w:val="auto"/>
        </w:rPr>
      </w:pPr>
    </w:p>
    <w:p>
      <w:pPr>
        <w:spacing w:after="0" w:line="329" w:lineRule="auto"/>
        <w:rPr>
          <w:sz w:val="20"/>
          <w:szCs w:val="20"/>
          <w:color w:val="auto"/>
        </w:rPr>
      </w:pPr>
      <w:r>
        <w:rPr>
          <w:rFonts w:ascii="Arial" w:cs="Arial" w:eastAsia="Arial" w:hAnsi="Arial"/>
          <w:sz w:val="18"/>
          <w:szCs w:val="18"/>
          <w:color w:val="auto"/>
        </w:rPr>
        <w:t>“I am very pleased to report that our business continued to grow across all customer channels and we believe we are actively growing our market share. Our primary focus is on customer acquisition, which was up 34% this quarter over fiscal 2019 and then generating repeat visits driving greater lifetime value. We continue to transform DXL’s brand positioning to further target the addressable market, acquire new customers and achieve a greater lifetime value across our entire customer file,” said Harvey Kanter, President and Chief Executive Officer.</w:t>
      </w:r>
    </w:p>
    <w:p>
      <w:pPr>
        <w:spacing w:after="0" w:line="94" w:lineRule="exact"/>
        <w:rPr>
          <w:sz w:val="20"/>
          <w:szCs w:val="20"/>
          <w:color w:val="auto"/>
        </w:rPr>
      </w:pPr>
    </w:p>
    <w:p>
      <w:pPr>
        <w:ind w:right="40"/>
        <w:spacing w:after="0" w:line="288" w:lineRule="auto"/>
        <w:rPr>
          <w:sz w:val="20"/>
          <w:szCs w:val="20"/>
          <w:color w:val="auto"/>
        </w:rPr>
      </w:pPr>
      <w:r>
        <w:rPr>
          <w:rFonts w:ascii="Arial" w:cs="Arial" w:eastAsia="Arial" w:hAnsi="Arial"/>
          <w:sz w:val="20"/>
          <w:szCs w:val="20"/>
          <w:color w:val="auto"/>
        </w:rPr>
        <w:t>Kanter continued, “With our strong balance sheet, we believe we are well positioned to pursue an aggressive growth strategy. At the end of the third quarter, we were debt-free and had cash on hand of $6.9 million. During the quarter, we entered into a new $125.0 million revolving credit facility, which extends our facility to October 2026 at more favorable rates. Lastly, during the quarter we prepaid in full our FILO loan obligation.</w:t>
      </w:r>
    </w:p>
    <w:p>
      <w:pPr>
        <w:spacing w:after="0" w:line="111" w:lineRule="exact"/>
        <w:rPr>
          <w:sz w:val="20"/>
          <w:szCs w:val="20"/>
          <w:color w:val="auto"/>
        </w:rPr>
      </w:pPr>
    </w:p>
    <w:p>
      <w:pPr>
        <w:ind w:right="60"/>
        <w:spacing w:after="0" w:line="278" w:lineRule="auto"/>
        <w:rPr>
          <w:sz w:val="20"/>
          <w:szCs w:val="20"/>
          <w:color w:val="auto"/>
        </w:rPr>
      </w:pPr>
      <w:r>
        <w:rPr>
          <w:rFonts w:ascii="Arial" w:cs="Arial" w:eastAsia="Arial" w:hAnsi="Arial"/>
          <w:sz w:val="20"/>
          <w:szCs w:val="20"/>
          <w:color w:val="auto"/>
        </w:rPr>
        <w:t>“We are incredibly enthusiastic about the momentum DXL has already generated this year. Given our year-to-date performance, we are raising our full-year guidance, but we are also equally concerned about the ongoing and meaningful supply chain and labor issues that we are grappling with daily,” Kanter concluded.</w:t>
      </w:r>
    </w:p>
    <w:p>
      <w:pPr>
        <w:spacing w:after="0" w:line="200"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237490</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9" w:right="339" w:bottom="1440" w:gutter="0" w:footer="0" w:header="0"/>
        </w:sectPr>
      </w:pPr>
    </w:p>
    <w:bookmarkStart w:id="4" w:name="page5"/>
    <w:bookmarkEnd w:id="4"/>
    <w:p>
      <w:pPr>
        <w:spacing w:after="0"/>
        <w:rPr>
          <w:sz w:val="20"/>
          <w:szCs w:val="20"/>
          <w:color w:val="auto"/>
        </w:rPr>
      </w:pPr>
      <w:r>
        <w:rPr>
          <w:rFonts w:ascii="Arial" w:cs="Arial" w:eastAsia="Arial" w:hAnsi="Arial"/>
          <w:sz w:val="20"/>
          <w:szCs w:val="20"/>
          <w:b w:val="1"/>
          <w:bCs w:val="1"/>
          <w:u w:val="single" w:color="auto"/>
          <w:color w:val="auto"/>
        </w:rPr>
        <w:t>Third Quarter Results</w:t>
      </w:r>
    </w:p>
    <w:p>
      <w:pPr>
        <w:spacing w:after="0" w:line="181" w:lineRule="exact"/>
        <w:rPr>
          <w:sz w:val="20"/>
          <w:szCs w:val="20"/>
          <w:color w:val="auto"/>
        </w:rPr>
      </w:pPr>
    </w:p>
    <w:p>
      <w:pPr>
        <w:ind w:right="60"/>
        <w:spacing w:after="0" w:line="292" w:lineRule="auto"/>
        <w:rPr>
          <w:sz w:val="20"/>
          <w:szCs w:val="20"/>
          <w:color w:val="auto"/>
        </w:rPr>
      </w:pPr>
      <w:r>
        <w:rPr>
          <w:rFonts w:ascii="Arial" w:cs="Arial" w:eastAsia="Arial" w:hAnsi="Arial"/>
          <w:sz w:val="20"/>
          <w:szCs w:val="20"/>
          <w:i w:val="1"/>
          <w:iCs w:val="1"/>
          <w:color w:val="auto"/>
        </w:rPr>
        <w:t>In addition to referring to fiscal 2020, the following review of our third quarter results for fiscal 2021 also includes comparisons to our third quarter results for fiscal 2019. Due to the COVID-19 pandemic and its impact on our results during the third quarter of fiscal 2020, we believe that comparisons to our results from the third quarter of fiscal 2019 are more informative.</w:t>
      </w:r>
    </w:p>
    <w:p>
      <w:pPr>
        <w:spacing w:after="0" w:line="119"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Sales</w:t>
      </w:r>
    </w:p>
    <w:p>
      <w:pPr>
        <w:spacing w:after="0" w:line="189" w:lineRule="exact"/>
        <w:rPr>
          <w:sz w:val="20"/>
          <w:szCs w:val="20"/>
          <w:color w:val="auto"/>
        </w:rPr>
      </w:pPr>
    </w:p>
    <w:p>
      <w:pPr>
        <w:ind w:right="580"/>
        <w:spacing w:after="0" w:line="317" w:lineRule="auto"/>
        <w:rPr>
          <w:sz w:val="20"/>
          <w:szCs w:val="20"/>
          <w:color w:val="auto"/>
        </w:rPr>
      </w:pPr>
      <w:r>
        <w:rPr>
          <w:rFonts w:ascii="Arial" w:cs="Arial" w:eastAsia="Arial" w:hAnsi="Arial"/>
          <w:sz w:val="20"/>
          <w:szCs w:val="20"/>
          <w:color w:val="auto"/>
        </w:rPr>
        <w:t>Total sales for the third quarter of fiscal 2021 were $121.5 million, as compared to $85.2 million in the third quarter of fiscal 2020 and $106.6 million in the third quarter of fiscal 2019.</w:t>
      </w:r>
    </w:p>
    <w:p>
      <w:pPr>
        <w:spacing w:after="0" w:line="67" w:lineRule="exact"/>
        <w:rPr>
          <w:sz w:val="20"/>
          <w:szCs w:val="20"/>
          <w:color w:val="auto"/>
        </w:rPr>
      </w:pPr>
    </w:p>
    <w:p>
      <w:pPr>
        <w:ind w:right="20"/>
        <w:spacing w:after="0" w:line="292" w:lineRule="auto"/>
        <w:rPr>
          <w:sz w:val="20"/>
          <w:szCs w:val="20"/>
          <w:color w:val="auto"/>
        </w:rPr>
      </w:pPr>
      <w:r>
        <w:rPr>
          <w:rFonts w:ascii="Arial" w:cs="Arial" w:eastAsia="Arial" w:hAnsi="Arial"/>
          <w:sz w:val="20"/>
          <w:szCs w:val="20"/>
          <w:color w:val="auto"/>
        </w:rPr>
        <w:t>As compared to the third quarter of fiscal 2019, comparable sales for the third quarter were up 22.9% driven primarily by our direct business, which was up 56.5% and our stores, which were up 12.9%. The increase in our direct business was principally due to our DXL.com e-commerce site, which had a sales increase of 66.8% as compared to the third quarter of fiscal 2019.</w:t>
      </w:r>
    </w:p>
    <w:p>
      <w:pPr>
        <w:spacing w:after="0" w:line="106" w:lineRule="exact"/>
        <w:rPr>
          <w:sz w:val="20"/>
          <w:szCs w:val="20"/>
          <w:color w:val="auto"/>
        </w:rPr>
      </w:pPr>
    </w:p>
    <w:p>
      <w:pPr>
        <w:ind w:right="40"/>
        <w:spacing w:after="0" w:line="302" w:lineRule="auto"/>
        <w:rPr>
          <w:sz w:val="20"/>
          <w:szCs w:val="20"/>
          <w:color w:val="auto"/>
        </w:rPr>
      </w:pPr>
      <w:r>
        <w:rPr>
          <w:rFonts w:ascii="Arial" w:cs="Arial" w:eastAsia="Arial" w:hAnsi="Arial"/>
          <w:sz w:val="19"/>
          <w:szCs w:val="19"/>
          <w:color w:val="auto"/>
        </w:rPr>
        <w:t>The comparable sales growth in stores of 12.9% was driven by strong conversion rates and an increase in dollars per transaction. All regions reported a comparable sales increase for the third quarter, as compared to the third quarter of fiscal 2019, with the strongest improvements in the Southeast, Midwest, and South Central parts of the country, which exceeded the Pacific Northwest, Northeast and Mid-Atlantic by approximately 500 basis points. As a result of the growth experienced in our direct business during the third quarter of fiscal 2021, direct sales represented 29.7% of total retail sales as compared to 21.9% of total retail sales in the third quarter of fiscal 2019. Through our digital efforts and marketplace presence, we are attracting a new customer to DXL and during the third quarter we saw a 34% increase as compared to 2019 in our new-to-file which contributed to our top-line growth.</w:t>
      </w:r>
    </w:p>
    <w:p>
      <w:pPr>
        <w:spacing w:after="0" w:line="114" w:lineRule="exact"/>
        <w:rPr>
          <w:sz w:val="20"/>
          <w:szCs w:val="20"/>
          <w:color w:val="auto"/>
        </w:rPr>
      </w:pPr>
    </w:p>
    <w:p>
      <w:pPr>
        <w:jc w:val="both"/>
        <w:ind w:right="160"/>
        <w:spacing w:after="0" w:line="306" w:lineRule="auto"/>
        <w:rPr>
          <w:sz w:val="20"/>
          <w:szCs w:val="20"/>
          <w:color w:val="auto"/>
        </w:rPr>
      </w:pPr>
      <w:r>
        <w:rPr>
          <w:rFonts w:ascii="Arial" w:cs="Arial" w:eastAsia="Arial" w:hAnsi="Arial"/>
          <w:sz w:val="20"/>
          <w:szCs w:val="20"/>
          <w:color w:val="auto"/>
        </w:rPr>
        <w:t>Sales from our wholesale business were $0.9 million for the third quarter, as compared to $5.0 million in the third quarter of 2020 and $2.9 million in the third quarter of 2019. The decrease in sales from our wholesale business during the third quarter of fiscal 2021 was primarily due to supply chain challenges and their impact on order volume.</w:t>
      </w:r>
    </w:p>
    <w:p>
      <w:pPr>
        <w:spacing w:after="0" w:line="79"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Gross Margin</w:t>
      </w:r>
    </w:p>
    <w:p>
      <w:pPr>
        <w:spacing w:after="0" w:line="189" w:lineRule="exact"/>
        <w:rPr>
          <w:sz w:val="20"/>
          <w:szCs w:val="20"/>
          <w:color w:val="auto"/>
        </w:rPr>
      </w:pPr>
    </w:p>
    <w:p>
      <w:pPr>
        <w:ind w:right="340"/>
        <w:spacing w:after="0" w:line="317" w:lineRule="auto"/>
        <w:rPr>
          <w:sz w:val="20"/>
          <w:szCs w:val="20"/>
          <w:color w:val="auto"/>
        </w:rPr>
      </w:pPr>
      <w:r>
        <w:rPr>
          <w:rFonts w:ascii="Arial" w:cs="Arial" w:eastAsia="Arial" w:hAnsi="Arial"/>
          <w:sz w:val="20"/>
          <w:szCs w:val="20"/>
          <w:color w:val="auto"/>
        </w:rPr>
        <w:t>For the third quarter of fiscal 2021, our gross margin rate, inclusive of occupancy costs, was 50.2% as compared to a gross margin rate of 36.5% for third quarter of fiscal 2020 and 41.1% for the third quarter of fiscal 2019.</w:t>
      </w:r>
    </w:p>
    <w:p>
      <w:pPr>
        <w:spacing w:after="0" w:line="67" w:lineRule="exact"/>
        <w:rPr>
          <w:sz w:val="20"/>
          <w:szCs w:val="20"/>
          <w:color w:val="auto"/>
        </w:rPr>
      </w:pPr>
    </w:p>
    <w:p>
      <w:pPr>
        <w:spacing w:after="0" w:line="298" w:lineRule="auto"/>
        <w:rPr>
          <w:sz w:val="20"/>
          <w:szCs w:val="20"/>
          <w:color w:val="auto"/>
        </w:rPr>
      </w:pPr>
      <w:r>
        <w:rPr>
          <w:rFonts w:ascii="Arial" w:cs="Arial" w:eastAsia="Arial" w:hAnsi="Arial"/>
          <w:sz w:val="20"/>
          <w:szCs w:val="20"/>
          <w:color w:val="auto"/>
        </w:rPr>
        <w:t>As compared to fiscal 2019, our gross margin rate improved by 910 basis points, driven by a 430 basis point improvement in merchandise margins and a 480 basis point improvement in occupancy costs. On a dollar basis, our occupancy costs decreased by $3.2 million, as a result of our lease renegotiations as well as closed stores. The improvement in merchandise margin was primarily driven by our low promotional strategy and low clearance levels. Partially offsetting the savings from the reduction in markdowns was the continuing increase in the cost of freight due to shortages of vessels for overseas product, port congestion, and labor shortages of truck drivers. We estimate that the supply chain disruptions negatively impacted gross margin by approximately 100 basis points and we expect that we will continue to experience cost increases related to these supply chain issues as well as due to the increase in the cost of certain raw materials, particularly cotton, well into fiscal 2022.</w:t>
      </w:r>
    </w:p>
    <w:p>
      <w:pPr>
        <w:spacing w:after="0" w:line="200"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Selling, General &amp; Administrative</w:t>
      </w:r>
    </w:p>
    <w:p>
      <w:pPr>
        <w:spacing w:after="0" w:line="175" w:lineRule="exact"/>
        <w:rPr>
          <w:sz w:val="20"/>
          <w:szCs w:val="20"/>
          <w:color w:val="auto"/>
        </w:rPr>
      </w:pPr>
    </w:p>
    <w:p>
      <w:pPr>
        <w:spacing w:after="0" w:line="317" w:lineRule="auto"/>
        <w:rPr>
          <w:sz w:val="20"/>
          <w:szCs w:val="20"/>
          <w:color w:val="auto"/>
        </w:rPr>
      </w:pPr>
      <w:r>
        <w:rPr>
          <w:rFonts w:ascii="Arial" w:cs="Arial" w:eastAsia="Arial" w:hAnsi="Arial"/>
          <w:sz w:val="20"/>
          <w:szCs w:val="20"/>
          <w:color w:val="auto"/>
        </w:rPr>
        <w:t>As a percentage of sales, SG&amp;A (selling, general and administrative) expenses for the third quarter of fiscal 2021 were 34.5% as compared to 38.5% for the third quarter of fiscal 2020 and 39.5% for the third quarter of fiscal 2019.</w:t>
      </w:r>
    </w:p>
    <w:p>
      <w:pPr>
        <w:spacing w:after="0" w:line="108" w:lineRule="exact"/>
        <w:rPr>
          <w:sz w:val="20"/>
          <w:szCs w:val="20"/>
          <w:color w:val="auto"/>
        </w:rPr>
      </w:pPr>
    </w:p>
    <w:p>
      <w:pPr>
        <w:ind w:right="40"/>
        <w:spacing w:after="0" w:line="306" w:lineRule="auto"/>
        <w:rPr>
          <w:sz w:val="20"/>
          <w:szCs w:val="20"/>
          <w:color w:val="auto"/>
        </w:rPr>
      </w:pPr>
      <w:r>
        <w:rPr>
          <w:rFonts w:ascii="Arial" w:cs="Arial" w:eastAsia="Arial" w:hAnsi="Arial"/>
          <w:sz w:val="20"/>
          <w:szCs w:val="20"/>
          <w:color w:val="auto"/>
        </w:rPr>
        <w:t>On a dollar basis, SG&amp;A expenses decreased by $0.1 million as compared to the third quarter of fiscal 2019. SG&amp;A expenses for the third quarter of fiscal 2021 reflected an increase in advertising expenses, incentive-based accruals and merit adjustments, offset by lower store and corporate payroll as a result of preserving last year’s headcount reductions.</w:t>
      </w:r>
    </w:p>
    <w:p>
      <w:pPr>
        <w:spacing w:after="0" w:line="106"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237490</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92" w:right="359" w:bottom="1440" w:gutter="0" w:footer="0" w:header="0"/>
        </w:sectPr>
      </w:pPr>
    </w:p>
    <w:bookmarkStart w:id="5" w:name="page6"/>
    <w:bookmarkEnd w:id="5"/>
    <w:p>
      <w:pPr>
        <w:ind w:right="80"/>
        <w:spacing w:after="0" w:line="301" w:lineRule="auto"/>
        <w:rPr>
          <w:sz w:val="20"/>
          <w:szCs w:val="20"/>
          <w:color w:val="auto"/>
        </w:rPr>
      </w:pPr>
      <w:r>
        <w:rPr>
          <w:rFonts w:ascii="Arial" w:cs="Arial" w:eastAsia="Arial" w:hAnsi="Arial"/>
          <w:sz w:val="20"/>
          <w:szCs w:val="20"/>
          <w:color w:val="auto"/>
        </w:rPr>
        <w:t>Management views SG&amp;A expenses through two primary cost centers: Customer Facing Costs and Corporate Support Costs. Customer Facing Costs, which include store payroll, marketing and other store and direct operating costs, represented 19.6% of sales in the third quarter of fiscal 2021 as compared to 22.0% of sales in the third quarter of fiscal 2019. Corporate Support Costs, which include the distribution center and corporate overhead costs, represented 14.9% of sales in the third quarter of fiscal 2021 compared to 17.5% of sales in the third quarter of fiscal 2019.</w:t>
      </w:r>
    </w:p>
    <w:p>
      <w:pPr>
        <w:spacing w:after="0" w:line="83"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Impairment of Assets</w:t>
      </w:r>
    </w:p>
    <w:p>
      <w:pPr>
        <w:spacing w:after="0" w:line="162" w:lineRule="exact"/>
        <w:rPr>
          <w:sz w:val="20"/>
          <w:szCs w:val="20"/>
          <w:color w:val="auto"/>
        </w:rPr>
      </w:pPr>
    </w:p>
    <w:p>
      <w:pPr>
        <w:ind w:right="120"/>
        <w:spacing w:after="0" w:line="317" w:lineRule="auto"/>
        <w:rPr>
          <w:sz w:val="20"/>
          <w:szCs w:val="20"/>
          <w:color w:val="auto"/>
        </w:rPr>
      </w:pPr>
      <w:r>
        <w:rPr>
          <w:rFonts w:ascii="Arial" w:cs="Arial" w:eastAsia="Arial" w:hAnsi="Arial"/>
          <w:sz w:val="19"/>
          <w:szCs w:val="19"/>
          <w:color w:val="auto"/>
        </w:rPr>
        <w:t>During the third quarter of fiscal 2021 and fiscal 2020, the Company recorded non-cash gains of $1.2 million and $1.2 million, respectively, on the reduction of its operating lease liability in connection with its decision to close certain retail stores, which resulted in a revaluation of the lease liability. Of the total non-cash gains, $1.1 million and $1.1 million for the third quarter of fiscal 2021 and fiscal 2020, respectively, related to leases where the right-of-use assets had previously been impaired, and therefore, were recorded as a reduction of the previously-recorded impairment and were included in the Impairment of Assets line of the Consolidated Statement of Operations for the three months ended October 30, 2021 and October 31, 2020. The remaining gain of $0.1 million in each the third quarter of fiscal 2021 and fiscal 2020 was recorded as a reduction to occupancy costs in each period.</w:t>
      </w:r>
    </w:p>
    <w:p>
      <w:pPr>
        <w:spacing w:after="0" w:line="72"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Interest Expense</w:t>
      </w:r>
    </w:p>
    <w:p>
      <w:pPr>
        <w:spacing w:after="0" w:line="162" w:lineRule="exact"/>
        <w:rPr>
          <w:sz w:val="20"/>
          <w:szCs w:val="20"/>
          <w:color w:val="auto"/>
        </w:rPr>
      </w:pPr>
    </w:p>
    <w:p>
      <w:pPr>
        <w:ind w:right="20"/>
        <w:spacing w:after="0" w:line="300" w:lineRule="auto"/>
        <w:rPr>
          <w:sz w:val="20"/>
          <w:szCs w:val="20"/>
          <w:color w:val="auto"/>
        </w:rPr>
      </w:pPr>
      <w:r>
        <w:rPr>
          <w:rFonts w:ascii="Arial" w:cs="Arial" w:eastAsia="Arial" w:hAnsi="Arial"/>
          <w:sz w:val="20"/>
          <w:szCs w:val="20"/>
          <w:color w:val="auto"/>
        </w:rPr>
        <w:t>Interest expense for third quarter of fiscal 2021 was $2.2 million, as compared to $1.1 million for the third quarter of fiscal 2020 and $0.9 million for the third quarter of fiscal 2019. The increase in interest expense for the third quarter of fiscal 2021 was due to a prepayment penalty of $1.1 million in connection with the Company's early repayment of its $17.5 million FILO loan and well as $0.8 million in the write-off of unamortized debt issuance costs associated with both the Company's FILO loan and the Company's prior credit facility. These costs were partially offset by a decrease in interest expense due to reduced borrowing levels in the third quarter of fiscal 2021 as compared to the prior years' third quarters.</w:t>
      </w:r>
    </w:p>
    <w:p>
      <w:pPr>
        <w:spacing w:after="0" w:line="84"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Net Income (Loss)</w:t>
      </w:r>
    </w:p>
    <w:p>
      <w:pPr>
        <w:spacing w:after="0" w:line="189" w:lineRule="exact"/>
        <w:rPr>
          <w:sz w:val="20"/>
          <w:szCs w:val="20"/>
          <w:color w:val="auto"/>
        </w:rPr>
      </w:pPr>
    </w:p>
    <w:p>
      <w:pPr>
        <w:jc w:val="both"/>
        <w:ind w:right="220"/>
        <w:spacing w:after="0" w:line="306" w:lineRule="auto"/>
        <w:rPr>
          <w:sz w:val="20"/>
          <w:szCs w:val="20"/>
          <w:color w:val="auto"/>
        </w:rPr>
      </w:pPr>
      <w:r>
        <w:rPr>
          <w:rFonts w:ascii="Arial" w:cs="Arial" w:eastAsia="Arial" w:hAnsi="Arial"/>
          <w:sz w:val="20"/>
          <w:szCs w:val="20"/>
          <w:color w:val="auto"/>
        </w:rPr>
        <w:t>For the third quarter of fiscal 2021, we recorded net income of $13.7 million, or $0.20 per diluted share, compared with a net loss of $(7.0) million, or $(0.14) per diluted share, for the third quarter of fiscal 2020 and a net loss of $(7.2) million, or $(0.14) per diluted share, for the third quarter of fiscal 2019.</w:t>
      </w:r>
    </w:p>
    <w:p>
      <w:pPr>
        <w:spacing w:after="0" w:line="79"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Adjusted EBITDA</w:t>
      </w:r>
    </w:p>
    <w:p>
      <w:pPr>
        <w:spacing w:after="0" w:line="162" w:lineRule="exact"/>
        <w:rPr>
          <w:sz w:val="20"/>
          <w:szCs w:val="20"/>
          <w:color w:val="auto"/>
        </w:rPr>
      </w:pPr>
    </w:p>
    <w:p>
      <w:pPr>
        <w:ind w:right="380"/>
        <w:spacing w:after="0" w:line="317" w:lineRule="auto"/>
        <w:rPr>
          <w:sz w:val="20"/>
          <w:szCs w:val="20"/>
          <w:color w:val="auto"/>
        </w:rPr>
      </w:pPr>
      <w:r>
        <w:rPr>
          <w:rFonts w:ascii="Arial" w:cs="Arial" w:eastAsia="Arial" w:hAnsi="Arial"/>
          <w:sz w:val="20"/>
          <w:szCs w:val="20"/>
          <w:color w:val="auto"/>
        </w:rPr>
        <w:t>Adjusted EBITDA, a non-GAAP measure, for the third quarter of fiscal 2021 was $19.0 million, compared to $(1.7) million for the third quarter of fiscal 2020 and $1.7 million for the third quarter of fiscal 2019.</w:t>
      </w:r>
    </w:p>
    <w:p>
      <w:pPr>
        <w:spacing w:after="0" w:line="94"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Cash Flow</w:t>
      </w:r>
    </w:p>
    <w:p>
      <w:pPr>
        <w:spacing w:after="0" w:line="256" w:lineRule="exact"/>
        <w:rPr>
          <w:sz w:val="20"/>
          <w:szCs w:val="20"/>
          <w:color w:val="auto"/>
        </w:rPr>
      </w:pPr>
    </w:p>
    <w:p>
      <w:pPr>
        <w:spacing w:after="0" w:line="345" w:lineRule="auto"/>
        <w:rPr>
          <w:sz w:val="20"/>
          <w:szCs w:val="20"/>
          <w:color w:val="auto"/>
        </w:rPr>
      </w:pPr>
      <w:r>
        <w:rPr>
          <w:rFonts w:ascii="Arial" w:cs="Arial" w:eastAsia="Arial" w:hAnsi="Arial"/>
          <w:sz w:val="18"/>
          <w:szCs w:val="18"/>
          <w:color w:val="auto"/>
        </w:rPr>
        <w:t>Cash flow from operations for the first nine months of fiscal 2021 was $64.2 million as compared to $(8.6) million for the first nine months of fiscal 2020 and $(14.4) million for the first nine months of fiscal 2019. Free cash flow was $61.3 million for the first nine months of fiscal 2021 as compared to $(11.6) million for the first nine months of fiscal 2020 and $(25.4) million for the first nine months of fiscal 2019. The improvement in free cash flow was primarily the result of the improvement in earnings as well as faster inventory turnover.</w:t>
      </w:r>
    </w:p>
    <w:p>
      <w:pPr>
        <w:spacing w:after="0" w:line="160" w:lineRule="exact"/>
        <w:rPr>
          <w:sz w:val="20"/>
          <w:szCs w:val="20"/>
          <w:color w:val="auto"/>
        </w:rPr>
      </w:pPr>
    </w:p>
    <w:p>
      <w:pPr>
        <w:ind w:right="160"/>
        <w:spacing w:after="0" w:line="317" w:lineRule="auto"/>
        <w:rPr>
          <w:sz w:val="20"/>
          <w:szCs w:val="20"/>
          <w:color w:val="auto"/>
        </w:rPr>
      </w:pPr>
      <w:r>
        <w:rPr>
          <w:rFonts w:ascii="Arial" w:cs="Arial" w:eastAsia="Arial" w:hAnsi="Arial"/>
          <w:sz w:val="20"/>
          <w:szCs w:val="20"/>
          <w:color w:val="auto"/>
        </w:rPr>
        <w:t>Our capital expenditures for fiscal 2021 are expected to be limited to maintenance capital necessary to support our business strategy and we have no new or remodeled stores planned for the remainder of fiscal 2021.</w:t>
      </w:r>
    </w:p>
    <w:p>
      <w:pPr>
        <w:spacing w:after="0" w:line="54"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237490</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58" w:right="359" w:bottom="1440" w:gutter="0" w:footer="0" w:header="0"/>
        </w:sectPr>
      </w:pPr>
    </w:p>
    <w:bookmarkStart w:id="6" w:name="page7"/>
    <w:bookmarkEnd w:id="6"/>
    <w:tbl>
      <w:tblPr>
        <w:tblLayout w:type="fixed"/>
        <w:tblInd w:w="0" w:type="dxa"/>
        <w:tblCellMar>
          <w:top w:w="0" w:type="dxa"/>
          <w:left w:w="0" w:type="dxa"/>
          <w:bottom w:w="0" w:type="dxa"/>
          <w:right w:w="0" w:type="dxa"/>
        </w:tblCellMar>
      </w:tblPr>
      <w:tr>
        <w:trPr>
          <w:trHeight w:val="182"/>
        </w:trPr>
        <w:tc>
          <w:tcPr>
            <w:tcW w:w="52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920" w:type="dxa"/>
            <w:vAlign w:val="bottom"/>
            <w:gridSpan w:val="2"/>
          </w:tcPr>
          <w:p>
            <w:pPr>
              <w:jc w:val="center"/>
              <w:ind w:right="380"/>
              <w:spacing w:after="0"/>
              <w:rPr>
                <w:sz w:val="20"/>
                <w:szCs w:val="20"/>
                <w:color w:val="auto"/>
              </w:rPr>
            </w:pPr>
            <w:r>
              <w:rPr>
                <w:rFonts w:ascii="Arial" w:cs="Arial" w:eastAsia="Arial" w:hAnsi="Arial"/>
                <w:sz w:val="14"/>
                <w:szCs w:val="14"/>
                <w:color w:val="auto"/>
                <w:w w:val="92"/>
              </w:rPr>
              <w:t>For the nine months ended</w:t>
            </w:r>
          </w:p>
        </w:tc>
        <w:tc>
          <w:tcPr>
            <w:tcW w:w="22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80" w:type="dxa"/>
            <w:vAlign w:val="bottom"/>
          </w:tcPr>
          <w:p>
            <w:pPr>
              <w:spacing w:after="0"/>
              <w:rPr>
                <w:sz w:val="15"/>
                <w:szCs w:val="15"/>
                <w:color w:val="auto"/>
              </w:rPr>
            </w:pPr>
          </w:p>
        </w:tc>
      </w:tr>
      <w:tr>
        <w:trPr>
          <w:trHeight w:val="214"/>
        </w:trPr>
        <w:tc>
          <w:tcPr>
            <w:tcW w:w="5240" w:type="dxa"/>
            <w:vAlign w:val="bottom"/>
          </w:tcPr>
          <w:p>
            <w:pPr>
              <w:ind w:left="20"/>
              <w:spacing w:after="0"/>
              <w:rPr>
                <w:sz w:val="20"/>
                <w:szCs w:val="20"/>
                <w:color w:val="auto"/>
              </w:rPr>
            </w:pPr>
            <w:r>
              <w:rPr>
                <w:rFonts w:ascii="Arial" w:cs="Arial" w:eastAsia="Arial" w:hAnsi="Arial"/>
                <w:sz w:val="14"/>
                <w:szCs w:val="14"/>
                <w:i w:val="1"/>
                <w:iCs w:val="1"/>
                <w:color w:val="auto"/>
              </w:rPr>
              <w:t>(in millions)</w:t>
            </w:r>
          </w:p>
        </w:tc>
        <w:tc>
          <w:tcPr>
            <w:tcW w:w="22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tcPr>
          <w:p>
            <w:pPr>
              <w:jc w:val="right"/>
              <w:ind w:right="308"/>
              <w:spacing w:after="0"/>
              <w:rPr>
                <w:sz w:val="20"/>
                <w:szCs w:val="20"/>
                <w:color w:val="auto"/>
              </w:rPr>
            </w:pPr>
            <w:r>
              <w:rPr>
                <w:rFonts w:ascii="Arial" w:cs="Arial" w:eastAsia="Arial" w:hAnsi="Arial"/>
                <w:sz w:val="14"/>
                <w:szCs w:val="14"/>
                <w:color w:val="auto"/>
              </w:rPr>
              <w:t>October 30, 2021</w:t>
            </w:r>
          </w:p>
        </w:tc>
        <w:tc>
          <w:tcPr>
            <w:tcW w:w="28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660" w:type="dxa"/>
            <w:vAlign w:val="bottom"/>
            <w:tcBorders>
              <w:bottom w:val="single" w:sz="8" w:color="auto"/>
            </w:tcBorders>
          </w:tcPr>
          <w:p>
            <w:pPr>
              <w:jc w:val="center"/>
              <w:ind w:right="28"/>
              <w:spacing w:after="0"/>
              <w:rPr>
                <w:sz w:val="20"/>
                <w:szCs w:val="20"/>
                <w:color w:val="auto"/>
              </w:rPr>
            </w:pPr>
            <w:r>
              <w:rPr>
                <w:rFonts w:ascii="Arial" w:cs="Arial" w:eastAsia="Arial" w:hAnsi="Arial"/>
                <w:sz w:val="14"/>
                <w:szCs w:val="14"/>
                <w:color w:val="auto"/>
                <w:w w:val="92"/>
              </w:rPr>
              <w:t>October 31, 2020</w:t>
            </w:r>
          </w:p>
        </w:tc>
        <w:tc>
          <w:tcPr>
            <w:tcW w:w="26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tcPr>
          <w:p>
            <w:pPr>
              <w:ind w:left="120"/>
              <w:spacing w:after="0"/>
              <w:rPr>
                <w:sz w:val="20"/>
                <w:szCs w:val="20"/>
                <w:color w:val="auto"/>
              </w:rPr>
            </w:pPr>
            <w:r>
              <w:rPr>
                <w:rFonts w:ascii="Arial" w:cs="Arial" w:eastAsia="Arial" w:hAnsi="Arial"/>
                <w:sz w:val="14"/>
                <w:szCs w:val="14"/>
                <w:color w:val="auto"/>
              </w:rPr>
              <w:t>November 2, 2019</w:t>
            </w:r>
          </w:p>
        </w:tc>
        <w:tc>
          <w:tcPr>
            <w:tcW w:w="80" w:type="dxa"/>
            <w:vAlign w:val="bottom"/>
          </w:tcPr>
          <w:p>
            <w:pPr>
              <w:spacing w:after="0"/>
              <w:rPr>
                <w:sz w:val="18"/>
                <w:szCs w:val="18"/>
                <w:color w:val="auto"/>
              </w:rPr>
            </w:pPr>
          </w:p>
        </w:tc>
      </w:tr>
      <w:tr>
        <w:trPr>
          <w:trHeight w:val="196"/>
        </w:trPr>
        <w:tc>
          <w:tcPr>
            <w:tcW w:w="5240" w:type="dxa"/>
            <w:vAlign w:val="bottom"/>
            <w:shd w:val="clear" w:color="auto" w:fill="CFF0FC"/>
          </w:tcPr>
          <w:p>
            <w:pPr>
              <w:ind w:left="20"/>
              <w:spacing w:after="0"/>
              <w:rPr>
                <w:sz w:val="20"/>
                <w:szCs w:val="20"/>
                <w:color w:val="auto"/>
              </w:rPr>
            </w:pPr>
            <w:r>
              <w:rPr>
                <w:rFonts w:ascii="Arial" w:cs="Arial" w:eastAsia="Arial" w:hAnsi="Arial"/>
                <w:sz w:val="14"/>
                <w:szCs w:val="14"/>
                <w:color w:val="auto"/>
              </w:rPr>
              <w:t>Cash flow from operating activities (GAAP basis)</w:t>
            </w:r>
          </w:p>
        </w:tc>
        <w:tc>
          <w:tcPr>
            <w:tcW w:w="220" w:type="dxa"/>
            <w:vAlign w:val="bottom"/>
            <w:shd w:val="clear" w:color="auto" w:fill="CFF0FC"/>
          </w:tcPr>
          <w:p>
            <w:pPr>
              <w:jc w:val="right"/>
              <w:ind w:right="68"/>
              <w:spacing w:after="0"/>
              <w:rPr>
                <w:sz w:val="20"/>
                <w:szCs w:val="20"/>
                <w:color w:val="auto"/>
              </w:rPr>
            </w:pPr>
            <w:r>
              <w:rPr>
                <w:rFonts w:ascii="Arial" w:cs="Arial" w:eastAsia="Arial" w:hAnsi="Arial"/>
                <w:sz w:val="14"/>
                <w:szCs w:val="14"/>
                <w:color w:val="auto"/>
                <w:w w:val="76"/>
              </w:rPr>
              <w:t>$</w:t>
            </w:r>
          </w:p>
        </w:tc>
        <w:tc>
          <w:tcPr>
            <w:tcW w:w="15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64.2</w:t>
            </w:r>
          </w:p>
        </w:tc>
        <w:tc>
          <w:tcPr>
            <w:tcW w:w="280" w:type="dxa"/>
            <w:vAlign w:val="bottom"/>
            <w:shd w:val="clear" w:color="auto" w:fill="CFF0FC"/>
          </w:tcPr>
          <w:p>
            <w:pPr>
              <w:spacing w:after="0"/>
              <w:rPr>
                <w:sz w:val="17"/>
                <w:szCs w:val="17"/>
                <w:color w:val="auto"/>
              </w:rPr>
            </w:pPr>
          </w:p>
        </w:tc>
        <w:tc>
          <w:tcPr>
            <w:tcW w:w="80" w:type="dxa"/>
            <w:vAlign w:val="bottom"/>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1920" w:type="dxa"/>
            <w:vAlign w:val="bottom"/>
            <w:gridSpan w:val="2"/>
            <w:shd w:val="clear" w:color="auto" w:fill="CFF0FC"/>
          </w:tcPr>
          <w:p>
            <w:pPr>
              <w:jc w:val="right"/>
              <w:ind w:right="200"/>
              <w:spacing w:after="0"/>
              <w:rPr>
                <w:sz w:val="20"/>
                <w:szCs w:val="20"/>
                <w:color w:val="auto"/>
              </w:rPr>
            </w:pPr>
            <w:r>
              <w:rPr>
                <w:rFonts w:ascii="Arial" w:cs="Arial" w:eastAsia="Arial" w:hAnsi="Arial"/>
                <w:sz w:val="14"/>
                <w:szCs w:val="14"/>
                <w:color w:val="auto"/>
              </w:rPr>
              <w:t>(8.6 )</w:t>
            </w:r>
          </w:p>
        </w:tc>
        <w:tc>
          <w:tcPr>
            <w:tcW w:w="220" w:type="dxa"/>
            <w:vAlign w:val="bottom"/>
            <w:shd w:val="clear" w:color="auto" w:fill="CFF0FC"/>
          </w:tcPr>
          <w:p>
            <w:pPr>
              <w:jc w:val="right"/>
              <w:ind w:right="68"/>
              <w:spacing w:after="0"/>
              <w:rPr>
                <w:sz w:val="20"/>
                <w:szCs w:val="20"/>
                <w:color w:val="auto"/>
              </w:rPr>
            </w:pPr>
            <w:r>
              <w:rPr>
                <w:rFonts w:ascii="Arial" w:cs="Arial" w:eastAsia="Arial" w:hAnsi="Arial"/>
                <w:sz w:val="14"/>
                <w:szCs w:val="14"/>
                <w:color w:val="auto"/>
                <w:w w:val="76"/>
              </w:rPr>
              <w:t>$</w:t>
            </w:r>
          </w:p>
        </w:tc>
        <w:tc>
          <w:tcPr>
            <w:tcW w:w="1600" w:type="dxa"/>
            <w:vAlign w:val="bottom"/>
            <w:gridSpan w:val="2"/>
            <w:shd w:val="clear" w:color="auto" w:fill="CFF0FC"/>
          </w:tcPr>
          <w:p>
            <w:pPr>
              <w:jc w:val="right"/>
              <w:ind w:right="20"/>
              <w:spacing w:after="0"/>
              <w:rPr>
                <w:sz w:val="20"/>
                <w:szCs w:val="20"/>
                <w:color w:val="auto"/>
              </w:rPr>
            </w:pPr>
            <w:r>
              <w:rPr>
                <w:rFonts w:ascii="Arial" w:cs="Arial" w:eastAsia="Arial" w:hAnsi="Arial"/>
                <w:sz w:val="14"/>
                <w:szCs w:val="14"/>
                <w:color w:val="auto"/>
              </w:rPr>
              <w:t>(14.4 )</w:t>
            </w:r>
          </w:p>
        </w:tc>
      </w:tr>
      <w:tr>
        <w:trPr>
          <w:trHeight w:val="203"/>
        </w:trPr>
        <w:tc>
          <w:tcPr>
            <w:tcW w:w="5240" w:type="dxa"/>
            <w:vAlign w:val="bottom"/>
          </w:tcPr>
          <w:p>
            <w:pPr>
              <w:ind w:left="20"/>
              <w:spacing w:after="0"/>
              <w:rPr>
                <w:sz w:val="20"/>
                <w:szCs w:val="20"/>
                <w:color w:val="auto"/>
              </w:rPr>
            </w:pPr>
            <w:r>
              <w:rPr>
                <w:rFonts w:ascii="Arial" w:cs="Arial" w:eastAsia="Arial" w:hAnsi="Arial"/>
                <w:sz w:val="14"/>
                <w:szCs w:val="14"/>
                <w:color w:val="auto"/>
              </w:rPr>
              <w:t>Capital expenditures</w:t>
            </w:r>
          </w:p>
        </w:tc>
        <w:tc>
          <w:tcPr>
            <w:tcW w:w="220" w:type="dxa"/>
            <w:vAlign w:val="bottom"/>
          </w:tcPr>
          <w:p>
            <w:pPr>
              <w:spacing w:after="0"/>
              <w:rPr>
                <w:sz w:val="17"/>
                <w:szCs w:val="17"/>
                <w:color w:val="auto"/>
              </w:rPr>
            </w:pPr>
          </w:p>
        </w:tc>
        <w:tc>
          <w:tcPr>
            <w:tcW w:w="1820" w:type="dxa"/>
            <w:vAlign w:val="bottom"/>
            <w:gridSpan w:val="2"/>
          </w:tcPr>
          <w:p>
            <w:pPr>
              <w:jc w:val="right"/>
              <w:ind w:right="220"/>
              <w:spacing w:after="0"/>
              <w:rPr>
                <w:sz w:val="20"/>
                <w:szCs w:val="20"/>
                <w:color w:val="auto"/>
              </w:rPr>
            </w:pPr>
            <w:r>
              <w:rPr>
                <w:rFonts w:ascii="Arial" w:cs="Arial" w:eastAsia="Arial" w:hAnsi="Arial"/>
                <w:sz w:val="14"/>
                <w:szCs w:val="14"/>
                <w:color w:val="auto"/>
              </w:rPr>
              <w:t>(2.8 )</w:t>
            </w:r>
          </w:p>
        </w:tc>
        <w:tc>
          <w:tcPr>
            <w:tcW w:w="80" w:type="dxa"/>
            <w:vAlign w:val="bottom"/>
          </w:tcPr>
          <w:p>
            <w:pPr>
              <w:spacing w:after="0"/>
              <w:rPr>
                <w:sz w:val="17"/>
                <w:szCs w:val="17"/>
                <w:color w:val="auto"/>
              </w:rPr>
            </w:pPr>
          </w:p>
        </w:tc>
        <w:tc>
          <w:tcPr>
            <w:tcW w:w="1920" w:type="dxa"/>
            <w:vAlign w:val="bottom"/>
            <w:gridSpan w:val="2"/>
          </w:tcPr>
          <w:p>
            <w:pPr>
              <w:jc w:val="right"/>
              <w:ind w:right="200"/>
              <w:spacing w:after="0"/>
              <w:rPr>
                <w:sz w:val="20"/>
                <w:szCs w:val="20"/>
                <w:color w:val="auto"/>
              </w:rPr>
            </w:pPr>
            <w:r>
              <w:rPr>
                <w:rFonts w:ascii="Arial" w:cs="Arial" w:eastAsia="Arial" w:hAnsi="Arial"/>
                <w:sz w:val="14"/>
                <w:szCs w:val="14"/>
                <w:color w:val="auto"/>
              </w:rPr>
              <w:t>(2.9 )</w:t>
            </w:r>
          </w:p>
        </w:tc>
        <w:tc>
          <w:tcPr>
            <w:tcW w:w="220" w:type="dxa"/>
            <w:vAlign w:val="bottom"/>
          </w:tcPr>
          <w:p>
            <w:pPr>
              <w:spacing w:after="0"/>
              <w:rPr>
                <w:sz w:val="17"/>
                <w:szCs w:val="17"/>
                <w:color w:val="auto"/>
              </w:rPr>
            </w:pPr>
          </w:p>
        </w:tc>
        <w:tc>
          <w:tcPr>
            <w:tcW w:w="1600" w:type="dxa"/>
            <w:vAlign w:val="bottom"/>
            <w:gridSpan w:val="2"/>
          </w:tcPr>
          <w:p>
            <w:pPr>
              <w:jc w:val="right"/>
              <w:ind w:right="20"/>
              <w:spacing w:after="0"/>
              <w:rPr>
                <w:sz w:val="20"/>
                <w:szCs w:val="20"/>
                <w:color w:val="auto"/>
              </w:rPr>
            </w:pPr>
            <w:r>
              <w:rPr>
                <w:rFonts w:ascii="Arial" w:cs="Arial" w:eastAsia="Arial" w:hAnsi="Arial"/>
                <w:sz w:val="14"/>
                <w:szCs w:val="14"/>
                <w:color w:val="auto"/>
              </w:rPr>
              <w:t>(11.0 )</w:t>
            </w:r>
          </w:p>
        </w:tc>
      </w:tr>
      <w:tr>
        <w:trPr>
          <w:trHeight w:val="20"/>
        </w:trPr>
        <w:tc>
          <w:tcPr>
            <w:tcW w:w="524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54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6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5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97"/>
        </w:trPr>
        <w:tc>
          <w:tcPr>
            <w:tcW w:w="5240" w:type="dxa"/>
            <w:vAlign w:val="bottom"/>
            <w:shd w:val="clear" w:color="auto" w:fill="CFF0FC"/>
          </w:tcPr>
          <w:p>
            <w:pPr>
              <w:ind w:left="120"/>
              <w:spacing w:after="0"/>
              <w:rPr>
                <w:sz w:val="20"/>
                <w:szCs w:val="20"/>
                <w:color w:val="auto"/>
              </w:rPr>
            </w:pPr>
            <w:r>
              <w:rPr>
                <w:rFonts w:ascii="Arial" w:cs="Arial" w:eastAsia="Arial" w:hAnsi="Arial"/>
                <w:sz w:val="14"/>
                <w:szCs w:val="14"/>
                <w:color w:val="auto"/>
              </w:rPr>
              <w:t>Free Cash Flow (non-GAAP basis)</w:t>
            </w:r>
          </w:p>
        </w:tc>
        <w:tc>
          <w:tcPr>
            <w:tcW w:w="220" w:type="dxa"/>
            <w:vAlign w:val="bottom"/>
            <w:shd w:val="clear" w:color="auto" w:fill="CFF0FC"/>
          </w:tcPr>
          <w:p>
            <w:pPr>
              <w:jc w:val="right"/>
              <w:ind w:right="68"/>
              <w:spacing w:after="0"/>
              <w:rPr>
                <w:sz w:val="20"/>
                <w:szCs w:val="20"/>
                <w:color w:val="auto"/>
              </w:rPr>
            </w:pPr>
            <w:r>
              <w:rPr>
                <w:rFonts w:ascii="Arial" w:cs="Arial" w:eastAsia="Arial" w:hAnsi="Arial"/>
                <w:sz w:val="14"/>
                <w:szCs w:val="14"/>
                <w:color w:val="auto"/>
                <w:w w:val="76"/>
              </w:rPr>
              <w:t>$</w:t>
            </w:r>
          </w:p>
        </w:tc>
        <w:tc>
          <w:tcPr>
            <w:tcW w:w="15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61.3</w:t>
            </w:r>
          </w:p>
        </w:tc>
        <w:tc>
          <w:tcPr>
            <w:tcW w:w="280" w:type="dxa"/>
            <w:vAlign w:val="bottom"/>
            <w:shd w:val="clear" w:color="auto" w:fill="CFF0FC"/>
          </w:tcPr>
          <w:p>
            <w:pPr>
              <w:spacing w:after="0"/>
              <w:rPr>
                <w:sz w:val="24"/>
                <w:szCs w:val="24"/>
                <w:color w:val="auto"/>
              </w:rPr>
            </w:pPr>
          </w:p>
        </w:tc>
        <w:tc>
          <w:tcPr>
            <w:tcW w:w="80" w:type="dxa"/>
            <w:vAlign w:val="bottom"/>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1920" w:type="dxa"/>
            <w:vAlign w:val="bottom"/>
            <w:gridSpan w:val="2"/>
            <w:shd w:val="clear" w:color="auto" w:fill="CFF0FC"/>
          </w:tcPr>
          <w:p>
            <w:pPr>
              <w:jc w:val="right"/>
              <w:ind w:right="200"/>
              <w:spacing w:after="0"/>
              <w:rPr>
                <w:sz w:val="20"/>
                <w:szCs w:val="20"/>
                <w:color w:val="auto"/>
              </w:rPr>
            </w:pPr>
            <w:r>
              <w:rPr>
                <w:rFonts w:ascii="Arial" w:cs="Arial" w:eastAsia="Arial" w:hAnsi="Arial"/>
                <w:sz w:val="14"/>
                <w:szCs w:val="14"/>
                <w:color w:val="auto"/>
              </w:rPr>
              <w:t>(11.6 )</w:t>
            </w:r>
          </w:p>
        </w:tc>
        <w:tc>
          <w:tcPr>
            <w:tcW w:w="220" w:type="dxa"/>
            <w:vAlign w:val="bottom"/>
            <w:shd w:val="clear" w:color="auto" w:fill="CFF0FC"/>
          </w:tcPr>
          <w:p>
            <w:pPr>
              <w:jc w:val="right"/>
              <w:ind w:right="68"/>
              <w:spacing w:after="0"/>
              <w:rPr>
                <w:sz w:val="20"/>
                <w:szCs w:val="20"/>
                <w:color w:val="auto"/>
              </w:rPr>
            </w:pPr>
            <w:r>
              <w:rPr>
                <w:rFonts w:ascii="Arial" w:cs="Arial" w:eastAsia="Arial" w:hAnsi="Arial"/>
                <w:sz w:val="14"/>
                <w:szCs w:val="14"/>
                <w:color w:val="auto"/>
                <w:w w:val="76"/>
              </w:rPr>
              <w:t>$</w:t>
            </w:r>
          </w:p>
        </w:tc>
        <w:tc>
          <w:tcPr>
            <w:tcW w:w="1600" w:type="dxa"/>
            <w:vAlign w:val="bottom"/>
            <w:gridSpan w:val="2"/>
            <w:shd w:val="clear" w:color="auto" w:fill="CFF0FC"/>
          </w:tcPr>
          <w:p>
            <w:pPr>
              <w:jc w:val="right"/>
              <w:ind w:right="20"/>
              <w:spacing w:after="0"/>
              <w:rPr>
                <w:sz w:val="20"/>
                <w:szCs w:val="20"/>
                <w:color w:val="auto"/>
              </w:rPr>
            </w:pPr>
            <w:r>
              <w:rPr>
                <w:rFonts w:ascii="Arial" w:cs="Arial" w:eastAsia="Arial" w:hAnsi="Arial"/>
                <w:sz w:val="14"/>
                <w:szCs w:val="14"/>
                <w:color w:val="auto"/>
              </w:rPr>
              <w:t>(25.4 )</w:t>
            </w:r>
          </w:p>
        </w:tc>
      </w:tr>
      <w:tr>
        <w:trPr>
          <w:trHeight w:val="20"/>
        </w:trPr>
        <w:tc>
          <w:tcPr>
            <w:tcW w:w="5240" w:type="dxa"/>
            <w:vAlign w:val="bottom"/>
            <w:tcBorders>
              <w:top w:val="single" w:sz="8" w:color="CFF0FC"/>
            </w:tcBorders>
            <w:shd w:val="clear" w:color="auto" w:fill="CFF0FC"/>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154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166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FF0FC"/>
            </w:tcBorders>
            <w:shd w:val="clear" w:color="auto" w:fill="CFF0FC"/>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152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4445635</wp:posOffset>
            </wp:positionH>
            <wp:positionV relativeFrom="paragraph">
              <wp:posOffset>-25400</wp:posOffset>
            </wp:positionV>
            <wp:extent cx="2691765" cy="20574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2691765" cy="205740"/>
                    </a:xfrm>
                    <a:prstGeom prst="rect">
                      <a:avLst/>
                    </a:prstGeom>
                    <a:noFill/>
                  </pic:spPr>
                </pic:pic>
              </a:graphicData>
            </a:graphic>
          </wp:anchor>
        </w:drawing>
      </w:r>
    </w:p>
    <w:p>
      <w:pPr>
        <w:spacing w:after="0" w:line="382"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Non-GAAP Measures</w:t>
      </w:r>
    </w:p>
    <w:p>
      <w:pPr>
        <w:spacing w:after="0" w:line="202" w:lineRule="exact"/>
        <w:rPr>
          <w:sz w:val="20"/>
          <w:szCs w:val="20"/>
          <w:color w:val="auto"/>
        </w:rPr>
      </w:pPr>
    </w:p>
    <w:p>
      <w:pPr>
        <w:ind w:right="280"/>
        <w:spacing w:after="0" w:line="317" w:lineRule="auto"/>
        <w:rPr>
          <w:sz w:val="20"/>
          <w:szCs w:val="20"/>
          <w:color w:val="auto"/>
        </w:rPr>
      </w:pPr>
      <w:r>
        <w:rPr>
          <w:rFonts w:ascii="Arial" w:cs="Arial" w:eastAsia="Arial" w:hAnsi="Arial"/>
          <w:sz w:val="20"/>
          <w:szCs w:val="20"/>
          <w:color w:val="auto"/>
        </w:rPr>
        <w:t>Adjusted EBITDA and free cash flow are non-GAAP financial measures. Please see “Non-GAAP Measures” below and reconciliations of these non-GAAP measures to the comparable GAAP measures that follow in the tables below.</w:t>
      </w:r>
    </w:p>
    <w:p>
      <w:pPr>
        <w:spacing w:after="0" w:line="94"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Balance Sheet &amp; Liquidity</w:t>
      </w:r>
    </w:p>
    <w:p>
      <w:pPr>
        <w:spacing w:after="0" w:line="162" w:lineRule="exact"/>
        <w:rPr>
          <w:sz w:val="20"/>
          <w:szCs w:val="20"/>
          <w:color w:val="auto"/>
        </w:rPr>
      </w:pPr>
    </w:p>
    <w:p>
      <w:pPr>
        <w:jc w:val="both"/>
        <w:ind w:right="180"/>
        <w:spacing w:after="0" w:line="353" w:lineRule="auto"/>
        <w:rPr>
          <w:sz w:val="20"/>
          <w:szCs w:val="20"/>
          <w:color w:val="auto"/>
        </w:rPr>
      </w:pPr>
      <w:r>
        <w:rPr>
          <w:rFonts w:ascii="Arial" w:cs="Arial" w:eastAsia="Arial" w:hAnsi="Arial"/>
          <w:sz w:val="18"/>
          <w:szCs w:val="18"/>
          <w:color w:val="auto"/>
        </w:rPr>
        <w:t>On October 28, 2021, we entered into a new $125.0 million revolving credit agreement, which replaced our previous credit facility that was due to expire in May 2023. The new credit facility has a five-year term and provides more favorable terms than the previous credit facility. In addition, on September 3, 2021, we also prepaid our $17.5 million FILO loan, which had an effective interest rate of 8.5%.</w:t>
      </w:r>
    </w:p>
    <w:p>
      <w:pPr>
        <w:spacing w:after="0" w:line="45" w:lineRule="exact"/>
        <w:rPr>
          <w:sz w:val="20"/>
          <w:szCs w:val="20"/>
          <w:color w:val="auto"/>
        </w:rPr>
      </w:pPr>
    </w:p>
    <w:p>
      <w:pPr>
        <w:ind w:right="60"/>
        <w:spacing w:after="0" w:line="306" w:lineRule="auto"/>
        <w:rPr>
          <w:sz w:val="20"/>
          <w:szCs w:val="20"/>
          <w:color w:val="auto"/>
        </w:rPr>
      </w:pPr>
      <w:r>
        <w:rPr>
          <w:rFonts w:ascii="Arial" w:cs="Arial" w:eastAsia="Arial" w:hAnsi="Arial"/>
          <w:sz w:val="20"/>
          <w:szCs w:val="20"/>
          <w:color w:val="auto"/>
        </w:rPr>
        <w:t>At October 30, 2021, we had a cash balance of $6.9 million and no debt outstanding as compared to total debt, net of cash of $61.5 million at October 31, 2020 and $77.5 million at November 2, 2019. Availability under the revolving credit facility was $74.0 million at October 30, 2021.</w:t>
      </w:r>
    </w:p>
    <w:p>
      <w:pPr>
        <w:spacing w:after="0" w:line="79" w:lineRule="exact"/>
        <w:rPr>
          <w:sz w:val="20"/>
          <w:szCs w:val="20"/>
          <w:color w:val="auto"/>
        </w:rPr>
      </w:pPr>
    </w:p>
    <w:p>
      <w:pPr>
        <w:ind w:right="140"/>
        <w:spacing w:after="0" w:line="338" w:lineRule="auto"/>
        <w:rPr>
          <w:sz w:val="20"/>
          <w:szCs w:val="20"/>
          <w:color w:val="auto"/>
        </w:rPr>
      </w:pPr>
      <w:r>
        <w:rPr>
          <w:rFonts w:ascii="Arial" w:cs="Arial" w:eastAsia="Arial" w:hAnsi="Arial"/>
          <w:sz w:val="18"/>
          <w:szCs w:val="18"/>
          <w:color w:val="auto"/>
        </w:rPr>
        <w:t>As of October 30, 2021, our inventory decreased approximately $12.6 million to $82.3 million, as compared to $94.9 million at October 31, 2020, and decreased approximately $37.9 million as compared to $120.2 million at November 2, 2019. Maintaining sufficient inventory levels is our primary focus, given our current sales trends and the ongoing disruptions in the global supply chain. We believe that we will be able to secure sufficient inventory to support our sales forecasts. At the same time, we are continuing to manage inventory conservatively, narrowing our assortment while driving meaningfully greater levels of exclusivity with national brands. At October 30, 2021, our clearance inventory was 6.4% of our total inventory, as compared to 11.8% at October 31, 2020 and 10.0% at November 2, 2019.</w:t>
      </w:r>
    </w:p>
    <w:p>
      <w:pPr>
        <w:spacing w:after="0" w:line="54"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Retail Store Information</w:t>
      </w:r>
    </w:p>
    <w:p>
      <w:pPr>
        <w:spacing w:after="0" w:line="168" w:lineRule="exact"/>
        <w:rPr>
          <w:sz w:val="20"/>
          <w:szCs w:val="20"/>
          <w:color w:val="auto"/>
        </w:rPr>
      </w:pPr>
    </w:p>
    <w:p>
      <w:pPr>
        <w:spacing w:after="0"/>
        <w:rPr>
          <w:sz w:val="20"/>
          <w:szCs w:val="20"/>
          <w:color w:val="auto"/>
        </w:rPr>
      </w:pPr>
      <w:r>
        <w:rPr>
          <w:rFonts w:ascii="Arial" w:cs="Arial" w:eastAsia="Arial" w:hAnsi="Arial"/>
          <w:sz w:val="20"/>
          <w:szCs w:val="20"/>
          <w:color w:val="auto"/>
        </w:rPr>
        <w:t>Total retail square footage has steadily decreased since the end of fiscal 2018:</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240" w:type="dxa"/>
            <w:vAlign w:val="bottom"/>
          </w:tcPr>
          <w:p>
            <w:pPr>
              <w:spacing w:after="0"/>
              <w:rPr>
                <w:sz w:val="18"/>
                <w:szCs w:val="18"/>
                <w:color w:val="auto"/>
              </w:rPr>
            </w:pPr>
          </w:p>
        </w:tc>
        <w:tc>
          <w:tcPr>
            <w:tcW w:w="2200" w:type="dxa"/>
            <w:vAlign w:val="bottom"/>
            <w:gridSpan w:val="4"/>
          </w:tcPr>
          <w:p>
            <w:pPr>
              <w:jc w:val="right"/>
              <w:ind w:right="539"/>
              <w:spacing w:after="0"/>
              <w:rPr>
                <w:sz w:val="20"/>
                <w:szCs w:val="20"/>
                <w:color w:val="auto"/>
              </w:rPr>
            </w:pPr>
            <w:r>
              <w:rPr>
                <w:rFonts w:ascii="Arial" w:cs="Arial" w:eastAsia="Arial" w:hAnsi="Arial"/>
                <w:sz w:val="16"/>
                <w:szCs w:val="16"/>
                <w:color w:val="auto"/>
              </w:rPr>
              <w:t>Year End 2018</w:t>
            </w:r>
          </w:p>
        </w:tc>
        <w:tc>
          <w:tcPr>
            <w:tcW w:w="100" w:type="dxa"/>
            <w:vAlign w:val="bottom"/>
          </w:tcPr>
          <w:p>
            <w:pPr>
              <w:spacing w:after="0"/>
              <w:rPr>
                <w:sz w:val="18"/>
                <w:szCs w:val="18"/>
                <w:color w:val="auto"/>
              </w:rPr>
            </w:pPr>
          </w:p>
        </w:tc>
        <w:tc>
          <w:tcPr>
            <w:tcW w:w="2200" w:type="dxa"/>
            <w:vAlign w:val="bottom"/>
            <w:gridSpan w:val="3"/>
          </w:tcPr>
          <w:p>
            <w:pPr>
              <w:jc w:val="right"/>
              <w:ind w:right="539"/>
              <w:spacing w:after="0"/>
              <w:rPr>
                <w:sz w:val="20"/>
                <w:szCs w:val="20"/>
                <w:color w:val="auto"/>
              </w:rPr>
            </w:pPr>
            <w:r>
              <w:rPr>
                <w:rFonts w:ascii="Arial" w:cs="Arial" w:eastAsia="Arial" w:hAnsi="Arial"/>
                <w:sz w:val="16"/>
                <w:szCs w:val="16"/>
                <w:color w:val="auto"/>
              </w:rPr>
              <w:t>Year End 2019</w:t>
            </w:r>
          </w:p>
        </w:tc>
        <w:tc>
          <w:tcPr>
            <w:tcW w:w="80" w:type="dxa"/>
            <w:vAlign w:val="bottom"/>
          </w:tcPr>
          <w:p>
            <w:pPr>
              <w:spacing w:after="0"/>
              <w:rPr>
                <w:sz w:val="18"/>
                <w:szCs w:val="18"/>
                <w:color w:val="auto"/>
              </w:rPr>
            </w:pPr>
          </w:p>
        </w:tc>
        <w:tc>
          <w:tcPr>
            <w:tcW w:w="2140" w:type="dxa"/>
            <w:vAlign w:val="bottom"/>
            <w:gridSpan w:val="3"/>
          </w:tcPr>
          <w:p>
            <w:pPr>
              <w:jc w:val="right"/>
              <w:ind w:right="519"/>
              <w:spacing w:after="0"/>
              <w:rPr>
                <w:sz w:val="20"/>
                <w:szCs w:val="20"/>
                <w:color w:val="auto"/>
              </w:rPr>
            </w:pPr>
            <w:r>
              <w:rPr>
                <w:rFonts w:ascii="Arial" w:cs="Arial" w:eastAsia="Arial" w:hAnsi="Arial"/>
                <w:sz w:val="16"/>
                <w:szCs w:val="16"/>
                <w:color w:val="auto"/>
              </w:rPr>
              <w:t>Year End 2020</w:t>
            </w:r>
          </w:p>
        </w:tc>
        <w:tc>
          <w:tcPr>
            <w:tcW w:w="60" w:type="dxa"/>
            <w:vAlign w:val="bottom"/>
          </w:tcPr>
          <w:p>
            <w:pPr>
              <w:spacing w:after="0"/>
              <w:rPr>
                <w:sz w:val="18"/>
                <w:szCs w:val="18"/>
                <w:color w:val="auto"/>
              </w:rPr>
            </w:pPr>
          </w:p>
        </w:tc>
        <w:tc>
          <w:tcPr>
            <w:tcW w:w="2220" w:type="dxa"/>
            <w:vAlign w:val="bottom"/>
            <w:gridSpan w:val="4"/>
          </w:tcPr>
          <w:p>
            <w:pPr>
              <w:ind w:left="420"/>
              <w:spacing w:after="0"/>
              <w:rPr>
                <w:sz w:val="20"/>
                <w:szCs w:val="20"/>
                <w:color w:val="auto"/>
              </w:rPr>
            </w:pPr>
            <w:r>
              <w:rPr>
                <w:rFonts w:ascii="Arial" w:cs="Arial" w:eastAsia="Arial" w:hAnsi="Arial"/>
                <w:sz w:val="16"/>
                <w:szCs w:val="16"/>
                <w:color w:val="auto"/>
              </w:rPr>
              <w:t>At October 30, 2021</w:t>
            </w:r>
          </w:p>
        </w:tc>
      </w:tr>
      <w:tr>
        <w:trPr>
          <w:trHeight w:val="216"/>
        </w:trPr>
        <w:tc>
          <w:tcPr>
            <w:tcW w:w="2240" w:type="dxa"/>
            <w:vAlign w:val="bottom"/>
            <w:shd w:val="clear" w:color="auto" w:fill="CFF0FC"/>
          </w:tcPr>
          <w:p>
            <w:pPr>
              <w:spacing w:after="0"/>
              <w:rPr>
                <w:sz w:val="18"/>
                <w:szCs w:val="18"/>
                <w:color w:val="auto"/>
              </w:rPr>
            </w:pPr>
          </w:p>
        </w:tc>
        <w:tc>
          <w:tcPr>
            <w:tcW w:w="780" w:type="dxa"/>
            <w:vAlign w:val="bottom"/>
            <w:shd w:val="clear" w:color="auto" w:fill="CFF0FC"/>
          </w:tcPr>
          <w:p>
            <w:pPr>
              <w:jc w:val="center"/>
              <w:ind w:left="199"/>
              <w:spacing w:after="0"/>
              <w:rPr>
                <w:sz w:val="20"/>
                <w:szCs w:val="20"/>
                <w:color w:val="auto"/>
              </w:rPr>
            </w:pPr>
            <w:r>
              <w:rPr>
                <w:rFonts w:ascii="Arial" w:cs="Arial" w:eastAsia="Arial" w:hAnsi="Arial"/>
                <w:sz w:val="16"/>
                <w:szCs w:val="16"/>
                <w:color w:val="auto"/>
                <w:w w:val="97"/>
              </w:rPr>
              <w:t># of</w:t>
            </w:r>
          </w:p>
        </w:tc>
        <w:tc>
          <w:tcPr>
            <w:tcW w:w="28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060" w:type="dxa"/>
            <w:vAlign w:val="bottom"/>
            <w:shd w:val="clear" w:color="auto" w:fill="CFF0FC"/>
          </w:tcPr>
          <w:p>
            <w:pPr>
              <w:jc w:val="right"/>
              <w:ind w:right="279"/>
              <w:spacing w:after="0"/>
              <w:rPr>
                <w:sz w:val="20"/>
                <w:szCs w:val="20"/>
                <w:color w:val="auto"/>
              </w:rPr>
            </w:pPr>
            <w:r>
              <w:rPr>
                <w:rFonts w:ascii="Arial" w:cs="Arial" w:eastAsia="Arial" w:hAnsi="Arial"/>
                <w:sz w:val="16"/>
                <w:szCs w:val="16"/>
                <w:color w:val="auto"/>
              </w:rPr>
              <w:t>Sq Ft.</w:t>
            </w:r>
          </w:p>
        </w:tc>
        <w:tc>
          <w:tcPr>
            <w:tcW w:w="100" w:type="dxa"/>
            <w:vAlign w:val="bottom"/>
            <w:shd w:val="clear" w:color="auto" w:fill="CFF0FC"/>
          </w:tcPr>
          <w:p>
            <w:pPr>
              <w:spacing w:after="0"/>
              <w:rPr>
                <w:sz w:val="18"/>
                <w:szCs w:val="18"/>
                <w:color w:val="auto"/>
              </w:rPr>
            </w:pPr>
          </w:p>
        </w:tc>
        <w:tc>
          <w:tcPr>
            <w:tcW w:w="1060" w:type="dxa"/>
            <w:vAlign w:val="bottom"/>
            <w:shd w:val="clear" w:color="auto" w:fill="CFF0FC"/>
          </w:tcPr>
          <w:p>
            <w:pPr>
              <w:jc w:val="right"/>
              <w:ind w:right="319"/>
              <w:spacing w:after="0"/>
              <w:rPr>
                <w:sz w:val="20"/>
                <w:szCs w:val="20"/>
                <w:color w:val="auto"/>
              </w:rPr>
            </w:pPr>
            <w:r>
              <w:rPr>
                <w:rFonts w:ascii="Arial" w:cs="Arial" w:eastAsia="Arial" w:hAnsi="Arial"/>
                <w:sz w:val="16"/>
                <w:szCs w:val="16"/>
                <w:color w:val="auto"/>
              </w:rPr>
              <w:t># of</w:t>
            </w:r>
          </w:p>
        </w:tc>
        <w:tc>
          <w:tcPr>
            <w:tcW w:w="80" w:type="dxa"/>
            <w:vAlign w:val="bottom"/>
            <w:shd w:val="clear" w:color="auto" w:fill="CFF0FC"/>
          </w:tcPr>
          <w:p>
            <w:pPr>
              <w:spacing w:after="0"/>
              <w:rPr>
                <w:sz w:val="18"/>
                <w:szCs w:val="18"/>
                <w:color w:val="auto"/>
              </w:rPr>
            </w:pPr>
          </w:p>
        </w:tc>
        <w:tc>
          <w:tcPr>
            <w:tcW w:w="1060" w:type="dxa"/>
            <w:vAlign w:val="bottom"/>
            <w:shd w:val="clear" w:color="auto" w:fill="CFF0FC"/>
          </w:tcPr>
          <w:p>
            <w:pPr>
              <w:jc w:val="right"/>
              <w:ind w:right="279"/>
              <w:spacing w:after="0"/>
              <w:rPr>
                <w:sz w:val="20"/>
                <w:szCs w:val="20"/>
                <w:color w:val="auto"/>
              </w:rPr>
            </w:pPr>
            <w:r>
              <w:rPr>
                <w:rFonts w:ascii="Arial" w:cs="Arial" w:eastAsia="Arial" w:hAnsi="Arial"/>
                <w:sz w:val="16"/>
                <w:szCs w:val="16"/>
                <w:color w:val="auto"/>
              </w:rPr>
              <w:t>Sq Ft.</w:t>
            </w:r>
          </w:p>
        </w:tc>
        <w:tc>
          <w:tcPr>
            <w:tcW w:w="80" w:type="dxa"/>
            <w:vAlign w:val="bottom"/>
            <w:shd w:val="clear" w:color="auto" w:fill="CFF0FC"/>
          </w:tcPr>
          <w:p>
            <w:pPr>
              <w:spacing w:after="0"/>
              <w:rPr>
                <w:sz w:val="18"/>
                <w:szCs w:val="18"/>
                <w:color w:val="auto"/>
              </w:rPr>
            </w:pPr>
          </w:p>
        </w:tc>
        <w:tc>
          <w:tcPr>
            <w:tcW w:w="1040" w:type="dxa"/>
            <w:vAlign w:val="bottom"/>
            <w:shd w:val="clear" w:color="auto" w:fill="CFF0FC"/>
          </w:tcPr>
          <w:p>
            <w:pPr>
              <w:jc w:val="right"/>
              <w:ind w:right="319"/>
              <w:spacing w:after="0"/>
              <w:rPr>
                <w:sz w:val="20"/>
                <w:szCs w:val="20"/>
                <w:color w:val="auto"/>
              </w:rPr>
            </w:pPr>
            <w:r>
              <w:rPr>
                <w:rFonts w:ascii="Arial" w:cs="Arial" w:eastAsia="Arial" w:hAnsi="Arial"/>
                <w:sz w:val="16"/>
                <w:szCs w:val="16"/>
                <w:color w:val="auto"/>
              </w:rPr>
              <w:t># of</w:t>
            </w:r>
          </w:p>
        </w:tc>
        <w:tc>
          <w:tcPr>
            <w:tcW w:w="60" w:type="dxa"/>
            <w:vAlign w:val="bottom"/>
            <w:shd w:val="clear" w:color="auto" w:fill="CFF0FC"/>
          </w:tcPr>
          <w:p>
            <w:pPr>
              <w:spacing w:after="0"/>
              <w:rPr>
                <w:sz w:val="18"/>
                <w:szCs w:val="18"/>
                <w:color w:val="auto"/>
              </w:rPr>
            </w:pPr>
          </w:p>
        </w:tc>
        <w:tc>
          <w:tcPr>
            <w:tcW w:w="1040" w:type="dxa"/>
            <w:vAlign w:val="bottom"/>
            <w:shd w:val="clear" w:color="auto" w:fill="CFF0FC"/>
          </w:tcPr>
          <w:p>
            <w:pPr>
              <w:jc w:val="right"/>
              <w:ind w:right="259"/>
              <w:spacing w:after="0"/>
              <w:rPr>
                <w:sz w:val="20"/>
                <w:szCs w:val="20"/>
                <w:color w:val="auto"/>
              </w:rPr>
            </w:pPr>
            <w:r>
              <w:rPr>
                <w:rFonts w:ascii="Arial" w:cs="Arial" w:eastAsia="Arial" w:hAnsi="Arial"/>
                <w:sz w:val="16"/>
                <w:szCs w:val="16"/>
                <w:color w:val="auto"/>
              </w:rPr>
              <w:t>Sq Ft.</w:t>
            </w:r>
          </w:p>
        </w:tc>
        <w:tc>
          <w:tcPr>
            <w:tcW w:w="60" w:type="dxa"/>
            <w:vAlign w:val="bottom"/>
            <w:shd w:val="clear" w:color="auto" w:fill="CFF0FC"/>
          </w:tcPr>
          <w:p>
            <w:pPr>
              <w:spacing w:after="0"/>
              <w:rPr>
                <w:sz w:val="18"/>
                <w:szCs w:val="18"/>
                <w:color w:val="auto"/>
              </w:rPr>
            </w:pPr>
          </w:p>
        </w:tc>
        <w:tc>
          <w:tcPr>
            <w:tcW w:w="1040" w:type="dxa"/>
            <w:vAlign w:val="bottom"/>
            <w:shd w:val="clear" w:color="auto" w:fill="CFF0FC"/>
          </w:tcPr>
          <w:p>
            <w:pPr>
              <w:jc w:val="right"/>
              <w:ind w:right="299"/>
              <w:spacing w:after="0"/>
              <w:rPr>
                <w:sz w:val="20"/>
                <w:szCs w:val="20"/>
                <w:color w:val="auto"/>
              </w:rPr>
            </w:pPr>
            <w:r>
              <w:rPr>
                <w:rFonts w:ascii="Arial" w:cs="Arial" w:eastAsia="Arial" w:hAnsi="Arial"/>
                <w:sz w:val="16"/>
                <w:szCs w:val="16"/>
                <w:color w:val="auto"/>
              </w:rPr>
              <w:t># of</w:t>
            </w:r>
          </w:p>
        </w:tc>
        <w:tc>
          <w:tcPr>
            <w:tcW w:w="80" w:type="dxa"/>
            <w:vAlign w:val="bottom"/>
            <w:shd w:val="clear" w:color="auto" w:fill="CFF0FC"/>
          </w:tcPr>
          <w:p>
            <w:pPr>
              <w:spacing w:after="0"/>
              <w:rPr>
                <w:sz w:val="18"/>
                <w:szCs w:val="18"/>
                <w:color w:val="auto"/>
              </w:rPr>
            </w:pPr>
          </w:p>
        </w:tc>
        <w:tc>
          <w:tcPr>
            <w:tcW w:w="1100" w:type="dxa"/>
            <w:vAlign w:val="bottom"/>
            <w:gridSpan w:val="2"/>
            <w:shd w:val="clear" w:color="auto" w:fill="CFF0FC"/>
          </w:tcPr>
          <w:p>
            <w:pPr>
              <w:ind w:left="300"/>
              <w:spacing w:after="0"/>
              <w:rPr>
                <w:sz w:val="20"/>
                <w:szCs w:val="20"/>
                <w:color w:val="auto"/>
              </w:rPr>
            </w:pPr>
            <w:r>
              <w:rPr>
                <w:rFonts w:ascii="Arial" w:cs="Arial" w:eastAsia="Arial" w:hAnsi="Arial"/>
                <w:sz w:val="16"/>
                <w:szCs w:val="16"/>
                <w:color w:val="auto"/>
              </w:rPr>
              <w:t>Sq Ft.</w:t>
            </w:r>
          </w:p>
        </w:tc>
      </w:tr>
      <w:tr>
        <w:trPr>
          <w:trHeight w:val="219"/>
        </w:trPr>
        <w:tc>
          <w:tcPr>
            <w:tcW w:w="2240" w:type="dxa"/>
            <w:vAlign w:val="bottom"/>
            <w:tcBorders>
              <w:bottom w:val="single" w:sz="8" w:color="CFF0FC"/>
            </w:tcBorders>
            <w:shd w:val="clear" w:color="auto" w:fill="CFF0FC"/>
          </w:tcPr>
          <w:p>
            <w:pPr>
              <w:spacing w:after="0"/>
              <w:rPr>
                <w:sz w:val="19"/>
                <w:szCs w:val="19"/>
                <w:color w:val="auto"/>
              </w:rPr>
            </w:pPr>
          </w:p>
        </w:tc>
        <w:tc>
          <w:tcPr>
            <w:tcW w:w="780" w:type="dxa"/>
            <w:vAlign w:val="bottom"/>
            <w:tcBorders>
              <w:bottom w:val="single" w:sz="8" w:color="auto"/>
            </w:tcBorders>
            <w:shd w:val="clear" w:color="auto" w:fill="CFF0FC"/>
          </w:tcPr>
          <w:p>
            <w:pPr>
              <w:jc w:val="center"/>
              <w:ind w:left="239"/>
              <w:spacing w:after="0"/>
              <w:rPr>
                <w:sz w:val="20"/>
                <w:szCs w:val="20"/>
                <w:color w:val="auto"/>
              </w:rPr>
            </w:pPr>
            <w:r>
              <w:rPr>
                <w:rFonts w:ascii="Arial" w:cs="Arial" w:eastAsia="Arial" w:hAnsi="Arial"/>
                <w:sz w:val="16"/>
                <w:szCs w:val="16"/>
                <w:color w:val="auto"/>
                <w:w w:val="90"/>
              </w:rPr>
              <w:t>Stores</w:t>
            </w:r>
          </w:p>
        </w:tc>
        <w:tc>
          <w:tcPr>
            <w:tcW w:w="280" w:type="dxa"/>
            <w:vAlign w:val="bottom"/>
            <w:tcBorders>
              <w:bottom w:val="single" w:sz="8" w:color="auto"/>
            </w:tcBorders>
            <w:shd w:val="clear" w:color="auto" w:fill="CFF0FC"/>
          </w:tcPr>
          <w:p>
            <w:pPr>
              <w:spacing w:after="0"/>
              <w:rPr>
                <w:sz w:val="19"/>
                <w:szCs w:val="19"/>
                <w:color w:val="auto"/>
              </w:rPr>
            </w:pPr>
          </w:p>
        </w:tc>
        <w:tc>
          <w:tcPr>
            <w:tcW w:w="80" w:type="dxa"/>
            <w:vAlign w:val="bottom"/>
            <w:tcBorders>
              <w:bottom w:val="single" w:sz="8" w:color="CFF0FC"/>
            </w:tcBorders>
            <w:shd w:val="clear" w:color="auto" w:fill="CFF0FC"/>
          </w:tcPr>
          <w:p>
            <w:pPr>
              <w:spacing w:after="0"/>
              <w:rPr>
                <w:sz w:val="19"/>
                <w:szCs w:val="19"/>
                <w:color w:val="auto"/>
              </w:rPr>
            </w:pPr>
          </w:p>
        </w:tc>
        <w:tc>
          <w:tcPr>
            <w:tcW w:w="1060" w:type="dxa"/>
            <w:vAlign w:val="bottom"/>
            <w:tcBorders>
              <w:bottom w:val="single" w:sz="8" w:color="auto"/>
            </w:tcBorders>
            <w:shd w:val="clear" w:color="auto" w:fill="CFF0FC"/>
          </w:tcPr>
          <w:p>
            <w:pPr>
              <w:jc w:val="right"/>
              <w:ind w:right="219"/>
              <w:spacing w:after="0"/>
              <w:rPr>
                <w:sz w:val="20"/>
                <w:szCs w:val="20"/>
                <w:color w:val="auto"/>
              </w:rPr>
            </w:pPr>
            <w:r>
              <w:rPr>
                <w:rFonts w:ascii="Arial" w:cs="Arial" w:eastAsia="Arial" w:hAnsi="Arial"/>
                <w:sz w:val="16"/>
                <w:szCs w:val="16"/>
                <w:color w:val="auto"/>
              </w:rPr>
              <w:t>(000’s)</w:t>
            </w:r>
          </w:p>
        </w:tc>
        <w:tc>
          <w:tcPr>
            <w:tcW w:w="100" w:type="dxa"/>
            <w:vAlign w:val="bottom"/>
            <w:tcBorders>
              <w:bottom w:val="single" w:sz="8" w:color="CFF0FC"/>
            </w:tcBorders>
            <w:shd w:val="clear" w:color="auto" w:fill="CFF0FC"/>
          </w:tcPr>
          <w:p>
            <w:pPr>
              <w:spacing w:after="0"/>
              <w:rPr>
                <w:sz w:val="19"/>
                <w:szCs w:val="19"/>
                <w:color w:val="auto"/>
              </w:rPr>
            </w:pPr>
          </w:p>
        </w:tc>
        <w:tc>
          <w:tcPr>
            <w:tcW w:w="1060" w:type="dxa"/>
            <w:vAlign w:val="bottom"/>
            <w:tcBorders>
              <w:bottom w:val="single" w:sz="8" w:color="auto"/>
            </w:tcBorders>
            <w:shd w:val="clear" w:color="auto" w:fill="CFF0FC"/>
          </w:tcPr>
          <w:p>
            <w:pPr>
              <w:jc w:val="right"/>
              <w:ind w:right="239"/>
              <w:spacing w:after="0"/>
              <w:rPr>
                <w:sz w:val="20"/>
                <w:szCs w:val="20"/>
                <w:color w:val="auto"/>
              </w:rPr>
            </w:pPr>
            <w:r>
              <w:rPr>
                <w:rFonts w:ascii="Arial" w:cs="Arial" w:eastAsia="Arial" w:hAnsi="Arial"/>
                <w:sz w:val="16"/>
                <w:szCs w:val="16"/>
                <w:color w:val="auto"/>
              </w:rPr>
              <w:t>Stores</w:t>
            </w:r>
          </w:p>
        </w:tc>
        <w:tc>
          <w:tcPr>
            <w:tcW w:w="80" w:type="dxa"/>
            <w:vAlign w:val="bottom"/>
            <w:tcBorders>
              <w:bottom w:val="single" w:sz="8" w:color="CFF0FC"/>
            </w:tcBorders>
            <w:shd w:val="clear" w:color="auto" w:fill="CFF0FC"/>
          </w:tcPr>
          <w:p>
            <w:pPr>
              <w:spacing w:after="0"/>
              <w:rPr>
                <w:sz w:val="19"/>
                <w:szCs w:val="19"/>
                <w:color w:val="auto"/>
              </w:rPr>
            </w:pPr>
          </w:p>
        </w:tc>
        <w:tc>
          <w:tcPr>
            <w:tcW w:w="1060" w:type="dxa"/>
            <w:vAlign w:val="bottom"/>
            <w:tcBorders>
              <w:bottom w:val="single" w:sz="8" w:color="auto"/>
            </w:tcBorders>
            <w:shd w:val="clear" w:color="auto" w:fill="CFF0FC"/>
          </w:tcPr>
          <w:p>
            <w:pPr>
              <w:jc w:val="right"/>
              <w:ind w:right="219"/>
              <w:spacing w:after="0"/>
              <w:rPr>
                <w:sz w:val="20"/>
                <w:szCs w:val="20"/>
                <w:color w:val="auto"/>
              </w:rPr>
            </w:pPr>
            <w:r>
              <w:rPr>
                <w:rFonts w:ascii="Arial" w:cs="Arial" w:eastAsia="Arial" w:hAnsi="Arial"/>
                <w:sz w:val="16"/>
                <w:szCs w:val="16"/>
                <w:color w:val="auto"/>
              </w:rPr>
              <w:t>(000’s)</w:t>
            </w:r>
          </w:p>
        </w:tc>
        <w:tc>
          <w:tcPr>
            <w:tcW w:w="80" w:type="dxa"/>
            <w:vAlign w:val="bottom"/>
            <w:tcBorders>
              <w:bottom w:val="single" w:sz="8" w:color="CFF0FC"/>
            </w:tcBorders>
            <w:shd w:val="clear" w:color="auto" w:fill="CFF0FC"/>
          </w:tcPr>
          <w:p>
            <w:pPr>
              <w:spacing w:after="0"/>
              <w:rPr>
                <w:sz w:val="19"/>
                <w:szCs w:val="19"/>
                <w:color w:val="auto"/>
              </w:rPr>
            </w:pPr>
          </w:p>
        </w:tc>
        <w:tc>
          <w:tcPr>
            <w:tcW w:w="1040" w:type="dxa"/>
            <w:vAlign w:val="bottom"/>
            <w:tcBorders>
              <w:bottom w:val="single" w:sz="8" w:color="auto"/>
            </w:tcBorders>
            <w:shd w:val="clear" w:color="auto" w:fill="CFF0FC"/>
          </w:tcPr>
          <w:p>
            <w:pPr>
              <w:jc w:val="right"/>
              <w:ind w:right="219"/>
              <w:spacing w:after="0"/>
              <w:rPr>
                <w:sz w:val="20"/>
                <w:szCs w:val="20"/>
                <w:color w:val="auto"/>
              </w:rPr>
            </w:pPr>
            <w:r>
              <w:rPr>
                <w:rFonts w:ascii="Arial" w:cs="Arial" w:eastAsia="Arial" w:hAnsi="Arial"/>
                <w:sz w:val="16"/>
                <w:szCs w:val="16"/>
                <w:color w:val="auto"/>
              </w:rPr>
              <w:t>Stores</w:t>
            </w:r>
          </w:p>
        </w:tc>
        <w:tc>
          <w:tcPr>
            <w:tcW w:w="60" w:type="dxa"/>
            <w:vAlign w:val="bottom"/>
            <w:tcBorders>
              <w:bottom w:val="single" w:sz="8" w:color="CFF0FC"/>
            </w:tcBorders>
            <w:shd w:val="clear" w:color="auto" w:fill="CFF0FC"/>
          </w:tcPr>
          <w:p>
            <w:pPr>
              <w:spacing w:after="0"/>
              <w:rPr>
                <w:sz w:val="19"/>
                <w:szCs w:val="19"/>
                <w:color w:val="auto"/>
              </w:rPr>
            </w:pPr>
          </w:p>
        </w:tc>
        <w:tc>
          <w:tcPr>
            <w:tcW w:w="1040" w:type="dxa"/>
            <w:vAlign w:val="bottom"/>
            <w:tcBorders>
              <w:bottom w:val="single" w:sz="8" w:color="auto"/>
            </w:tcBorders>
            <w:shd w:val="clear" w:color="auto" w:fill="CFF0FC"/>
          </w:tcPr>
          <w:p>
            <w:pPr>
              <w:jc w:val="right"/>
              <w:ind w:right="219"/>
              <w:spacing w:after="0"/>
              <w:rPr>
                <w:sz w:val="20"/>
                <w:szCs w:val="20"/>
                <w:color w:val="auto"/>
              </w:rPr>
            </w:pPr>
            <w:r>
              <w:rPr>
                <w:rFonts w:ascii="Arial" w:cs="Arial" w:eastAsia="Arial" w:hAnsi="Arial"/>
                <w:sz w:val="16"/>
                <w:szCs w:val="16"/>
                <w:color w:val="auto"/>
              </w:rPr>
              <w:t>(000’s)</w:t>
            </w:r>
          </w:p>
        </w:tc>
        <w:tc>
          <w:tcPr>
            <w:tcW w:w="60" w:type="dxa"/>
            <w:vAlign w:val="bottom"/>
            <w:tcBorders>
              <w:bottom w:val="single" w:sz="8" w:color="CFF0FC"/>
            </w:tcBorders>
            <w:shd w:val="clear" w:color="auto" w:fill="CFF0FC"/>
          </w:tcPr>
          <w:p>
            <w:pPr>
              <w:spacing w:after="0"/>
              <w:rPr>
                <w:sz w:val="19"/>
                <w:szCs w:val="19"/>
                <w:color w:val="auto"/>
              </w:rPr>
            </w:pPr>
          </w:p>
        </w:tc>
        <w:tc>
          <w:tcPr>
            <w:tcW w:w="1040" w:type="dxa"/>
            <w:vAlign w:val="bottom"/>
            <w:tcBorders>
              <w:bottom w:val="single" w:sz="8" w:color="auto"/>
            </w:tcBorders>
            <w:shd w:val="clear" w:color="auto" w:fill="CFF0FC"/>
          </w:tcPr>
          <w:p>
            <w:pPr>
              <w:jc w:val="right"/>
              <w:ind w:right="219"/>
              <w:spacing w:after="0"/>
              <w:rPr>
                <w:sz w:val="20"/>
                <w:szCs w:val="20"/>
                <w:color w:val="auto"/>
              </w:rPr>
            </w:pPr>
            <w:r>
              <w:rPr>
                <w:rFonts w:ascii="Arial" w:cs="Arial" w:eastAsia="Arial" w:hAnsi="Arial"/>
                <w:sz w:val="16"/>
                <w:szCs w:val="16"/>
                <w:color w:val="auto"/>
              </w:rPr>
              <w:t>Stores</w:t>
            </w:r>
          </w:p>
        </w:tc>
        <w:tc>
          <w:tcPr>
            <w:tcW w:w="80" w:type="dxa"/>
            <w:vAlign w:val="bottom"/>
            <w:tcBorders>
              <w:bottom w:val="single" w:sz="8" w:color="CFF0FC"/>
            </w:tcBorders>
            <w:shd w:val="clear" w:color="auto" w:fill="CFF0FC"/>
          </w:tcPr>
          <w:p>
            <w:pPr>
              <w:spacing w:after="0"/>
              <w:rPr>
                <w:sz w:val="19"/>
                <w:szCs w:val="19"/>
                <w:color w:val="auto"/>
              </w:rPr>
            </w:pPr>
          </w:p>
        </w:tc>
        <w:tc>
          <w:tcPr>
            <w:tcW w:w="1040" w:type="dxa"/>
            <w:vAlign w:val="bottom"/>
            <w:tcBorders>
              <w:bottom w:val="single" w:sz="8" w:color="auto"/>
            </w:tcBorders>
            <w:shd w:val="clear" w:color="auto" w:fill="CFF0FC"/>
          </w:tcPr>
          <w:p>
            <w:pPr>
              <w:jc w:val="right"/>
              <w:ind w:right="219"/>
              <w:spacing w:after="0"/>
              <w:rPr>
                <w:sz w:val="20"/>
                <w:szCs w:val="20"/>
                <w:color w:val="auto"/>
              </w:rPr>
            </w:pPr>
            <w:r>
              <w:rPr>
                <w:rFonts w:ascii="Arial" w:cs="Arial" w:eastAsia="Arial" w:hAnsi="Arial"/>
                <w:sz w:val="16"/>
                <w:szCs w:val="16"/>
                <w:color w:val="auto"/>
              </w:rPr>
              <w:t>(000’s)</w:t>
            </w:r>
          </w:p>
        </w:tc>
        <w:tc>
          <w:tcPr>
            <w:tcW w:w="60" w:type="dxa"/>
            <w:vAlign w:val="bottom"/>
            <w:tcBorders>
              <w:bottom w:val="single" w:sz="8" w:color="CFF0FC"/>
            </w:tcBorders>
            <w:shd w:val="clear" w:color="auto" w:fill="CFF0FC"/>
          </w:tcPr>
          <w:p>
            <w:pPr>
              <w:spacing w:after="0"/>
              <w:rPr>
                <w:sz w:val="19"/>
                <w:szCs w:val="19"/>
                <w:color w:val="auto"/>
              </w:rPr>
            </w:pPr>
          </w:p>
        </w:tc>
      </w:tr>
      <w:tr>
        <w:trPr>
          <w:trHeight w:val="220"/>
        </w:trPr>
        <w:tc>
          <w:tcPr>
            <w:tcW w:w="3020" w:type="dxa"/>
            <w:vAlign w:val="bottom"/>
            <w:gridSpan w:val="2"/>
          </w:tcPr>
          <w:p>
            <w:pPr>
              <w:ind w:left="20"/>
              <w:spacing w:after="0"/>
              <w:rPr>
                <w:sz w:val="20"/>
                <w:szCs w:val="20"/>
                <w:color w:val="auto"/>
              </w:rPr>
            </w:pPr>
            <w:r>
              <w:rPr>
                <w:rFonts w:ascii="Arial" w:cs="Arial" w:eastAsia="Arial" w:hAnsi="Arial"/>
                <w:sz w:val="16"/>
                <w:szCs w:val="16"/>
                <w:color w:val="auto"/>
              </w:rPr>
              <w:t>DXL retail</w:t>
            </w:r>
          </w:p>
        </w:tc>
        <w:tc>
          <w:tcPr>
            <w:tcW w:w="280" w:type="dxa"/>
            <w:vAlign w:val="bottom"/>
          </w:tcPr>
          <w:p>
            <w:pPr>
              <w:jc w:val="right"/>
              <w:spacing w:after="0"/>
              <w:rPr>
                <w:sz w:val="20"/>
                <w:szCs w:val="20"/>
                <w:color w:val="auto"/>
              </w:rPr>
            </w:pPr>
            <w:r>
              <w:rPr>
                <w:rFonts w:ascii="Arial" w:cs="Arial" w:eastAsia="Arial" w:hAnsi="Arial"/>
                <w:sz w:val="16"/>
                <w:szCs w:val="16"/>
                <w:color w:val="auto"/>
                <w:w w:val="89"/>
              </w:rPr>
              <w:t>216</w:t>
            </w:r>
          </w:p>
        </w:tc>
        <w:tc>
          <w:tcPr>
            <w:tcW w:w="1140" w:type="dxa"/>
            <w:vAlign w:val="bottom"/>
            <w:gridSpan w:val="2"/>
          </w:tcPr>
          <w:p>
            <w:pPr>
              <w:jc w:val="right"/>
              <w:spacing w:after="0"/>
              <w:rPr>
                <w:sz w:val="20"/>
                <w:szCs w:val="20"/>
                <w:color w:val="auto"/>
              </w:rPr>
            </w:pPr>
            <w:r>
              <w:rPr>
                <w:rFonts w:ascii="Arial" w:cs="Arial" w:eastAsia="Arial" w:hAnsi="Arial"/>
                <w:sz w:val="16"/>
                <w:szCs w:val="16"/>
                <w:color w:val="auto"/>
              </w:rPr>
              <w:t>1,684</w:t>
            </w:r>
          </w:p>
        </w:tc>
        <w:tc>
          <w:tcPr>
            <w:tcW w:w="1160" w:type="dxa"/>
            <w:vAlign w:val="bottom"/>
            <w:gridSpan w:val="2"/>
          </w:tcPr>
          <w:p>
            <w:pPr>
              <w:jc w:val="right"/>
              <w:spacing w:after="0"/>
              <w:rPr>
                <w:sz w:val="20"/>
                <w:szCs w:val="20"/>
                <w:color w:val="auto"/>
              </w:rPr>
            </w:pPr>
            <w:r>
              <w:rPr>
                <w:rFonts w:ascii="Arial" w:cs="Arial" w:eastAsia="Arial" w:hAnsi="Arial"/>
                <w:sz w:val="16"/>
                <w:szCs w:val="16"/>
                <w:color w:val="auto"/>
              </w:rPr>
              <w:t>228</w:t>
            </w:r>
          </w:p>
        </w:tc>
        <w:tc>
          <w:tcPr>
            <w:tcW w:w="1140" w:type="dxa"/>
            <w:vAlign w:val="bottom"/>
            <w:gridSpan w:val="2"/>
          </w:tcPr>
          <w:p>
            <w:pPr>
              <w:jc w:val="right"/>
              <w:spacing w:after="0"/>
              <w:rPr>
                <w:sz w:val="20"/>
                <w:szCs w:val="20"/>
                <w:color w:val="auto"/>
              </w:rPr>
            </w:pPr>
            <w:r>
              <w:rPr>
                <w:rFonts w:ascii="Arial" w:cs="Arial" w:eastAsia="Arial" w:hAnsi="Arial"/>
                <w:sz w:val="16"/>
                <w:szCs w:val="16"/>
                <w:color w:val="auto"/>
              </w:rPr>
              <w:t>1,729</w:t>
            </w:r>
          </w:p>
        </w:tc>
        <w:tc>
          <w:tcPr>
            <w:tcW w:w="1120" w:type="dxa"/>
            <w:vAlign w:val="bottom"/>
            <w:gridSpan w:val="2"/>
          </w:tcPr>
          <w:p>
            <w:pPr>
              <w:jc w:val="right"/>
              <w:spacing w:after="0"/>
              <w:rPr>
                <w:sz w:val="20"/>
                <w:szCs w:val="20"/>
                <w:color w:val="auto"/>
              </w:rPr>
            </w:pPr>
            <w:r>
              <w:rPr>
                <w:rFonts w:ascii="Arial" w:cs="Arial" w:eastAsia="Arial" w:hAnsi="Arial"/>
                <w:sz w:val="16"/>
                <w:szCs w:val="16"/>
                <w:color w:val="auto"/>
              </w:rPr>
              <w:t>226</w:t>
            </w:r>
          </w:p>
        </w:tc>
        <w:tc>
          <w:tcPr>
            <w:tcW w:w="1100" w:type="dxa"/>
            <w:vAlign w:val="bottom"/>
            <w:gridSpan w:val="2"/>
          </w:tcPr>
          <w:p>
            <w:pPr>
              <w:jc w:val="right"/>
              <w:spacing w:after="0"/>
              <w:rPr>
                <w:sz w:val="20"/>
                <w:szCs w:val="20"/>
                <w:color w:val="auto"/>
              </w:rPr>
            </w:pPr>
            <w:r>
              <w:rPr>
                <w:rFonts w:ascii="Arial" w:cs="Arial" w:eastAsia="Arial" w:hAnsi="Arial"/>
                <w:sz w:val="16"/>
                <w:szCs w:val="16"/>
                <w:color w:val="auto"/>
              </w:rPr>
              <w:t>1,718</w:t>
            </w:r>
          </w:p>
        </w:tc>
        <w:tc>
          <w:tcPr>
            <w:tcW w:w="1100" w:type="dxa"/>
            <w:vAlign w:val="bottom"/>
            <w:gridSpan w:val="2"/>
          </w:tcPr>
          <w:p>
            <w:pPr>
              <w:jc w:val="right"/>
              <w:spacing w:after="0"/>
              <w:rPr>
                <w:sz w:val="20"/>
                <w:szCs w:val="20"/>
                <w:color w:val="auto"/>
              </w:rPr>
            </w:pPr>
            <w:r>
              <w:rPr>
                <w:rFonts w:ascii="Arial" w:cs="Arial" w:eastAsia="Arial" w:hAnsi="Arial"/>
                <w:sz w:val="16"/>
                <w:szCs w:val="16"/>
                <w:color w:val="auto"/>
              </w:rPr>
              <w:t>220</w:t>
            </w:r>
          </w:p>
        </w:tc>
        <w:tc>
          <w:tcPr>
            <w:tcW w:w="1120" w:type="dxa"/>
            <w:vAlign w:val="bottom"/>
            <w:gridSpan w:val="2"/>
          </w:tcPr>
          <w:p>
            <w:pPr>
              <w:jc w:val="right"/>
              <w:spacing w:after="0"/>
              <w:rPr>
                <w:sz w:val="20"/>
                <w:szCs w:val="20"/>
                <w:color w:val="auto"/>
              </w:rPr>
            </w:pPr>
            <w:r>
              <w:rPr>
                <w:rFonts w:ascii="Arial" w:cs="Arial" w:eastAsia="Arial" w:hAnsi="Arial"/>
                <w:sz w:val="16"/>
                <w:szCs w:val="16"/>
                <w:color w:val="auto"/>
              </w:rPr>
              <w:t>1,678</w:t>
            </w:r>
          </w:p>
        </w:tc>
        <w:tc>
          <w:tcPr>
            <w:tcW w:w="60" w:type="dxa"/>
            <w:vAlign w:val="bottom"/>
          </w:tcPr>
          <w:p>
            <w:pPr>
              <w:spacing w:after="0"/>
              <w:rPr>
                <w:sz w:val="19"/>
                <w:szCs w:val="19"/>
                <w:color w:val="auto"/>
              </w:rPr>
            </w:pPr>
          </w:p>
        </w:tc>
      </w:tr>
      <w:tr>
        <w:trPr>
          <w:trHeight w:val="239"/>
        </w:trPr>
        <w:tc>
          <w:tcPr>
            <w:tcW w:w="3020" w:type="dxa"/>
            <w:vAlign w:val="bottom"/>
            <w:gridSpan w:val="2"/>
            <w:shd w:val="clear" w:color="auto" w:fill="CFF0FC"/>
          </w:tcPr>
          <w:p>
            <w:pPr>
              <w:ind w:left="20"/>
              <w:spacing w:after="0"/>
              <w:rPr>
                <w:sz w:val="20"/>
                <w:szCs w:val="20"/>
                <w:color w:val="auto"/>
              </w:rPr>
            </w:pPr>
            <w:r>
              <w:rPr>
                <w:rFonts w:ascii="Arial" w:cs="Arial" w:eastAsia="Arial" w:hAnsi="Arial"/>
                <w:sz w:val="16"/>
                <w:szCs w:val="16"/>
                <w:color w:val="auto"/>
              </w:rPr>
              <w:t>DXL outlets</w:t>
            </w:r>
          </w:p>
        </w:tc>
        <w:tc>
          <w:tcPr>
            <w:tcW w:w="2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15</w:t>
            </w:r>
          </w:p>
        </w:tc>
        <w:tc>
          <w:tcPr>
            <w:tcW w:w="114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78</w:t>
            </w:r>
          </w:p>
        </w:tc>
        <w:tc>
          <w:tcPr>
            <w:tcW w:w="116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17</w:t>
            </w:r>
          </w:p>
        </w:tc>
        <w:tc>
          <w:tcPr>
            <w:tcW w:w="114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82</w:t>
            </w:r>
          </w:p>
        </w:tc>
        <w:tc>
          <w:tcPr>
            <w:tcW w:w="112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17</w:t>
            </w:r>
          </w:p>
        </w:tc>
        <w:tc>
          <w:tcPr>
            <w:tcW w:w="110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82</w:t>
            </w:r>
          </w:p>
        </w:tc>
        <w:tc>
          <w:tcPr>
            <w:tcW w:w="110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16</w:t>
            </w:r>
          </w:p>
        </w:tc>
        <w:tc>
          <w:tcPr>
            <w:tcW w:w="112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82</w:t>
            </w:r>
          </w:p>
        </w:tc>
        <w:tc>
          <w:tcPr>
            <w:tcW w:w="60" w:type="dxa"/>
            <w:vAlign w:val="bottom"/>
            <w:shd w:val="clear" w:color="auto" w:fill="CFF0FC"/>
          </w:tcPr>
          <w:p>
            <w:pPr>
              <w:spacing w:after="0"/>
              <w:rPr>
                <w:sz w:val="20"/>
                <w:szCs w:val="20"/>
                <w:color w:val="auto"/>
              </w:rPr>
            </w:pPr>
          </w:p>
        </w:tc>
      </w:tr>
      <w:tr>
        <w:trPr>
          <w:trHeight w:val="220"/>
        </w:trPr>
        <w:tc>
          <w:tcPr>
            <w:tcW w:w="3020" w:type="dxa"/>
            <w:vAlign w:val="bottom"/>
            <w:gridSpan w:val="2"/>
          </w:tcPr>
          <w:p>
            <w:pPr>
              <w:ind w:left="20"/>
              <w:spacing w:after="0"/>
              <w:rPr>
                <w:sz w:val="20"/>
                <w:szCs w:val="20"/>
                <w:color w:val="auto"/>
              </w:rPr>
            </w:pPr>
            <w:r>
              <w:rPr>
                <w:rFonts w:ascii="Arial" w:cs="Arial" w:eastAsia="Arial" w:hAnsi="Arial"/>
                <w:sz w:val="16"/>
                <w:szCs w:val="16"/>
                <w:color w:val="auto"/>
              </w:rPr>
              <w:t>CMXL retail</w:t>
            </w:r>
          </w:p>
        </w:tc>
        <w:tc>
          <w:tcPr>
            <w:tcW w:w="280" w:type="dxa"/>
            <w:vAlign w:val="bottom"/>
          </w:tcPr>
          <w:p>
            <w:pPr>
              <w:jc w:val="right"/>
              <w:spacing w:after="0"/>
              <w:rPr>
                <w:sz w:val="20"/>
                <w:szCs w:val="20"/>
                <w:color w:val="auto"/>
              </w:rPr>
            </w:pPr>
            <w:r>
              <w:rPr>
                <w:rFonts w:ascii="Arial" w:cs="Arial" w:eastAsia="Arial" w:hAnsi="Arial"/>
                <w:sz w:val="16"/>
                <w:szCs w:val="16"/>
                <w:color w:val="auto"/>
              </w:rPr>
              <w:t>66</w:t>
            </w:r>
          </w:p>
        </w:tc>
        <w:tc>
          <w:tcPr>
            <w:tcW w:w="1140" w:type="dxa"/>
            <w:vAlign w:val="bottom"/>
            <w:gridSpan w:val="2"/>
          </w:tcPr>
          <w:p>
            <w:pPr>
              <w:jc w:val="right"/>
              <w:spacing w:after="0"/>
              <w:rPr>
                <w:sz w:val="20"/>
                <w:szCs w:val="20"/>
                <w:color w:val="auto"/>
              </w:rPr>
            </w:pPr>
            <w:r>
              <w:rPr>
                <w:rFonts w:ascii="Arial" w:cs="Arial" w:eastAsia="Arial" w:hAnsi="Arial"/>
                <w:sz w:val="16"/>
                <w:szCs w:val="16"/>
                <w:color w:val="auto"/>
              </w:rPr>
              <w:t>221</w:t>
            </w:r>
          </w:p>
        </w:tc>
        <w:tc>
          <w:tcPr>
            <w:tcW w:w="1160" w:type="dxa"/>
            <w:vAlign w:val="bottom"/>
            <w:gridSpan w:val="2"/>
          </w:tcPr>
          <w:p>
            <w:pPr>
              <w:jc w:val="right"/>
              <w:spacing w:after="0"/>
              <w:rPr>
                <w:sz w:val="20"/>
                <w:szCs w:val="20"/>
                <w:color w:val="auto"/>
              </w:rPr>
            </w:pPr>
            <w:r>
              <w:rPr>
                <w:rFonts w:ascii="Arial" w:cs="Arial" w:eastAsia="Arial" w:hAnsi="Arial"/>
                <w:sz w:val="16"/>
                <w:szCs w:val="16"/>
                <w:color w:val="auto"/>
              </w:rPr>
              <w:t>50</w:t>
            </w:r>
          </w:p>
        </w:tc>
        <w:tc>
          <w:tcPr>
            <w:tcW w:w="1140" w:type="dxa"/>
            <w:vAlign w:val="bottom"/>
            <w:gridSpan w:val="2"/>
          </w:tcPr>
          <w:p>
            <w:pPr>
              <w:jc w:val="right"/>
              <w:spacing w:after="0"/>
              <w:rPr>
                <w:sz w:val="20"/>
                <w:szCs w:val="20"/>
                <w:color w:val="auto"/>
              </w:rPr>
            </w:pPr>
            <w:r>
              <w:rPr>
                <w:rFonts w:ascii="Arial" w:cs="Arial" w:eastAsia="Arial" w:hAnsi="Arial"/>
                <w:sz w:val="16"/>
                <w:szCs w:val="16"/>
                <w:color w:val="auto"/>
              </w:rPr>
              <w:t>164</w:t>
            </w:r>
          </w:p>
        </w:tc>
        <w:tc>
          <w:tcPr>
            <w:tcW w:w="1120" w:type="dxa"/>
            <w:vAlign w:val="bottom"/>
            <w:gridSpan w:val="2"/>
          </w:tcPr>
          <w:p>
            <w:pPr>
              <w:jc w:val="right"/>
              <w:spacing w:after="0"/>
              <w:rPr>
                <w:sz w:val="20"/>
                <w:szCs w:val="20"/>
                <w:color w:val="auto"/>
              </w:rPr>
            </w:pPr>
            <w:r>
              <w:rPr>
                <w:rFonts w:ascii="Arial" w:cs="Arial" w:eastAsia="Arial" w:hAnsi="Arial"/>
                <w:sz w:val="16"/>
                <w:szCs w:val="16"/>
                <w:color w:val="auto"/>
              </w:rPr>
              <w:t>46</w:t>
            </w:r>
          </w:p>
        </w:tc>
        <w:tc>
          <w:tcPr>
            <w:tcW w:w="1100" w:type="dxa"/>
            <w:vAlign w:val="bottom"/>
            <w:gridSpan w:val="2"/>
          </w:tcPr>
          <w:p>
            <w:pPr>
              <w:jc w:val="right"/>
              <w:spacing w:after="0"/>
              <w:rPr>
                <w:sz w:val="20"/>
                <w:szCs w:val="20"/>
                <w:color w:val="auto"/>
              </w:rPr>
            </w:pPr>
            <w:r>
              <w:rPr>
                <w:rFonts w:ascii="Arial" w:cs="Arial" w:eastAsia="Arial" w:hAnsi="Arial"/>
                <w:sz w:val="16"/>
                <w:szCs w:val="16"/>
                <w:color w:val="auto"/>
              </w:rPr>
              <w:t>152</w:t>
            </w:r>
          </w:p>
        </w:tc>
        <w:tc>
          <w:tcPr>
            <w:tcW w:w="1100" w:type="dxa"/>
            <w:vAlign w:val="bottom"/>
            <w:gridSpan w:val="2"/>
          </w:tcPr>
          <w:p>
            <w:pPr>
              <w:jc w:val="right"/>
              <w:spacing w:after="0"/>
              <w:rPr>
                <w:sz w:val="20"/>
                <w:szCs w:val="20"/>
                <w:color w:val="auto"/>
              </w:rPr>
            </w:pPr>
            <w:r>
              <w:rPr>
                <w:rFonts w:ascii="Arial" w:cs="Arial" w:eastAsia="Arial" w:hAnsi="Arial"/>
                <w:sz w:val="16"/>
                <w:szCs w:val="16"/>
                <w:color w:val="auto"/>
              </w:rPr>
              <w:t>38</w:t>
            </w:r>
          </w:p>
        </w:tc>
        <w:tc>
          <w:tcPr>
            <w:tcW w:w="1120" w:type="dxa"/>
            <w:vAlign w:val="bottom"/>
            <w:gridSpan w:val="2"/>
          </w:tcPr>
          <w:p>
            <w:pPr>
              <w:jc w:val="right"/>
              <w:spacing w:after="0"/>
              <w:rPr>
                <w:sz w:val="20"/>
                <w:szCs w:val="20"/>
                <w:color w:val="auto"/>
              </w:rPr>
            </w:pPr>
            <w:r>
              <w:rPr>
                <w:rFonts w:ascii="Arial" w:cs="Arial" w:eastAsia="Arial" w:hAnsi="Arial"/>
                <w:sz w:val="16"/>
                <w:szCs w:val="16"/>
                <w:color w:val="auto"/>
              </w:rPr>
              <w:t>126</w:t>
            </w:r>
          </w:p>
        </w:tc>
        <w:tc>
          <w:tcPr>
            <w:tcW w:w="60" w:type="dxa"/>
            <w:vAlign w:val="bottom"/>
          </w:tcPr>
          <w:p>
            <w:pPr>
              <w:spacing w:after="0"/>
              <w:rPr>
                <w:sz w:val="19"/>
                <w:szCs w:val="19"/>
                <w:color w:val="auto"/>
              </w:rPr>
            </w:pPr>
          </w:p>
        </w:tc>
      </w:tr>
      <w:tr>
        <w:trPr>
          <w:trHeight w:val="239"/>
        </w:trPr>
        <w:tc>
          <w:tcPr>
            <w:tcW w:w="3020" w:type="dxa"/>
            <w:vAlign w:val="bottom"/>
            <w:gridSpan w:val="2"/>
            <w:shd w:val="clear" w:color="auto" w:fill="CFF0FC"/>
          </w:tcPr>
          <w:p>
            <w:pPr>
              <w:ind w:left="20"/>
              <w:spacing w:after="0"/>
              <w:rPr>
                <w:sz w:val="20"/>
                <w:szCs w:val="20"/>
                <w:color w:val="auto"/>
              </w:rPr>
            </w:pPr>
            <w:r>
              <w:rPr>
                <w:rFonts w:ascii="Arial" w:cs="Arial" w:eastAsia="Arial" w:hAnsi="Arial"/>
                <w:sz w:val="16"/>
                <w:szCs w:val="16"/>
                <w:color w:val="auto"/>
              </w:rPr>
              <w:t>CMXL outlets</w:t>
            </w:r>
          </w:p>
        </w:tc>
        <w:tc>
          <w:tcPr>
            <w:tcW w:w="2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30</w:t>
            </w:r>
          </w:p>
        </w:tc>
        <w:tc>
          <w:tcPr>
            <w:tcW w:w="114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91</w:t>
            </w:r>
          </w:p>
        </w:tc>
        <w:tc>
          <w:tcPr>
            <w:tcW w:w="116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28</w:t>
            </w:r>
          </w:p>
        </w:tc>
        <w:tc>
          <w:tcPr>
            <w:tcW w:w="114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85</w:t>
            </w:r>
          </w:p>
        </w:tc>
        <w:tc>
          <w:tcPr>
            <w:tcW w:w="112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22</w:t>
            </w:r>
          </w:p>
        </w:tc>
        <w:tc>
          <w:tcPr>
            <w:tcW w:w="110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66</w:t>
            </w:r>
          </w:p>
        </w:tc>
        <w:tc>
          <w:tcPr>
            <w:tcW w:w="110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20</w:t>
            </w:r>
          </w:p>
        </w:tc>
        <w:tc>
          <w:tcPr>
            <w:tcW w:w="112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60</w:t>
            </w:r>
          </w:p>
        </w:tc>
        <w:tc>
          <w:tcPr>
            <w:tcW w:w="60" w:type="dxa"/>
            <w:vAlign w:val="bottom"/>
            <w:shd w:val="clear" w:color="auto" w:fill="CFF0FC"/>
          </w:tcPr>
          <w:p>
            <w:pPr>
              <w:spacing w:after="0"/>
              <w:rPr>
                <w:sz w:val="20"/>
                <w:szCs w:val="20"/>
                <w:color w:val="auto"/>
              </w:rPr>
            </w:pPr>
          </w:p>
        </w:tc>
      </w:tr>
      <w:tr>
        <w:trPr>
          <w:trHeight w:val="226"/>
        </w:trPr>
        <w:tc>
          <w:tcPr>
            <w:tcW w:w="2240" w:type="dxa"/>
            <w:vAlign w:val="bottom"/>
          </w:tcPr>
          <w:p>
            <w:pPr>
              <w:ind w:left="20"/>
              <w:spacing w:after="0"/>
              <w:rPr>
                <w:sz w:val="20"/>
                <w:szCs w:val="20"/>
                <w:color w:val="auto"/>
              </w:rPr>
            </w:pPr>
            <w:r>
              <w:rPr>
                <w:rFonts w:ascii="Arial" w:cs="Arial" w:eastAsia="Arial" w:hAnsi="Arial"/>
                <w:sz w:val="16"/>
                <w:szCs w:val="16"/>
                <w:color w:val="auto"/>
              </w:rPr>
              <w:t>Rochester Clothing</w:t>
            </w:r>
          </w:p>
        </w:tc>
        <w:tc>
          <w:tcPr>
            <w:tcW w:w="78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w:t>
            </w:r>
          </w:p>
        </w:tc>
        <w:tc>
          <w:tcPr>
            <w:tcW w:w="80" w:type="dxa"/>
            <w:vAlign w:val="bottom"/>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51</w:t>
            </w:r>
          </w:p>
        </w:tc>
        <w:tc>
          <w:tcPr>
            <w:tcW w:w="100" w:type="dxa"/>
            <w:vAlign w:val="bottom"/>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19"/>
                <w:szCs w:val="19"/>
                <w:color w:val="auto"/>
              </w:rPr>
            </w:pPr>
          </w:p>
        </w:tc>
      </w:tr>
      <w:tr>
        <w:trPr>
          <w:trHeight w:val="226"/>
        </w:trPr>
        <w:tc>
          <w:tcPr>
            <w:tcW w:w="3020" w:type="dxa"/>
            <w:vAlign w:val="bottom"/>
            <w:gridSpan w:val="2"/>
            <w:shd w:val="clear" w:color="auto" w:fill="CFF0FC"/>
          </w:tcPr>
          <w:p>
            <w:pPr>
              <w:ind w:left="20"/>
              <w:spacing w:after="0"/>
              <w:rPr>
                <w:sz w:val="20"/>
                <w:szCs w:val="20"/>
                <w:color w:val="auto"/>
              </w:rPr>
            </w:pPr>
            <w:r>
              <w:rPr>
                <w:rFonts w:ascii="Arial" w:cs="Arial" w:eastAsia="Arial" w:hAnsi="Arial"/>
                <w:sz w:val="16"/>
                <w:szCs w:val="16"/>
                <w:color w:val="auto"/>
              </w:rPr>
              <w:t>Total</w:t>
            </w:r>
          </w:p>
        </w:tc>
        <w:tc>
          <w:tcPr>
            <w:tcW w:w="280" w:type="dxa"/>
            <w:vAlign w:val="bottom"/>
            <w:shd w:val="clear" w:color="auto" w:fill="CFF0FC"/>
          </w:tcPr>
          <w:p>
            <w:pPr>
              <w:jc w:val="right"/>
              <w:spacing w:after="0"/>
              <w:rPr>
                <w:sz w:val="20"/>
                <w:szCs w:val="20"/>
                <w:color w:val="auto"/>
              </w:rPr>
            </w:pPr>
            <w:r>
              <w:rPr>
                <w:rFonts w:ascii="Arial" w:cs="Arial" w:eastAsia="Arial" w:hAnsi="Arial"/>
                <w:sz w:val="16"/>
                <w:szCs w:val="16"/>
                <w:color w:val="auto"/>
                <w:w w:val="89"/>
              </w:rPr>
              <w:t>332</w:t>
            </w:r>
          </w:p>
        </w:tc>
        <w:tc>
          <w:tcPr>
            <w:tcW w:w="114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2,125</w:t>
            </w:r>
          </w:p>
        </w:tc>
        <w:tc>
          <w:tcPr>
            <w:tcW w:w="116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323</w:t>
            </w:r>
          </w:p>
        </w:tc>
        <w:tc>
          <w:tcPr>
            <w:tcW w:w="114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2,060</w:t>
            </w:r>
          </w:p>
        </w:tc>
        <w:tc>
          <w:tcPr>
            <w:tcW w:w="112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311</w:t>
            </w:r>
          </w:p>
        </w:tc>
        <w:tc>
          <w:tcPr>
            <w:tcW w:w="110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2,018</w:t>
            </w:r>
          </w:p>
        </w:tc>
        <w:tc>
          <w:tcPr>
            <w:tcW w:w="110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294</w:t>
            </w:r>
          </w:p>
        </w:tc>
        <w:tc>
          <w:tcPr>
            <w:tcW w:w="112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1,946</w:t>
            </w:r>
          </w:p>
        </w:tc>
        <w:tc>
          <w:tcPr>
            <w:tcW w:w="60" w:type="dxa"/>
            <w:vAlign w:val="bottom"/>
            <w:shd w:val="clear" w:color="auto" w:fill="CFF0FC"/>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2096770</wp:posOffset>
            </wp:positionH>
            <wp:positionV relativeFrom="paragraph">
              <wp:posOffset>-887730</wp:posOffset>
            </wp:positionV>
            <wp:extent cx="51435" cy="571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1435" cy="5715"/>
                    </a:xfrm>
                    <a:prstGeom prst="rect">
                      <a:avLst/>
                    </a:prstGeom>
                    <a:noFill/>
                  </pic:spPr>
                </pic:pic>
              </a:graphicData>
            </a:graphic>
          </wp:anchor>
        </w:drawing>
        <w:drawing>
          <wp:anchor simplePos="0" relativeHeight="251657728" behindDoc="1" locked="0" layoutInCell="0" allowOverlap="1">
            <wp:simplePos x="0" y="0"/>
            <wp:positionH relativeFrom="column">
              <wp:posOffset>2825115</wp:posOffset>
            </wp:positionH>
            <wp:positionV relativeFrom="paragraph">
              <wp:posOffset>-887730</wp:posOffset>
            </wp:positionV>
            <wp:extent cx="51435" cy="571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51435" cy="5715"/>
                    </a:xfrm>
                    <a:prstGeom prst="rect">
                      <a:avLst/>
                    </a:prstGeom>
                    <a:noFill/>
                  </pic:spPr>
                </pic:pic>
              </a:graphicData>
            </a:graphic>
          </wp:anchor>
        </w:drawing>
        <w:drawing>
          <wp:anchor simplePos="0" relativeHeight="251657728" behindDoc="1" locked="0" layoutInCell="0" allowOverlap="1">
            <wp:simplePos x="0" y="0"/>
            <wp:positionH relativeFrom="column">
              <wp:posOffset>3554095</wp:posOffset>
            </wp:positionH>
            <wp:positionV relativeFrom="paragraph">
              <wp:posOffset>-887730</wp:posOffset>
            </wp:positionV>
            <wp:extent cx="51435" cy="571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51435" cy="5715"/>
                    </a:xfrm>
                    <a:prstGeom prst="rect">
                      <a:avLst/>
                    </a:prstGeom>
                    <a:noFill/>
                  </pic:spPr>
                </pic:pic>
              </a:graphicData>
            </a:graphic>
          </wp:anchor>
        </w:drawing>
        <w:drawing>
          <wp:anchor simplePos="0" relativeHeight="251657728" behindDoc="1" locked="0" layoutInCell="0" allowOverlap="1">
            <wp:simplePos x="0" y="0"/>
            <wp:positionH relativeFrom="column">
              <wp:posOffset>4282440</wp:posOffset>
            </wp:positionH>
            <wp:positionV relativeFrom="paragraph">
              <wp:posOffset>-887730</wp:posOffset>
            </wp:positionV>
            <wp:extent cx="42545" cy="571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42545" cy="5715"/>
                    </a:xfrm>
                    <a:prstGeom prst="rect">
                      <a:avLst/>
                    </a:prstGeom>
                    <a:noFill/>
                  </pic:spPr>
                </pic:pic>
              </a:graphicData>
            </a:graphic>
          </wp:anchor>
        </w:drawing>
        <w:drawing>
          <wp:anchor simplePos="0" relativeHeight="251657728" behindDoc="1" locked="0" layoutInCell="0" allowOverlap="1">
            <wp:simplePos x="0" y="0"/>
            <wp:positionH relativeFrom="column">
              <wp:posOffset>4985385</wp:posOffset>
            </wp:positionH>
            <wp:positionV relativeFrom="paragraph">
              <wp:posOffset>-887730</wp:posOffset>
            </wp:positionV>
            <wp:extent cx="43180" cy="571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43180" cy="5715"/>
                    </a:xfrm>
                    <a:prstGeom prst="rect">
                      <a:avLst/>
                    </a:prstGeom>
                    <a:noFill/>
                  </pic:spPr>
                </pic:pic>
              </a:graphicData>
            </a:graphic>
          </wp:anchor>
        </w:drawing>
        <w:drawing>
          <wp:anchor simplePos="0" relativeHeight="251657728" behindDoc="1" locked="0" layoutInCell="0" allowOverlap="1">
            <wp:simplePos x="0" y="0"/>
            <wp:positionH relativeFrom="column">
              <wp:posOffset>5688330</wp:posOffset>
            </wp:positionH>
            <wp:positionV relativeFrom="paragraph">
              <wp:posOffset>-887730</wp:posOffset>
            </wp:positionV>
            <wp:extent cx="43180" cy="571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43180" cy="5715"/>
                    </a:xfrm>
                    <a:prstGeom prst="rect">
                      <a:avLst/>
                    </a:prstGeom>
                    <a:noFill/>
                  </pic:spPr>
                </pic:pic>
              </a:graphicData>
            </a:graphic>
          </wp:anchor>
        </w:drawing>
        <w:drawing>
          <wp:anchor simplePos="0" relativeHeight="251657728" behindDoc="1" locked="0" layoutInCell="0" allowOverlap="1">
            <wp:simplePos x="0" y="0"/>
            <wp:positionH relativeFrom="column">
              <wp:posOffset>6391275</wp:posOffset>
            </wp:positionH>
            <wp:positionV relativeFrom="paragraph">
              <wp:posOffset>-887730</wp:posOffset>
            </wp:positionV>
            <wp:extent cx="43180" cy="571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43180" cy="5715"/>
                    </a:xfrm>
                    <a:prstGeom prst="rect">
                      <a:avLst/>
                    </a:prstGeom>
                    <a:noFill/>
                  </pic:spPr>
                </pic:pic>
              </a:graphicData>
            </a:graphic>
          </wp:anchor>
        </w:drawing>
        <w:drawing>
          <wp:anchor simplePos="0" relativeHeight="251657728" behindDoc="1" locked="0" layoutInCell="0" allowOverlap="1">
            <wp:simplePos x="0" y="0"/>
            <wp:positionH relativeFrom="column">
              <wp:posOffset>7094220</wp:posOffset>
            </wp:positionH>
            <wp:positionV relativeFrom="paragraph">
              <wp:posOffset>-887730</wp:posOffset>
            </wp:positionV>
            <wp:extent cx="43180" cy="571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43180" cy="5715"/>
                    </a:xfrm>
                    <a:prstGeom prst="rect">
                      <a:avLst/>
                    </a:prstGeom>
                    <a:noFill/>
                  </pic:spPr>
                </pic:pic>
              </a:graphicData>
            </a:graphic>
          </wp:anchor>
        </w:drawing>
      </w:r>
    </w:p>
    <w:p>
      <w:pPr>
        <w:spacing w:after="0" w:line="206" w:lineRule="exact"/>
        <w:rPr>
          <w:sz w:val="20"/>
          <w:szCs w:val="20"/>
          <w:color w:val="auto"/>
        </w:rPr>
      </w:pPr>
    </w:p>
    <w:p>
      <w:pPr>
        <w:ind w:right="20"/>
        <w:spacing w:after="0" w:line="341" w:lineRule="auto"/>
        <w:rPr>
          <w:sz w:val="20"/>
          <w:szCs w:val="20"/>
          <w:color w:val="auto"/>
        </w:rPr>
      </w:pPr>
      <w:r>
        <w:rPr>
          <w:rFonts w:ascii="Arial" w:cs="Arial" w:eastAsia="Arial" w:hAnsi="Arial"/>
          <w:sz w:val="18"/>
          <w:szCs w:val="18"/>
          <w:color w:val="auto"/>
        </w:rPr>
        <w:t>We do not plan to open any new stores or rebrand any of our Casual Male XL stores during the remainder of fiscal 2021. We have 112 stores that have leases with either a natural lease expiration or a kick-out option within the next two years. This provides us an opportunity to right size our store portfolio, through lease renegotiations or lease-term expirations, to ensure that we are optimizing our store profitability and omni-channel distribution. Since the beginning of fiscal 2020, we have renegotiated approximately 155 of our store leases that we expect will deliver over $18.1 million of savings over the life of the leases, including $6.2 million of expected savings in fiscal 2021.</w:t>
      </w:r>
    </w:p>
    <w:p>
      <w:pPr>
        <w:spacing w:after="0" w:line="49"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E-Commerce Information</w:t>
      </w:r>
    </w:p>
    <w:p>
      <w:pPr>
        <w:spacing w:after="0" w:line="195" w:lineRule="exact"/>
        <w:rPr>
          <w:sz w:val="20"/>
          <w:szCs w:val="20"/>
          <w:color w:val="auto"/>
        </w:rPr>
      </w:pPr>
    </w:p>
    <w:p>
      <w:pPr>
        <w:ind w:right="360"/>
        <w:spacing w:after="0" w:line="306" w:lineRule="auto"/>
        <w:rPr>
          <w:sz w:val="20"/>
          <w:szCs w:val="20"/>
          <w:color w:val="auto"/>
        </w:rPr>
      </w:pPr>
      <w:r>
        <w:rPr>
          <w:rFonts w:ascii="Arial" w:cs="Arial" w:eastAsia="Arial" w:hAnsi="Arial"/>
          <w:sz w:val="20"/>
          <w:szCs w:val="20"/>
          <w:color w:val="auto"/>
        </w:rPr>
        <w:t>The Company distributes its licensed branded and private label products directly to consumers through its stores, website, and third-party marketplaces. E-commerce sales, which we also refer to as direct sales, are defined as sales that originate online, whether through our website, at the store level or through a third-party marketplace. Our direct business is a</w:t>
      </w:r>
    </w:p>
    <w:p>
      <w:pPr>
        <w:spacing w:after="0" w:line="10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237490</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50" w:right="339" w:bottom="1440" w:gutter="0" w:footer="0" w:header="0"/>
        </w:sectPr>
      </w:pPr>
    </w:p>
    <w:bookmarkStart w:id="7" w:name="page8"/>
    <w:bookmarkEnd w:id="7"/>
    <w:p>
      <w:pPr>
        <w:ind w:right="60"/>
        <w:spacing w:after="0" w:line="320" w:lineRule="auto"/>
        <w:rPr>
          <w:sz w:val="20"/>
          <w:szCs w:val="20"/>
          <w:color w:val="auto"/>
        </w:rPr>
      </w:pPr>
      <w:r>
        <w:rPr>
          <w:rFonts w:ascii="Arial" w:cs="Arial" w:eastAsia="Arial" w:hAnsi="Arial"/>
          <w:sz w:val="19"/>
          <w:szCs w:val="19"/>
          <w:color w:val="auto"/>
        </w:rPr>
        <w:t>critical component of our business and an area of significant growth opportunity for us. We continue to see quarter over quarter growth in our direct business, even as customers return to our stores. For the third quarter of fiscal 2021, our direct sales were $35.8 million, or 29.7% of retail segment sales, as compared to $26.8 million, or 33.4% of retail segment sales, in the third quarter of fiscal 2020 and $22.7 million, or 21.9% of retail segment sales, in the third quarter of fiscal 2019. The increase in sales in the third quarter of fiscal 2021, as compared to fiscal 2019, is primarily driven by an increase of 66.8% in sales from our DXL website.</w:t>
      </w:r>
    </w:p>
    <w:p>
      <w:pPr>
        <w:spacing w:after="0" w:line="171"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Financial Outlook</w:t>
      </w:r>
    </w:p>
    <w:p>
      <w:pPr>
        <w:spacing w:after="0" w:line="195" w:lineRule="exact"/>
        <w:rPr>
          <w:sz w:val="20"/>
          <w:szCs w:val="20"/>
          <w:color w:val="auto"/>
        </w:rPr>
      </w:pPr>
    </w:p>
    <w:p>
      <w:pPr>
        <w:spacing w:after="0" w:line="325" w:lineRule="auto"/>
        <w:rPr>
          <w:sz w:val="20"/>
          <w:szCs w:val="20"/>
          <w:color w:val="auto"/>
        </w:rPr>
      </w:pPr>
      <w:r>
        <w:rPr>
          <w:rFonts w:ascii="Arial" w:cs="Arial" w:eastAsia="Arial" w:hAnsi="Arial"/>
          <w:sz w:val="18"/>
          <w:szCs w:val="18"/>
          <w:color w:val="auto"/>
        </w:rPr>
        <w:t>Our sales performance in the third quarter of fiscal 2021 exceeded our expectations and, based on our financial results through the first nine months of fiscal 2021, we are raising our guidance for fiscal 2021 based on our third quarter performance. However, we remain cautious with respect to the fourth quarter and the impact that current supply chain issues may have on our ability to secure sufficient inventory levels. Additionally, the current sales trend could be affected by the increased spread of variants of the COVID-19 virus that may result in prolonged restrictions, store closures, supply chain challenges, increased commodity costs and reduced demand for apparel.</w:t>
      </w:r>
    </w:p>
    <w:p>
      <w:pPr>
        <w:spacing w:after="0" w:line="84" w:lineRule="exact"/>
        <w:rPr>
          <w:sz w:val="20"/>
          <w:szCs w:val="20"/>
          <w:color w:val="auto"/>
        </w:rPr>
      </w:pPr>
    </w:p>
    <w:p>
      <w:pPr>
        <w:spacing w:after="0" w:line="288" w:lineRule="auto"/>
        <w:rPr>
          <w:sz w:val="20"/>
          <w:szCs w:val="20"/>
          <w:color w:val="auto"/>
        </w:rPr>
      </w:pPr>
      <w:r>
        <w:rPr>
          <w:rFonts w:ascii="Arial" w:cs="Arial" w:eastAsia="Arial" w:hAnsi="Arial"/>
          <w:sz w:val="20"/>
          <w:szCs w:val="20"/>
          <w:color w:val="auto"/>
        </w:rPr>
        <w:t>The high-end of our revised guidance is based on achieving a comparable sales increase for the year in the low double-digits as compared to fiscal 2019 with our direct business representing approximately 30% of our total retail sales. We expect our gross margin rate to decrease slightly in the fourth quarter of fiscal 2021 as a result of holiday promotions, resulting in an expected gross margin rate for the full year in the range of 48% to 49%.</w:t>
      </w:r>
    </w:p>
    <w:p>
      <w:pPr>
        <w:spacing w:after="0" w:line="192" w:lineRule="exact"/>
        <w:rPr>
          <w:sz w:val="20"/>
          <w:szCs w:val="20"/>
          <w:color w:val="auto"/>
        </w:rPr>
      </w:pPr>
    </w:p>
    <w:p>
      <w:pPr>
        <w:spacing w:after="0"/>
        <w:rPr>
          <w:sz w:val="20"/>
          <w:szCs w:val="20"/>
          <w:color w:val="auto"/>
        </w:rPr>
      </w:pPr>
      <w:r>
        <w:rPr>
          <w:rFonts w:ascii="Arial" w:cs="Arial" w:eastAsia="Arial" w:hAnsi="Arial"/>
          <w:sz w:val="20"/>
          <w:szCs w:val="20"/>
          <w:color w:val="auto"/>
        </w:rPr>
        <w:t>Our revised guidance for fiscal 2021 is as follows:</w:t>
      </w:r>
    </w:p>
    <w:p>
      <w:pPr>
        <w:spacing w:after="0" w:line="256" w:lineRule="exact"/>
        <w:rPr>
          <w:sz w:val="20"/>
          <w:szCs w:val="20"/>
          <w:color w:val="auto"/>
        </w:rPr>
      </w:pPr>
    </w:p>
    <w:p>
      <w:pPr>
        <w:ind w:left="700" w:right="20"/>
        <w:spacing w:after="0" w:line="303" w:lineRule="auto"/>
        <w:rPr>
          <w:sz w:val="20"/>
          <w:szCs w:val="20"/>
          <w:color w:val="auto"/>
        </w:rPr>
      </w:pPr>
      <w:r>
        <w:rPr>
          <w:rFonts w:ascii="Arial" w:cs="Arial" w:eastAsia="Arial" w:hAnsi="Arial"/>
          <w:sz w:val="20"/>
          <w:szCs w:val="20"/>
          <w:color w:val="auto"/>
        </w:rPr>
        <w:t>Sales of approximately $500.0 million to $510.0 million (an increase from our previously revised guidance of approximately $490.0 million to $505.0 million).</w:t>
      </w:r>
    </w:p>
    <w:p>
      <w:pPr>
        <w:spacing w:after="0" w:line="175" w:lineRule="exact"/>
        <w:rPr>
          <w:sz w:val="20"/>
          <w:szCs w:val="20"/>
          <w:color w:val="auto"/>
        </w:rPr>
      </w:pPr>
    </w:p>
    <w:p>
      <w:pPr>
        <w:ind w:left="700" w:right="940"/>
        <w:spacing w:after="0" w:line="303" w:lineRule="auto"/>
        <w:rPr>
          <w:sz w:val="20"/>
          <w:szCs w:val="20"/>
          <w:color w:val="auto"/>
        </w:rPr>
      </w:pPr>
      <w:r>
        <w:rPr>
          <w:rFonts w:ascii="Arial" w:cs="Arial" w:eastAsia="Arial" w:hAnsi="Arial"/>
          <w:sz w:val="20"/>
          <w:szCs w:val="20"/>
          <w:color w:val="auto"/>
        </w:rPr>
        <w:t>Adjusted EBITDA of approximately $70.0 million to $75.0 million (an increase from our previously revised guidance of approximately $65.0 million to $72.0 million).</w:t>
      </w:r>
    </w:p>
    <w:p>
      <w:pPr>
        <w:spacing w:after="0" w:line="175" w:lineRule="exact"/>
        <w:rPr>
          <w:sz w:val="20"/>
          <w:szCs w:val="20"/>
          <w:color w:val="auto"/>
        </w:rPr>
      </w:pPr>
    </w:p>
    <w:p>
      <w:pPr>
        <w:ind w:left="700" w:right="220"/>
        <w:spacing w:after="0" w:line="303" w:lineRule="auto"/>
        <w:rPr>
          <w:sz w:val="20"/>
          <w:szCs w:val="20"/>
          <w:color w:val="auto"/>
        </w:rPr>
      </w:pPr>
      <w:r>
        <w:rPr>
          <w:rFonts w:ascii="Arial" w:cs="Arial" w:eastAsia="Arial" w:hAnsi="Arial"/>
          <w:sz w:val="20"/>
          <w:szCs w:val="20"/>
          <w:color w:val="auto"/>
        </w:rPr>
        <w:t>Net income is expected to be $0.72 to $0.80 per diluted share (an increase from our previously revised guidance of approximately $0.64 to $0.76 per diluted share).</w:t>
      </w:r>
    </w:p>
    <w:p>
      <w:pPr>
        <w:spacing w:after="0" w:line="175" w:lineRule="exact"/>
        <w:rPr>
          <w:sz w:val="20"/>
          <w:szCs w:val="20"/>
          <w:color w:val="auto"/>
        </w:rPr>
      </w:pPr>
    </w:p>
    <w:p>
      <w:pPr>
        <w:ind w:left="700"/>
        <w:spacing w:after="0"/>
        <w:rPr>
          <w:sz w:val="20"/>
          <w:szCs w:val="20"/>
          <w:color w:val="auto"/>
        </w:rPr>
      </w:pPr>
      <w:r>
        <w:rPr>
          <w:rFonts w:ascii="Arial" w:cs="Arial" w:eastAsia="Arial" w:hAnsi="Arial"/>
          <w:sz w:val="19"/>
          <w:szCs w:val="19"/>
          <w:color w:val="auto"/>
        </w:rPr>
        <w:t>Free cash flow in excess of $55.0 million (an increase from our previously revised guidance of in excess of $50.0 million).</w:t>
      </w:r>
    </w:p>
    <w:p>
      <w:pPr>
        <w:spacing w:after="0" w:line="235"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Conference Call</w:t>
      </w:r>
    </w:p>
    <w:p>
      <w:pPr>
        <w:spacing w:after="0" w:line="262" w:lineRule="exact"/>
        <w:rPr>
          <w:sz w:val="20"/>
          <w:szCs w:val="20"/>
          <w:color w:val="auto"/>
        </w:rPr>
      </w:pPr>
    </w:p>
    <w:p>
      <w:pPr>
        <w:ind w:right="220"/>
        <w:spacing w:after="0" w:line="302" w:lineRule="auto"/>
        <w:rPr>
          <w:sz w:val="20"/>
          <w:szCs w:val="20"/>
          <w:color w:val="auto"/>
        </w:rPr>
      </w:pPr>
      <w:r>
        <w:rPr>
          <w:rFonts w:ascii="Arial" w:cs="Arial" w:eastAsia="Arial" w:hAnsi="Arial"/>
          <w:sz w:val="20"/>
          <w:szCs w:val="20"/>
          <w:color w:val="auto"/>
        </w:rPr>
        <w:t>The Company will hold a conference call to review its financial results on Friday, November 19, 2021 at 9:00 a.m. ET. To listen to the live webcast, visit the "Investor Relations" section of the Company's website. The live call also can be accessed by dialing: (866) 680-2311. Please reference conference ID: 3394658. An archived version of the webcast may be accessed by visiting the "Events" section of the Company's website for up to one year.</w:t>
      </w:r>
    </w:p>
    <w:p>
      <w:pPr>
        <w:spacing w:after="0" w:line="192" w:lineRule="exact"/>
        <w:rPr>
          <w:sz w:val="20"/>
          <w:szCs w:val="20"/>
          <w:color w:val="auto"/>
        </w:rPr>
      </w:pPr>
    </w:p>
    <w:p>
      <w:pPr>
        <w:ind w:right="20"/>
        <w:spacing w:after="0" w:line="306" w:lineRule="auto"/>
        <w:rPr>
          <w:sz w:val="20"/>
          <w:szCs w:val="20"/>
          <w:color w:val="auto"/>
        </w:rPr>
      </w:pPr>
      <w:r>
        <w:rPr>
          <w:rFonts w:ascii="Arial" w:cs="Arial" w:eastAsia="Arial" w:hAnsi="Arial"/>
          <w:sz w:val="20"/>
          <w:szCs w:val="20"/>
          <w:color w:val="auto"/>
        </w:rPr>
        <w:t>During the conference call, the Company may discuss and answer questions concerning business and financial developments and trends. The Company’s responses to questions, as well as other matters discussed during the conference call, may contain or constitute information that has not been disclosed previously.</w:t>
      </w:r>
    </w:p>
    <w:p>
      <w:pPr>
        <w:spacing w:after="0" w:line="73"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Non-GAAP Measures</w:t>
      </w:r>
    </w:p>
    <w:p>
      <w:pPr>
        <w:spacing w:after="0" w:line="276" w:lineRule="exact"/>
        <w:rPr>
          <w:sz w:val="20"/>
          <w:szCs w:val="20"/>
          <w:color w:val="auto"/>
        </w:rPr>
      </w:pPr>
    </w:p>
    <w:p>
      <w:pPr>
        <w:ind w:right="100"/>
        <w:spacing w:after="0" w:line="302" w:lineRule="auto"/>
        <w:rPr>
          <w:sz w:val="20"/>
          <w:szCs w:val="20"/>
          <w:color w:val="auto"/>
        </w:rPr>
      </w:pPr>
      <w:r>
        <w:rPr>
          <w:rFonts w:ascii="Arial" w:cs="Arial" w:eastAsia="Arial" w:hAnsi="Arial"/>
          <w:sz w:val="20"/>
          <w:szCs w:val="20"/>
          <w:color w:val="auto"/>
        </w:rPr>
        <w:t>In addition to financial measures prepared in accordance with U.S. generally accepted accounting principles (“GAAP”), this press release contains non-GAAP financial measures, including adjusted EBITDA and free cash flow. The presentation of these non-GAAP measures is not in accordance with GAAP, and should not be considered superior to or as a substitute for net income (loss), net income (loss) per diluted share or cash flows from operating activities or any</w:t>
      </w:r>
    </w:p>
    <w:p>
      <w:pPr>
        <w:spacing w:after="0" w:line="98" w:lineRule="exact"/>
        <w:rPr>
          <w:sz w:val="20"/>
          <w:szCs w:val="20"/>
          <w:color w:val="auto"/>
        </w:rPr>
      </w:pPr>
    </w:p>
    <w:p>
      <w:pPr>
        <w:jc w:val="center"/>
        <w:ind w:right="-39"/>
        <w:spacing w:after="0"/>
        <w:rPr>
          <w:sz w:val="20"/>
          <w:szCs w:val="20"/>
          <w:color w:val="auto"/>
        </w:rPr>
      </w:pPr>
      <w:r>
        <w:rPr>
          <w:rFonts w:ascii="Arial" w:cs="Arial" w:eastAsia="Arial" w:hAnsi="Arial"/>
          <w:sz w:val="20"/>
          <w:szCs w:val="20"/>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237490</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50" w:right="379" w:bottom="1440" w:gutter="0" w:footer="0" w:header="0"/>
        </w:sectPr>
      </w:pPr>
    </w:p>
    <w:bookmarkStart w:id="8" w:name="page9"/>
    <w:bookmarkEnd w:id="8"/>
    <w:p>
      <w:pPr>
        <w:ind w:right="200"/>
        <w:spacing w:after="0" w:line="338" w:lineRule="auto"/>
        <w:rPr>
          <w:sz w:val="20"/>
          <w:szCs w:val="20"/>
          <w:color w:val="auto"/>
        </w:rPr>
      </w:pPr>
      <w:r>
        <w:rPr>
          <w:rFonts w:ascii="Arial" w:cs="Arial" w:eastAsia="Arial" w:hAnsi="Arial"/>
          <w:sz w:val="18"/>
          <w:szCs w:val="18"/>
          <w:color w:val="auto"/>
        </w:rPr>
        <w:t>other measure of performance derived in accordance with GAAP. In addition, not all companies calculate non-GAAP financial measures in the same manner and, accordingly, the non-GAAP measures presented in this release may not be comparable to similar measures used by other companies. The Company believes the inclusion of these non-GAAP measures help investors gain a better understanding of the Company’s performance, especially when comparing such results to previous periods, and that they are useful as an additional means for investors to evaluate the Company's operating results, when reviewed in conjunction with the Company's GAAP financial statements. Reconciliations of these non-GAAP measures to their comparable GAAP measures are provided in the tables below.</w:t>
      </w:r>
    </w:p>
    <w:p>
      <w:pPr>
        <w:spacing w:after="0" w:line="100" w:lineRule="exact"/>
        <w:rPr>
          <w:sz w:val="20"/>
          <w:szCs w:val="20"/>
          <w:color w:val="auto"/>
        </w:rPr>
      </w:pPr>
    </w:p>
    <w:p>
      <w:pPr>
        <w:jc w:val="both"/>
        <w:ind w:right="220"/>
        <w:spacing w:after="0" w:line="413" w:lineRule="auto"/>
        <w:rPr>
          <w:sz w:val="20"/>
          <w:szCs w:val="20"/>
          <w:color w:val="auto"/>
        </w:rPr>
      </w:pPr>
      <w:r>
        <w:rPr>
          <w:rFonts w:ascii="Arial" w:cs="Arial" w:eastAsia="Arial" w:hAnsi="Arial"/>
          <w:sz w:val="16"/>
          <w:szCs w:val="16"/>
          <w:color w:val="auto"/>
        </w:rPr>
        <w:t>The Company believes that adjusted EBITDA (calculated as earnings before interest, taxes, depreciation and amortization and adjusted for asset impairment charges and CEO transition costs, if applicable) is useful to investors in evaluating its performance and is a key metric to measure profitability and economic productivity. Adjusted EBITDA margin is calculated as adjusted EBITDA divided by total sales.</w:t>
      </w:r>
    </w:p>
    <w:p>
      <w:pPr>
        <w:spacing w:after="0" w:line="36" w:lineRule="exact"/>
        <w:rPr>
          <w:sz w:val="20"/>
          <w:szCs w:val="20"/>
          <w:color w:val="auto"/>
        </w:rPr>
      </w:pPr>
    </w:p>
    <w:p>
      <w:pPr>
        <w:ind w:right="140"/>
        <w:spacing w:after="0" w:line="413" w:lineRule="auto"/>
        <w:rPr>
          <w:sz w:val="20"/>
          <w:szCs w:val="20"/>
          <w:color w:val="auto"/>
        </w:rPr>
      </w:pPr>
      <w:r>
        <w:rPr>
          <w:rFonts w:ascii="Arial" w:cs="Arial" w:eastAsia="Arial" w:hAnsi="Arial"/>
          <w:sz w:val="16"/>
          <w:szCs w:val="16"/>
          <w:color w:val="auto"/>
        </w:rPr>
        <w:t>Free cash flow is a metric that management uses to monitor liquidity. Management believes this metric is important to investors because it demonstrates the Company’s ability to strengthen liquidity while supporting its capital projects and new store growth. Free cash flow is calculated as cash flow from operating activities, less capital expenditures and excludes the mandatory and discretionary repayment of debt.</w:t>
      </w:r>
    </w:p>
    <w:p>
      <w:pPr>
        <w:spacing w:after="0" w:line="43"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About Destination XL Group, Inc.</w:t>
      </w:r>
    </w:p>
    <w:p>
      <w:pPr>
        <w:spacing w:after="0" w:line="195" w:lineRule="exact"/>
        <w:rPr>
          <w:sz w:val="20"/>
          <w:szCs w:val="20"/>
          <w:color w:val="auto"/>
        </w:rPr>
      </w:pPr>
    </w:p>
    <w:p>
      <w:pPr>
        <w:ind w:right="40"/>
        <w:spacing w:after="0" w:line="299" w:lineRule="auto"/>
        <w:rPr>
          <w:sz w:val="20"/>
          <w:szCs w:val="20"/>
          <w:color w:val="auto"/>
        </w:rPr>
      </w:pPr>
      <w:r>
        <w:rPr>
          <w:rFonts w:ascii="Arial" w:cs="Arial" w:eastAsia="Arial" w:hAnsi="Arial"/>
          <w:sz w:val="20"/>
          <w:szCs w:val="20"/>
          <w:color w:val="auto"/>
        </w:rPr>
        <w:t>Destination XL Group, Inc. is the leading retailer of Men’s Big + Tall apparel that delivers a Big + Tall shopping experience that fits -- fits his body, fits his style, fits his life. Subsidiaries of Destination XL Group, Inc. operate DXL Big + Tall retail and outlet stores throughout the United States as well as Toronto, Canada, Casual Male XL retail and outlet stores in the United States, and an e-commerce website, DXL.com</w:t>
      </w:r>
      <w:r>
        <w:rPr>
          <w:rFonts w:ascii="Arial" w:cs="Arial" w:eastAsia="Arial" w:hAnsi="Arial"/>
          <w:sz w:val="20"/>
          <w:szCs w:val="20"/>
          <w:u w:val="single" w:color="auto"/>
          <w:color w:val="0000FF"/>
        </w:rPr>
        <w:t>,</w:t>
      </w:r>
      <w:r>
        <w:rPr>
          <w:rFonts w:ascii="Arial" w:cs="Arial" w:eastAsia="Arial" w:hAnsi="Arial"/>
          <w:sz w:val="20"/>
          <w:szCs w:val="20"/>
          <w:color w:val="auto"/>
        </w:rPr>
        <w:t xml:space="preserve"> which offers a multi-channel solution similar to the DXL store experience with the most extensive selection of online products available anywhere for Big + Tall men. The Company is headquartered in Canton, Massachusetts, and its common stock is listed on the Nasdaq Global Market under the symbol "DXLG." For more information, please visit the Company's investor relations website: https://investor.dxl.com.</w:t>
      </w:r>
    </w:p>
    <w:p>
      <w:pPr>
        <w:spacing w:after="0" w:line="81"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Forward-Looking Statements</w:t>
      </w:r>
    </w:p>
    <w:p>
      <w:pPr>
        <w:spacing w:after="0" w:line="316" w:lineRule="exact"/>
        <w:rPr>
          <w:sz w:val="20"/>
          <w:szCs w:val="20"/>
          <w:color w:val="auto"/>
        </w:rPr>
      </w:pPr>
    </w:p>
    <w:p>
      <w:pPr>
        <w:spacing w:after="0" w:line="299" w:lineRule="auto"/>
        <w:rPr>
          <w:sz w:val="20"/>
          <w:szCs w:val="20"/>
          <w:color w:val="auto"/>
        </w:rPr>
      </w:pPr>
      <w:r>
        <w:rPr>
          <w:rFonts w:ascii="Arial" w:cs="Arial" w:eastAsia="Arial" w:hAnsi="Arial"/>
          <w:sz w:val="19"/>
          <w:szCs w:val="19"/>
          <w:i w:val="1"/>
          <w:iCs w:val="1"/>
          <w:color w:val="auto"/>
        </w:rPr>
        <w:t xml:space="preserve">Certain statements and information contained in this press release constitute forward-looking statements under the federal securities laws, including statements regarding: our updated guidance for fiscal 2021, including assumptions underlying the guidance such as expected gross margin rate and comparable sales in 2021; our growth strategy and focus on customer acquisition; expected capital expenditures for fiscal 2021; expected increases in freight costs due to ongoing supply chain issues; expected increases in certain raw materials; and our expectations with respect to inventory management and availability and </w:t>
      </w:r>
      <w:r>
        <w:rPr>
          <w:rFonts w:ascii="Arial" w:cs="Arial" w:eastAsia="Arial" w:hAnsi="Arial"/>
          <w:sz w:val="16"/>
          <w:szCs w:val="16"/>
          <w:i w:val="1"/>
          <w:iCs w:val="1"/>
          <w:color w:val="auto"/>
        </w:rPr>
        <w:t>expected savings from our efforts to right size our lease structure</w:t>
      </w:r>
      <w:r>
        <w:rPr>
          <w:rFonts w:ascii="Arial" w:cs="Arial" w:eastAsia="Arial" w:hAnsi="Arial"/>
          <w:sz w:val="19"/>
          <w:szCs w:val="19"/>
          <w:i w:val="1"/>
          <w:iCs w:val="1"/>
          <w:color w:val="auto"/>
        </w:rPr>
        <w:t>. The discussion of forward-looking information requires management of the Company to make certain estimates and assumptions regarding the Company's strategic direction and the effect of such plans on the Company's financial results. The Company's actual results and the implementation of its plans and operations may differ materially from forward-looking statements made by the Company. The Company encourages readers of forward-looking information concerning the Company to refer to its filings with the Securities and Exchange Commission, including without limitation, its Annual Report on Form 10-K filed on March 19, 2021, its Quarterly Reports on Form 10-Q and other filings with the Securities and Exchange Commission that set forth certain risks and uncertainties that may have an impact on future results and direction of the Company, including risks relating to: the COVID-19 pandemic and its impact on the Company’s results of operations; ongoing supply chain issues; and the Company’s execution of its digital and store strategy and ability to grow its market share, predict customer tastes and fashion trends, forecast sales growth trends and compete successfully in the United States men’s big and tall apparel market.</w:t>
      </w:r>
    </w:p>
    <w:p>
      <w:pPr>
        <w:spacing w:after="0" w:line="102" w:lineRule="exact"/>
        <w:rPr>
          <w:sz w:val="20"/>
          <w:szCs w:val="20"/>
          <w:color w:val="auto"/>
        </w:rPr>
      </w:pPr>
    </w:p>
    <w:p>
      <w:pPr>
        <w:jc w:val="both"/>
        <w:ind w:right="440"/>
        <w:spacing w:after="0" w:line="292" w:lineRule="auto"/>
        <w:rPr>
          <w:sz w:val="20"/>
          <w:szCs w:val="20"/>
          <w:color w:val="auto"/>
        </w:rPr>
      </w:pPr>
      <w:r>
        <w:rPr>
          <w:rFonts w:ascii="Arial" w:cs="Arial" w:eastAsia="Arial" w:hAnsi="Arial"/>
          <w:sz w:val="20"/>
          <w:szCs w:val="20"/>
          <w:i w:val="1"/>
          <w:iCs w:val="1"/>
          <w:color w:val="auto"/>
        </w:rPr>
        <w:t>Forward-looking statements contained in this press release speak only as of the date of this release. Subsequent events or circumstances occurring after such date may render these statements incomplete or out of date. The Company undertakes no obligation and expressly disclaims any duty to update such statements.</w:t>
      </w:r>
    </w:p>
    <w:p>
      <w:pPr>
        <w:spacing w:after="0" w:line="106"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237490</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66" w:right="359" w:bottom="1440" w:gutter="0" w:footer="0" w:header="0"/>
        </w:sectPr>
      </w:pPr>
    </w:p>
    <w:bookmarkStart w:id="9" w:name="page10"/>
    <w:bookmarkEnd w:id="9"/>
    <w:p>
      <w:pPr>
        <w:jc w:val="center"/>
        <w:ind w:right="80"/>
        <w:spacing w:after="0"/>
        <w:rPr>
          <w:sz w:val="20"/>
          <w:szCs w:val="20"/>
          <w:color w:val="auto"/>
        </w:rPr>
      </w:pPr>
      <w:r>
        <w:rPr>
          <w:rFonts w:ascii="Arial" w:cs="Arial" w:eastAsia="Arial" w:hAnsi="Arial"/>
          <w:sz w:val="16"/>
          <w:szCs w:val="16"/>
          <w:color w:val="auto"/>
        </w:rPr>
        <w:t>DESTINATION XL GROUP, INC.</w:t>
      </w:r>
    </w:p>
    <w:p>
      <w:pPr>
        <w:spacing w:after="0" w:line="46" w:lineRule="exact"/>
        <w:rPr>
          <w:sz w:val="20"/>
          <w:szCs w:val="20"/>
          <w:color w:val="auto"/>
        </w:rPr>
      </w:pPr>
    </w:p>
    <w:p>
      <w:pPr>
        <w:jc w:val="center"/>
        <w:ind w:right="40"/>
        <w:spacing w:after="0"/>
        <w:rPr>
          <w:sz w:val="20"/>
          <w:szCs w:val="20"/>
          <w:color w:val="auto"/>
        </w:rPr>
      </w:pPr>
      <w:r>
        <w:rPr>
          <w:rFonts w:ascii="Arial" w:cs="Arial" w:eastAsia="Arial" w:hAnsi="Arial"/>
          <w:sz w:val="16"/>
          <w:szCs w:val="16"/>
          <w:color w:val="auto"/>
        </w:rPr>
        <w:t>CONSOLIDATED STATEMENTS OF OPERATIONS</w:t>
      </w:r>
    </w:p>
    <w:p>
      <w:pPr>
        <w:spacing w:after="0" w:line="46" w:lineRule="exact"/>
        <w:rPr>
          <w:sz w:val="20"/>
          <w:szCs w:val="20"/>
          <w:color w:val="auto"/>
        </w:rPr>
      </w:pPr>
    </w:p>
    <w:p>
      <w:pPr>
        <w:jc w:val="center"/>
        <w:ind w:right="80"/>
        <w:spacing w:after="0"/>
        <w:rPr>
          <w:sz w:val="20"/>
          <w:szCs w:val="20"/>
          <w:color w:val="auto"/>
        </w:rPr>
      </w:pPr>
      <w:r>
        <w:rPr>
          <w:rFonts w:ascii="Arial" w:cs="Arial" w:eastAsia="Arial" w:hAnsi="Arial"/>
          <w:sz w:val="16"/>
          <w:szCs w:val="16"/>
          <w:color w:val="auto"/>
        </w:rPr>
        <w:t>(In thousands, except per share data)</w:t>
      </w:r>
    </w:p>
    <w:p>
      <w:pPr>
        <w:spacing w:after="0" w:line="46" w:lineRule="exact"/>
        <w:rPr>
          <w:sz w:val="20"/>
          <w:szCs w:val="20"/>
          <w:color w:val="auto"/>
        </w:rPr>
      </w:pPr>
    </w:p>
    <w:p>
      <w:pPr>
        <w:jc w:val="center"/>
        <w:ind w:right="80"/>
        <w:spacing w:after="0"/>
        <w:rPr>
          <w:sz w:val="20"/>
          <w:szCs w:val="20"/>
          <w:color w:val="auto"/>
        </w:rPr>
      </w:pPr>
      <w:r>
        <w:rPr>
          <w:rFonts w:ascii="Arial" w:cs="Arial" w:eastAsia="Arial" w:hAnsi="Arial"/>
          <w:sz w:val="16"/>
          <w:szCs w:val="16"/>
          <w:color w:val="auto"/>
        </w:rPr>
        <w:t>(unaudited)</w:t>
      </w:r>
    </w:p>
    <w:p>
      <w:pPr>
        <w:spacing w:after="0" w:line="200" w:lineRule="exact"/>
        <w:rPr>
          <w:sz w:val="20"/>
          <w:szCs w:val="20"/>
          <w:color w:val="auto"/>
        </w:rPr>
      </w:pPr>
    </w:p>
    <w:p>
      <w:pPr>
        <w:spacing w:after="0" w:line="309"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37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320" w:type="dxa"/>
            <w:vAlign w:val="bottom"/>
            <w:gridSpan w:val="5"/>
          </w:tcPr>
          <w:p>
            <w:pPr>
              <w:jc w:val="right"/>
              <w:spacing w:after="0"/>
              <w:rPr>
                <w:sz w:val="20"/>
                <w:szCs w:val="20"/>
                <w:color w:val="auto"/>
              </w:rPr>
            </w:pPr>
            <w:r>
              <w:rPr>
                <w:rFonts w:ascii="Arial" w:cs="Arial" w:eastAsia="Arial" w:hAnsi="Arial"/>
                <w:sz w:val="14"/>
                <w:szCs w:val="14"/>
                <w:color w:val="auto"/>
              </w:rPr>
              <w:t>For the three months ended</w:t>
            </w:r>
          </w:p>
        </w:tc>
        <w:tc>
          <w:tcPr>
            <w:tcW w:w="1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260" w:type="dxa"/>
            <w:vAlign w:val="bottom"/>
            <w:gridSpan w:val="6"/>
          </w:tcPr>
          <w:p>
            <w:pPr>
              <w:jc w:val="right"/>
              <w:spacing w:after="0"/>
              <w:rPr>
                <w:sz w:val="20"/>
                <w:szCs w:val="20"/>
                <w:color w:val="auto"/>
              </w:rPr>
            </w:pPr>
            <w:r>
              <w:rPr>
                <w:rFonts w:ascii="Arial" w:cs="Arial" w:eastAsia="Arial" w:hAnsi="Arial"/>
                <w:sz w:val="14"/>
                <w:szCs w:val="14"/>
                <w:color w:val="auto"/>
              </w:rPr>
              <w:t>For the nine months ended</w:t>
            </w:r>
          </w:p>
        </w:tc>
        <w:tc>
          <w:tcPr>
            <w:tcW w:w="940" w:type="dxa"/>
            <w:vAlign w:val="bottom"/>
          </w:tcPr>
          <w:p>
            <w:pPr>
              <w:spacing w:after="0"/>
              <w:rPr>
                <w:sz w:val="15"/>
                <w:szCs w:val="15"/>
                <w:color w:val="auto"/>
              </w:rPr>
            </w:pPr>
          </w:p>
        </w:tc>
        <w:tc>
          <w:tcPr>
            <w:tcW w:w="80" w:type="dxa"/>
            <w:vAlign w:val="bottom"/>
          </w:tcPr>
          <w:p>
            <w:pPr>
              <w:spacing w:after="0"/>
              <w:rPr>
                <w:sz w:val="15"/>
                <w:szCs w:val="15"/>
                <w:color w:val="auto"/>
              </w:rPr>
            </w:pPr>
          </w:p>
        </w:tc>
      </w:tr>
      <w:tr>
        <w:trPr>
          <w:trHeight w:val="196"/>
        </w:trPr>
        <w:tc>
          <w:tcPr>
            <w:tcW w:w="37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60" w:type="dxa"/>
            <w:vAlign w:val="bottom"/>
            <w:gridSpan w:val="2"/>
          </w:tcPr>
          <w:p>
            <w:pPr>
              <w:jc w:val="right"/>
              <w:ind w:right="380"/>
              <w:spacing w:after="0"/>
              <w:rPr>
                <w:sz w:val="20"/>
                <w:szCs w:val="20"/>
                <w:color w:val="auto"/>
              </w:rPr>
            </w:pPr>
            <w:r>
              <w:rPr>
                <w:rFonts w:ascii="Arial" w:cs="Arial" w:eastAsia="Arial" w:hAnsi="Arial"/>
                <w:sz w:val="14"/>
                <w:szCs w:val="14"/>
                <w:color w:val="auto"/>
                <w:w w:val="94"/>
              </w:rPr>
              <w:t>November 2,</w:t>
            </w:r>
          </w:p>
        </w:tc>
        <w:tc>
          <w:tcPr>
            <w:tcW w:w="3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4"/>
                <w:szCs w:val="14"/>
                <w:color w:val="auto"/>
                <w:w w:val="94"/>
              </w:rPr>
              <w:t>November 2,</w:t>
            </w:r>
          </w:p>
        </w:tc>
      </w:tr>
      <w:tr>
        <w:trPr>
          <w:trHeight w:val="188"/>
        </w:trPr>
        <w:tc>
          <w:tcPr>
            <w:tcW w:w="3700" w:type="dxa"/>
            <w:vAlign w:val="bottom"/>
          </w:tcPr>
          <w:p>
            <w:pPr>
              <w:spacing w:after="0"/>
              <w:rPr>
                <w:sz w:val="16"/>
                <w:szCs w:val="16"/>
                <w:color w:val="auto"/>
              </w:rPr>
            </w:pPr>
          </w:p>
        </w:tc>
        <w:tc>
          <w:tcPr>
            <w:tcW w:w="1320" w:type="dxa"/>
            <w:vAlign w:val="bottom"/>
            <w:gridSpan w:val="3"/>
          </w:tcPr>
          <w:p>
            <w:pPr>
              <w:jc w:val="right"/>
              <w:ind w:right="260"/>
              <w:spacing w:after="0"/>
              <w:rPr>
                <w:sz w:val="20"/>
                <w:szCs w:val="20"/>
                <w:color w:val="auto"/>
              </w:rPr>
            </w:pPr>
            <w:r>
              <w:rPr>
                <w:rFonts w:ascii="Arial" w:cs="Arial" w:eastAsia="Arial" w:hAnsi="Arial"/>
                <w:sz w:val="14"/>
                <w:szCs w:val="14"/>
                <w:color w:val="auto"/>
                <w:w w:val="96"/>
              </w:rPr>
              <w:t>October 30, 2021</w:t>
            </w:r>
          </w:p>
        </w:tc>
        <w:tc>
          <w:tcPr>
            <w:tcW w:w="1340" w:type="dxa"/>
            <w:vAlign w:val="bottom"/>
            <w:gridSpan w:val="3"/>
          </w:tcPr>
          <w:p>
            <w:pPr>
              <w:ind w:left="40"/>
              <w:spacing w:after="0"/>
              <w:rPr>
                <w:sz w:val="20"/>
                <w:szCs w:val="20"/>
                <w:color w:val="auto"/>
              </w:rPr>
            </w:pPr>
            <w:r>
              <w:rPr>
                <w:rFonts w:ascii="Arial" w:cs="Arial" w:eastAsia="Arial" w:hAnsi="Arial"/>
                <w:sz w:val="14"/>
                <w:szCs w:val="14"/>
                <w:color w:val="auto"/>
              </w:rPr>
              <w:t>October 31, 2020</w:t>
            </w:r>
          </w:p>
        </w:tc>
        <w:tc>
          <w:tcPr>
            <w:tcW w:w="120" w:type="dxa"/>
            <w:vAlign w:val="bottom"/>
          </w:tcPr>
          <w:p>
            <w:pPr>
              <w:spacing w:after="0"/>
              <w:rPr>
                <w:sz w:val="16"/>
                <w:szCs w:val="16"/>
                <w:color w:val="auto"/>
              </w:rPr>
            </w:pPr>
          </w:p>
        </w:tc>
        <w:tc>
          <w:tcPr>
            <w:tcW w:w="960" w:type="dxa"/>
            <w:vAlign w:val="bottom"/>
          </w:tcPr>
          <w:p>
            <w:pPr>
              <w:jc w:val="right"/>
              <w:ind w:right="320"/>
              <w:spacing w:after="0"/>
              <w:rPr>
                <w:sz w:val="20"/>
                <w:szCs w:val="20"/>
                <w:color w:val="auto"/>
              </w:rPr>
            </w:pPr>
            <w:r>
              <w:rPr>
                <w:rFonts w:ascii="Arial" w:cs="Arial" w:eastAsia="Arial" w:hAnsi="Arial"/>
                <w:sz w:val="14"/>
                <w:szCs w:val="14"/>
                <w:color w:val="auto"/>
              </w:rPr>
              <w:t>2019</w:t>
            </w:r>
          </w:p>
        </w:tc>
        <w:tc>
          <w:tcPr>
            <w:tcW w:w="200" w:type="dxa"/>
            <w:vAlign w:val="bottom"/>
          </w:tcPr>
          <w:p>
            <w:pPr>
              <w:spacing w:after="0"/>
              <w:rPr>
                <w:sz w:val="16"/>
                <w:szCs w:val="16"/>
                <w:color w:val="auto"/>
              </w:rPr>
            </w:pPr>
          </w:p>
        </w:tc>
        <w:tc>
          <w:tcPr>
            <w:tcW w:w="1240" w:type="dxa"/>
            <w:vAlign w:val="bottom"/>
            <w:gridSpan w:val="3"/>
          </w:tcPr>
          <w:p>
            <w:pPr>
              <w:ind w:left="40"/>
              <w:spacing w:after="0"/>
              <w:rPr>
                <w:sz w:val="20"/>
                <w:szCs w:val="20"/>
                <w:color w:val="auto"/>
              </w:rPr>
            </w:pPr>
            <w:r>
              <w:rPr>
                <w:rFonts w:ascii="Arial" w:cs="Arial" w:eastAsia="Arial" w:hAnsi="Arial"/>
                <w:sz w:val="14"/>
                <w:szCs w:val="14"/>
                <w:color w:val="auto"/>
              </w:rPr>
              <w:t>October 30, 2021</w:t>
            </w:r>
          </w:p>
        </w:tc>
        <w:tc>
          <w:tcPr>
            <w:tcW w:w="1220" w:type="dxa"/>
            <w:vAlign w:val="bottom"/>
            <w:gridSpan w:val="3"/>
          </w:tcPr>
          <w:p>
            <w:pPr>
              <w:ind w:left="20"/>
              <w:spacing w:after="0"/>
              <w:rPr>
                <w:sz w:val="20"/>
                <w:szCs w:val="20"/>
                <w:color w:val="auto"/>
              </w:rPr>
            </w:pPr>
            <w:r>
              <w:rPr>
                <w:rFonts w:ascii="Arial" w:cs="Arial" w:eastAsia="Arial" w:hAnsi="Arial"/>
                <w:sz w:val="14"/>
                <w:szCs w:val="14"/>
                <w:color w:val="auto"/>
              </w:rPr>
              <w:t>October 31, 2020</w:t>
            </w:r>
          </w:p>
        </w:tc>
        <w:tc>
          <w:tcPr>
            <w:tcW w:w="120" w:type="dxa"/>
            <w:vAlign w:val="bottom"/>
          </w:tcPr>
          <w:p>
            <w:pPr>
              <w:spacing w:after="0"/>
              <w:rPr>
                <w:sz w:val="16"/>
                <w:szCs w:val="16"/>
                <w:color w:val="auto"/>
              </w:rPr>
            </w:pPr>
          </w:p>
        </w:tc>
        <w:tc>
          <w:tcPr>
            <w:tcW w:w="940" w:type="dxa"/>
            <w:vAlign w:val="bottom"/>
          </w:tcPr>
          <w:p>
            <w:pPr>
              <w:jc w:val="right"/>
              <w:ind w:right="300"/>
              <w:spacing w:after="0"/>
              <w:rPr>
                <w:sz w:val="20"/>
                <w:szCs w:val="20"/>
                <w:color w:val="auto"/>
              </w:rPr>
            </w:pPr>
            <w:r>
              <w:rPr>
                <w:rFonts w:ascii="Arial" w:cs="Arial" w:eastAsia="Arial" w:hAnsi="Arial"/>
                <w:sz w:val="14"/>
                <w:szCs w:val="14"/>
                <w:color w:val="auto"/>
              </w:rPr>
              <w:t>2019</w:t>
            </w:r>
          </w:p>
        </w:tc>
        <w:tc>
          <w:tcPr>
            <w:tcW w:w="80" w:type="dxa"/>
            <w:vAlign w:val="bottom"/>
          </w:tcPr>
          <w:p>
            <w:pPr>
              <w:spacing w:after="0"/>
              <w:rPr>
                <w:sz w:val="16"/>
                <w:szCs w:val="16"/>
                <w:color w:val="auto"/>
              </w:rPr>
            </w:pPr>
          </w:p>
        </w:tc>
      </w:tr>
      <w:tr>
        <w:trPr>
          <w:trHeight w:val="229"/>
        </w:trPr>
        <w:tc>
          <w:tcPr>
            <w:tcW w:w="3700" w:type="dxa"/>
            <w:vAlign w:val="bottom"/>
            <w:shd w:val="clear" w:color="auto" w:fill="CFF0FC"/>
          </w:tcPr>
          <w:p>
            <w:pPr>
              <w:ind w:left="20"/>
              <w:spacing w:after="0"/>
              <w:rPr>
                <w:sz w:val="20"/>
                <w:szCs w:val="20"/>
                <w:color w:val="auto"/>
              </w:rPr>
            </w:pPr>
            <w:r>
              <w:rPr>
                <w:rFonts w:ascii="Arial" w:cs="Arial" w:eastAsia="Arial" w:hAnsi="Arial"/>
                <w:sz w:val="16"/>
                <w:szCs w:val="16"/>
                <w:color w:val="auto"/>
              </w:rPr>
              <w:t>Sales</w:t>
            </w:r>
          </w:p>
        </w:tc>
        <w:tc>
          <w:tcPr>
            <w:tcW w:w="340" w:type="dxa"/>
            <w:vAlign w:val="bottom"/>
            <w:tcBorders>
              <w:top w:val="single" w:sz="8" w:color="auto"/>
            </w:tcBorders>
            <w:shd w:val="clear" w:color="auto" w:fill="CFF0FC"/>
          </w:tcPr>
          <w:p>
            <w:pPr>
              <w:jc w:val="right"/>
              <w:ind w:right="161"/>
              <w:spacing w:after="0"/>
              <w:rPr>
                <w:sz w:val="20"/>
                <w:szCs w:val="20"/>
                <w:color w:val="auto"/>
              </w:rPr>
            </w:pPr>
            <w:r>
              <w:rPr>
                <w:rFonts w:ascii="Arial" w:cs="Arial" w:eastAsia="Arial" w:hAnsi="Arial"/>
                <w:sz w:val="16"/>
                <w:szCs w:val="16"/>
                <w:color w:val="auto"/>
                <w:w w:val="89"/>
              </w:rPr>
              <w:t>$</w:t>
            </w:r>
          </w:p>
        </w:tc>
        <w:tc>
          <w:tcPr>
            <w:tcW w:w="7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121,486</w:t>
            </w:r>
          </w:p>
        </w:tc>
        <w:tc>
          <w:tcPr>
            <w:tcW w:w="220" w:type="dxa"/>
            <w:vAlign w:val="bottom"/>
            <w:shd w:val="clear" w:color="auto" w:fill="CFF0FC"/>
          </w:tcPr>
          <w:p>
            <w:pPr>
              <w:spacing w:after="0"/>
              <w:rPr>
                <w:sz w:val="19"/>
                <w:szCs w:val="19"/>
                <w:color w:val="auto"/>
              </w:rPr>
            </w:pPr>
          </w:p>
        </w:tc>
        <w:tc>
          <w:tcPr>
            <w:tcW w:w="360" w:type="dxa"/>
            <w:vAlign w:val="bottom"/>
            <w:tcBorders>
              <w:top w:val="single" w:sz="8" w:color="auto"/>
            </w:tcBorders>
            <w:shd w:val="clear" w:color="auto" w:fill="CFF0FC"/>
          </w:tcPr>
          <w:p>
            <w:pPr>
              <w:ind w:left="20"/>
              <w:spacing w:after="0"/>
              <w:rPr>
                <w:sz w:val="20"/>
                <w:szCs w:val="20"/>
                <w:color w:val="auto"/>
              </w:rPr>
            </w:pPr>
            <w:r>
              <w:rPr>
                <w:rFonts w:ascii="Arial" w:cs="Arial" w:eastAsia="Arial" w:hAnsi="Arial"/>
                <w:sz w:val="16"/>
                <w:szCs w:val="16"/>
                <w:color w:val="auto"/>
              </w:rPr>
              <w:t>$</w:t>
            </w:r>
          </w:p>
        </w:tc>
        <w:tc>
          <w:tcPr>
            <w:tcW w:w="7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85,171</w:t>
            </w:r>
          </w:p>
        </w:tc>
        <w:tc>
          <w:tcPr>
            <w:tcW w:w="260" w:type="dxa"/>
            <w:vAlign w:val="bottom"/>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106,581</w:t>
            </w:r>
          </w:p>
        </w:tc>
        <w:tc>
          <w:tcPr>
            <w:tcW w:w="200" w:type="dxa"/>
            <w:vAlign w:val="bottom"/>
            <w:shd w:val="clear" w:color="auto" w:fill="CFF0FC"/>
          </w:tcPr>
          <w:p>
            <w:pPr>
              <w:spacing w:after="0"/>
              <w:rPr>
                <w:sz w:val="19"/>
                <w:szCs w:val="19"/>
                <w:color w:val="auto"/>
              </w:rPr>
            </w:pPr>
          </w:p>
        </w:tc>
        <w:tc>
          <w:tcPr>
            <w:tcW w:w="320" w:type="dxa"/>
            <w:vAlign w:val="bottom"/>
            <w:tcBorders>
              <w:top w:val="single" w:sz="8" w:color="auto"/>
            </w:tcBorders>
            <w:shd w:val="clear" w:color="auto" w:fill="CFF0FC"/>
          </w:tcPr>
          <w:p>
            <w:pPr>
              <w:ind w:left="20"/>
              <w:spacing w:after="0"/>
              <w:rPr>
                <w:sz w:val="20"/>
                <w:szCs w:val="20"/>
                <w:color w:val="auto"/>
              </w:rPr>
            </w:pPr>
            <w:r>
              <w:rPr>
                <w:rFonts w:ascii="Arial" w:cs="Arial" w:eastAsia="Arial" w:hAnsi="Arial"/>
                <w:sz w:val="16"/>
                <w:szCs w:val="16"/>
                <w:color w:val="auto"/>
              </w:rPr>
              <w:t>$</w:t>
            </w:r>
          </w:p>
        </w:tc>
        <w:tc>
          <w:tcPr>
            <w:tcW w:w="7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371,570</w:t>
            </w:r>
          </w:p>
        </w:tc>
        <w:tc>
          <w:tcPr>
            <w:tcW w:w="180" w:type="dxa"/>
            <w:vAlign w:val="bottom"/>
            <w:shd w:val="clear" w:color="auto" w:fill="CFF0FC"/>
          </w:tcPr>
          <w:p>
            <w:pPr>
              <w:spacing w:after="0"/>
              <w:rPr>
                <w:sz w:val="19"/>
                <w:szCs w:val="19"/>
                <w:color w:val="auto"/>
              </w:rPr>
            </w:pPr>
          </w:p>
        </w:tc>
        <w:tc>
          <w:tcPr>
            <w:tcW w:w="300" w:type="dxa"/>
            <w:vAlign w:val="bottom"/>
            <w:tcBorders>
              <w:top w:val="single" w:sz="8" w:color="auto"/>
            </w:tcBorders>
            <w:shd w:val="clear" w:color="auto" w:fill="CFF0FC"/>
          </w:tcPr>
          <w:p>
            <w:pPr>
              <w:ind w:left="20"/>
              <w:spacing w:after="0"/>
              <w:rPr>
                <w:sz w:val="20"/>
                <w:szCs w:val="20"/>
                <w:color w:val="auto"/>
              </w:rPr>
            </w:pPr>
            <w:r>
              <w:rPr>
                <w:rFonts w:ascii="Arial" w:cs="Arial" w:eastAsia="Arial" w:hAnsi="Arial"/>
                <w:sz w:val="16"/>
                <w:szCs w:val="16"/>
                <w:color w:val="auto"/>
              </w:rPr>
              <w:t>$</w:t>
            </w:r>
          </w:p>
        </w:tc>
        <w:tc>
          <w:tcPr>
            <w:tcW w:w="7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218,840</w:t>
            </w:r>
          </w:p>
        </w:tc>
        <w:tc>
          <w:tcPr>
            <w:tcW w:w="160" w:type="dxa"/>
            <w:vAlign w:val="bottom"/>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w w:val="89"/>
              </w:rPr>
              <w:t>$</w:t>
            </w:r>
          </w:p>
        </w:tc>
        <w:tc>
          <w:tcPr>
            <w:tcW w:w="9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342,799</w:t>
            </w:r>
          </w:p>
        </w:tc>
        <w:tc>
          <w:tcPr>
            <w:tcW w:w="80" w:type="dxa"/>
            <w:vAlign w:val="bottom"/>
            <w:shd w:val="clear" w:color="auto" w:fill="CFF0FC"/>
          </w:tcPr>
          <w:p>
            <w:pPr>
              <w:spacing w:after="0"/>
              <w:rPr>
                <w:sz w:val="19"/>
                <w:szCs w:val="19"/>
                <w:color w:val="auto"/>
              </w:rPr>
            </w:pPr>
          </w:p>
        </w:tc>
      </w:tr>
      <w:tr>
        <w:trPr>
          <w:trHeight w:val="227"/>
        </w:trPr>
        <w:tc>
          <w:tcPr>
            <w:tcW w:w="3700" w:type="dxa"/>
            <w:vAlign w:val="bottom"/>
          </w:tcPr>
          <w:p>
            <w:pPr>
              <w:ind w:left="20"/>
              <w:spacing w:after="0"/>
              <w:rPr>
                <w:sz w:val="20"/>
                <w:szCs w:val="20"/>
                <w:color w:val="auto"/>
              </w:rPr>
            </w:pPr>
            <w:r>
              <w:rPr>
                <w:rFonts w:ascii="Arial" w:cs="Arial" w:eastAsia="Arial" w:hAnsi="Arial"/>
                <w:sz w:val="16"/>
                <w:szCs w:val="16"/>
                <w:color w:val="auto"/>
              </w:rPr>
              <w:t>Cost of goods sold including occupancy</w:t>
            </w:r>
          </w:p>
        </w:tc>
        <w:tc>
          <w:tcPr>
            <w:tcW w:w="34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60,529</w:t>
            </w:r>
          </w:p>
        </w:tc>
        <w:tc>
          <w:tcPr>
            <w:tcW w:w="22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54,099</w:t>
            </w:r>
          </w:p>
        </w:tc>
        <w:tc>
          <w:tcPr>
            <w:tcW w:w="26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62,776</w:t>
            </w:r>
          </w:p>
        </w:tc>
        <w:tc>
          <w:tcPr>
            <w:tcW w:w="20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188,178</w:t>
            </w:r>
          </w:p>
        </w:tc>
        <w:tc>
          <w:tcPr>
            <w:tcW w:w="18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153,057</w:t>
            </w:r>
          </w:p>
        </w:tc>
        <w:tc>
          <w:tcPr>
            <w:tcW w:w="16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195,012</w:t>
            </w:r>
          </w:p>
        </w:tc>
        <w:tc>
          <w:tcPr>
            <w:tcW w:w="80" w:type="dxa"/>
            <w:vAlign w:val="bottom"/>
          </w:tcPr>
          <w:p>
            <w:pPr>
              <w:spacing w:after="0"/>
              <w:rPr>
                <w:sz w:val="19"/>
                <w:szCs w:val="19"/>
                <w:color w:val="auto"/>
              </w:rPr>
            </w:pPr>
          </w:p>
        </w:tc>
      </w:tr>
      <w:tr>
        <w:trPr>
          <w:trHeight w:val="226"/>
        </w:trPr>
        <w:tc>
          <w:tcPr>
            <w:tcW w:w="3700" w:type="dxa"/>
            <w:vAlign w:val="bottom"/>
            <w:shd w:val="clear" w:color="auto" w:fill="CFF0FC"/>
          </w:tcPr>
          <w:p>
            <w:pPr>
              <w:ind w:left="20"/>
              <w:spacing w:after="0"/>
              <w:rPr>
                <w:sz w:val="20"/>
                <w:szCs w:val="20"/>
                <w:color w:val="auto"/>
              </w:rPr>
            </w:pPr>
            <w:r>
              <w:rPr>
                <w:rFonts w:ascii="Arial" w:cs="Arial" w:eastAsia="Arial" w:hAnsi="Arial"/>
                <w:sz w:val="16"/>
                <w:szCs w:val="16"/>
                <w:color w:val="auto"/>
              </w:rPr>
              <w:t>Gross profit</w:t>
            </w:r>
          </w:p>
        </w:tc>
        <w:tc>
          <w:tcPr>
            <w:tcW w:w="34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60,957</w:t>
            </w:r>
          </w:p>
        </w:tc>
        <w:tc>
          <w:tcPr>
            <w:tcW w:w="2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31,072</w:t>
            </w:r>
          </w:p>
        </w:tc>
        <w:tc>
          <w:tcPr>
            <w:tcW w:w="2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43,805</w:t>
            </w:r>
          </w:p>
        </w:tc>
        <w:tc>
          <w:tcPr>
            <w:tcW w:w="20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183,392</w:t>
            </w:r>
          </w:p>
        </w:tc>
        <w:tc>
          <w:tcPr>
            <w:tcW w:w="1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65,783</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147,787</w:t>
            </w:r>
          </w:p>
        </w:tc>
        <w:tc>
          <w:tcPr>
            <w:tcW w:w="80" w:type="dxa"/>
            <w:vAlign w:val="bottom"/>
            <w:shd w:val="clear" w:color="auto" w:fill="CFF0FC"/>
          </w:tcPr>
          <w:p>
            <w:pPr>
              <w:spacing w:after="0"/>
              <w:rPr>
                <w:sz w:val="19"/>
                <w:szCs w:val="19"/>
                <w:color w:val="auto"/>
              </w:rPr>
            </w:pPr>
          </w:p>
        </w:tc>
      </w:tr>
      <w:tr>
        <w:trPr>
          <w:trHeight w:val="229"/>
        </w:trPr>
        <w:tc>
          <w:tcPr>
            <w:tcW w:w="37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230"/>
        </w:trPr>
        <w:tc>
          <w:tcPr>
            <w:tcW w:w="3700" w:type="dxa"/>
            <w:vAlign w:val="bottom"/>
            <w:shd w:val="clear" w:color="auto" w:fill="CFF0FC"/>
          </w:tcPr>
          <w:p>
            <w:pPr>
              <w:ind w:left="20"/>
              <w:spacing w:after="0"/>
              <w:rPr>
                <w:sz w:val="20"/>
                <w:szCs w:val="20"/>
                <w:color w:val="auto"/>
              </w:rPr>
            </w:pPr>
            <w:r>
              <w:rPr>
                <w:rFonts w:ascii="Arial" w:cs="Arial" w:eastAsia="Arial" w:hAnsi="Arial"/>
                <w:sz w:val="16"/>
                <w:szCs w:val="16"/>
                <w:color w:val="auto"/>
              </w:rPr>
              <w:t>Expenses:</w:t>
            </w:r>
          </w:p>
        </w:tc>
        <w:tc>
          <w:tcPr>
            <w:tcW w:w="34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r>
      <w:tr>
        <w:trPr>
          <w:trHeight w:val="220"/>
        </w:trPr>
        <w:tc>
          <w:tcPr>
            <w:tcW w:w="3700" w:type="dxa"/>
            <w:vAlign w:val="bottom"/>
          </w:tcPr>
          <w:p>
            <w:pPr>
              <w:ind w:left="200"/>
              <w:spacing w:after="0"/>
              <w:rPr>
                <w:sz w:val="20"/>
                <w:szCs w:val="20"/>
                <w:color w:val="auto"/>
              </w:rPr>
            </w:pPr>
            <w:r>
              <w:rPr>
                <w:rFonts w:ascii="Arial" w:cs="Arial" w:eastAsia="Arial" w:hAnsi="Arial"/>
                <w:sz w:val="16"/>
                <w:szCs w:val="16"/>
                <w:color w:val="auto"/>
              </w:rPr>
              <w:t>Selling, general and administrative</w:t>
            </w:r>
          </w:p>
        </w:tc>
        <w:tc>
          <w:tcPr>
            <w:tcW w:w="3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41,962</w:t>
            </w:r>
          </w:p>
        </w:tc>
        <w:tc>
          <w:tcPr>
            <w:tcW w:w="2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32,820</w:t>
            </w:r>
          </w:p>
        </w:tc>
        <w:tc>
          <w:tcPr>
            <w:tcW w:w="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42,108</w:t>
            </w:r>
          </w:p>
        </w:tc>
        <w:tc>
          <w:tcPr>
            <w:tcW w:w="2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120,856</w:t>
            </w:r>
          </w:p>
        </w:tc>
        <w:tc>
          <w:tcPr>
            <w:tcW w:w="1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90,727</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134,197</w:t>
            </w:r>
          </w:p>
        </w:tc>
        <w:tc>
          <w:tcPr>
            <w:tcW w:w="80" w:type="dxa"/>
            <w:vAlign w:val="bottom"/>
          </w:tcPr>
          <w:p>
            <w:pPr>
              <w:spacing w:after="0"/>
              <w:rPr>
                <w:sz w:val="19"/>
                <w:szCs w:val="19"/>
                <w:color w:val="auto"/>
              </w:rPr>
            </w:pPr>
          </w:p>
        </w:tc>
      </w:tr>
      <w:tr>
        <w:trPr>
          <w:trHeight w:val="239"/>
        </w:trPr>
        <w:tc>
          <w:tcPr>
            <w:tcW w:w="3700" w:type="dxa"/>
            <w:vAlign w:val="bottom"/>
            <w:shd w:val="clear" w:color="auto" w:fill="CFF0FC"/>
          </w:tcPr>
          <w:p>
            <w:pPr>
              <w:ind w:left="200"/>
              <w:spacing w:after="0"/>
              <w:rPr>
                <w:sz w:val="20"/>
                <w:szCs w:val="20"/>
                <w:color w:val="auto"/>
              </w:rPr>
            </w:pPr>
            <w:r>
              <w:rPr>
                <w:rFonts w:ascii="Arial" w:cs="Arial" w:eastAsia="Arial" w:hAnsi="Arial"/>
                <w:sz w:val="16"/>
                <w:szCs w:val="16"/>
                <w:color w:val="auto"/>
              </w:rPr>
              <w:t>Impairment of assets</w:t>
            </w:r>
          </w:p>
        </w:tc>
        <w:tc>
          <w:tcPr>
            <w:tcW w:w="340" w:type="dxa"/>
            <w:vAlign w:val="bottom"/>
            <w:shd w:val="clear" w:color="auto" w:fill="CFF0FC"/>
          </w:tcPr>
          <w:p>
            <w:pPr>
              <w:spacing w:after="0"/>
              <w:rPr>
                <w:sz w:val="20"/>
                <w:szCs w:val="20"/>
                <w:color w:val="auto"/>
              </w:rPr>
            </w:pPr>
          </w:p>
        </w:tc>
        <w:tc>
          <w:tcPr>
            <w:tcW w:w="980" w:type="dxa"/>
            <w:vAlign w:val="bottom"/>
            <w:gridSpan w:val="2"/>
            <w:shd w:val="clear" w:color="auto" w:fill="CFF0FC"/>
          </w:tcPr>
          <w:p>
            <w:pPr>
              <w:jc w:val="right"/>
              <w:ind w:right="160"/>
              <w:spacing w:after="0"/>
              <w:rPr>
                <w:sz w:val="20"/>
                <w:szCs w:val="20"/>
                <w:color w:val="auto"/>
              </w:rPr>
            </w:pPr>
            <w:r>
              <w:rPr>
                <w:rFonts w:ascii="Arial" w:cs="Arial" w:eastAsia="Arial" w:hAnsi="Arial"/>
                <w:sz w:val="16"/>
                <w:szCs w:val="16"/>
                <w:color w:val="auto"/>
              </w:rPr>
              <w:t>(1,086 )</w:t>
            </w:r>
          </w:p>
        </w:tc>
        <w:tc>
          <w:tcPr>
            <w:tcW w:w="360" w:type="dxa"/>
            <w:vAlign w:val="bottom"/>
            <w:shd w:val="clear" w:color="auto" w:fill="CFF0FC"/>
          </w:tcPr>
          <w:p>
            <w:pPr>
              <w:spacing w:after="0"/>
              <w:rPr>
                <w:sz w:val="20"/>
                <w:szCs w:val="20"/>
                <w:color w:val="auto"/>
              </w:rPr>
            </w:pPr>
          </w:p>
        </w:tc>
        <w:tc>
          <w:tcPr>
            <w:tcW w:w="980" w:type="dxa"/>
            <w:vAlign w:val="bottom"/>
            <w:gridSpan w:val="2"/>
            <w:shd w:val="clear" w:color="auto" w:fill="CFF0FC"/>
          </w:tcPr>
          <w:p>
            <w:pPr>
              <w:jc w:val="right"/>
              <w:ind w:right="200"/>
              <w:spacing w:after="0"/>
              <w:rPr>
                <w:sz w:val="20"/>
                <w:szCs w:val="20"/>
                <w:color w:val="auto"/>
              </w:rPr>
            </w:pPr>
            <w:r>
              <w:rPr>
                <w:rFonts w:ascii="Arial" w:cs="Arial" w:eastAsia="Arial" w:hAnsi="Arial"/>
                <w:sz w:val="16"/>
                <w:szCs w:val="16"/>
                <w:color w:val="auto"/>
              </w:rPr>
              <w:t>(1,135 )</w:t>
            </w:r>
          </w:p>
        </w:tc>
        <w:tc>
          <w:tcPr>
            <w:tcW w:w="120" w:type="dxa"/>
            <w:vAlign w:val="bottom"/>
            <w:shd w:val="clear" w:color="auto" w:fill="CFF0FC"/>
          </w:tcPr>
          <w:p>
            <w:pPr>
              <w:spacing w:after="0"/>
              <w:rPr>
                <w:sz w:val="20"/>
                <w:szCs w:val="20"/>
                <w:color w:val="auto"/>
              </w:rPr>
            </w:pPr>
          </w:p>
        </w:tc>
        <w:tc>
          <w:tcPr>
            <w:tcW w:w="116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w:t>
            </w:r>
          </w:p>
        </w:tc>
        <w:tc>
          <w:tcPr>
            <w:tcW w:w="320" w:type="dxa"/>
            <w:vAlign w:val="bottom"/>
            <w:shd w:val="clear" w:color="auto" w:fill="CFF0FC"/>
          </w:tcPr>
          <w:p>
            <w:pPr>
              <w:spacing w:after="0"/>
              <w:rPr>
                <w:sz w:val="20"/>
                <w:szCs w:val="20"/>
                <w:color w:val="auto"/>
              </w:rPr>
            </w:pPr>
          </w:p>
        </w:tc>
        <w:tc>
          <w:tcPr>
            <w:tcW w:w="92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(2,103 )</w:t>
            </w:r>
          </w:p>
        </w:tc>
        <w:tc>
          <w:tcPr>
            <w:tcW w:w="300" w:type="dxa"/>
            <w:vAlign w:val="bottom"/>
            <w:shd w:val="clear" w:color="auto" w:fill="CFF0FC"/>
          </w:tcPr>
          <w:p>
            <w:pPr>
              <w:spacing w:after="0"/>
              <w:rPr>
                <w:sz w:val="20"/>
                <w:szCs w:val="20"/>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15,200</w:t>
            </w:r>
          </w:p>
        </w:tc>
        <w:tc>
          <w:tcPr>
            <w:tcW w:w="16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020" w:type="dxa"/>
            <w:vAlign w:val="bottom"/>
            <w:gridSpan w:val="2"/>
            <w:shd w:val="clear" w:color="auto" w:fill="CFF0FC"/>
          </w:tcPr>
          <w:p>
            <w:pPr>
              <w:jc w:val="right"/>
              <w:ind w:right="100"/>
              <w:spacing w:after="0"/>
              <w:rPr>
                <w:sz w:val="20"/>
                <w:szCs w:val="20"/>
                <w:color w:val="auto"/>
              </w:rPr>
            </w:pPr>
            <w:r>
              <w:rPr>
                <w:rFonts w:ascii="Arial" w:cs="Arial" w:eastAsia="Arial" w:hAnsi="Arial"/>
                <w:sz w:val="16"/>
                <w:szCs w:val="16"/>
                <w:color w:val="auto"/>
              </w:rPr>
              <w:t>—</w:t>
            </w:r>
          </w:p>
        </w:tc>
      </w:tr>
      <w:tr>
        <w:trPr>
          <w:trHeight w:val="220"/>
        </w:trPr>
        <w:tc>
          <w:tcPr>
            <w:tcW w:w="3700" w:type="dxa"/>
            <w:vAlign w:val="bottom"/>
          </w:tcPr>
          <w:p>
            <w:pPr>
              <w:ind w:left="200"/>
              <w:spacing w:after="0"/>
              <w:rPr>
                <w:sz w:val="20"/>
                <w:szCs w:val="20"/>
                <w:color w:val="auto"/>
              </w:rPr>
            </w:pPr>
            <w:r>
              <w:rPr>
                <w:rFonts w:ascii="Arial" w:cs="Arial" w:eastAsia="Arial" w:hAnsi="Arial"/>
                <w:sz w:val="16"/>
                <w:szCs w:val="16"/>
                <w:color w:val="auto"/>
              </w:rPr>
              <w:t>CEO transition costs</w:t>
            </w:r>
          </w:p>
        </w:tc>
        <w:tc>
          <w:tcPr>
            <w:tcW w:w="340" w:type="dxa"/>
            <w:vAlign w:val="bottom"/>
          </w:tcPr>
          <w:p>
            <w:pPr>
              <w:spacing w:after="0"/>
              <w:rPr>
                <w:sz w:val="19"/>
                <w:szCs w:val="19"/>
                <w:color w:val="auto"/>
              </w:rPr>
            </w:pPr>
          </w:p>
        </w:tc>
        <w:tc>
          <w:tcPr>
            <w:tcW w:w="98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360" w:type="dxa"/>
            <w:vAlign w:val="bottom"/>
          </w:tcPr>
          <w:p>
            <w:pPr>
              <w:spacing w:after="0"/>
              <w:rPr>
                <w:sz w:val="19"/>
                <w:szCs w:val="19"/>
                <w:color w:val="auto"/>
              </w:rPr>
            </w:pPr>
          </w:p>
        </w:tc>
        <w:tc>
          <w:tcPr>
            <w:tcW w:w="980" w:type="dxa"/>
            <w:vAlign w:val="bottom"/>
            <w:gridSpan w:val="2"/>
          </w:tcPr>
          <w:p>
            <w:pPr>
              <w:jc w:val="right"/>
              <w:ind w:right="2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9"/>
                <w:szCs w:val="19"/>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19"/>
                <w:szCs w:val="19"/>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19"/>
                <w:szCs w:val="19"/>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702</w:t>
            </w:r>
          </w:p>
        </w:tc>
        <w:tc>
          <w:tcPr>
            <w:tcW w:w="80" w:type="dxa"/>
            <w:vAlign w:val="bottom"/>
          </w:tcPr>
          <w:p>
            <w:pPr>
              <w:spacing w:after="0"/>
              <w:rPr>
                <w:sz w:val="19"/>
                <w:szCs w:val="19"/>
                <w:color w:val="auto"/>
              </w:rPr>
            </w:pPr>
          </w:p>
        </w:tc>
      </w:tr>
      <w:tr>
        <w:trPr>
          <w:trHeight w:val="239"/>
        </w:trPr>
        <w:tc>
          <w:tcPr>
            <w:tcW w:w="3700" w:type="dxa"/>
            <w:vAlign w:val="bottom"/>
            <w:shd w:val="clear" w:color="auto" w:fill="CFF0FC"/>
          </w:tcPr>
          <w:p>
            <w:pPr>
              <w:ind w:left="200"/>
              <w:spacing w:after="0"/>
              <w:rPr>
                <w:sz w:val="20"/>
                <w:szCs w:val="20"/>
                <w:color w:val="auto"/>
              </w:rPr>
            </w:pPr>
            <w:r>
              <w:rPr>
                <w:rFonts w:ascii="Arial" w:cs="Arial" w:eastAsia="Arial" w:hAnsi="Arial"/>
                <w:sz w:val="16"/>
                <w:szCs w:val="16"/>
                <w:color w:val="auto"/>
              </w:rPr>
              <w:t>Exit costs associated with London operations</w:t>
            </w:r>
          </w:p>
        </w:tc>
        <w:tc>
          <w:tcPr>
            <w:tcW w:w="340" w:type="dxa"/>
            <w:vAlign w:val="bottom"/>
            <w:shd w:val="clear" w:color="auto" w:fill="CFF0FC"/>
          </w:tcPr>
          <w:p>
            <w:pPr>
              <w:spacing w:after="0"/>
              <w:rPr>
                <w:sz w:val="20"/>
                <w:szCs w:val="20"/>
                <w:color w:val="auto"/>
              </w:rPr>
            </w:pPr>
          </w:p>
        </w:tc>
        <w:tc>
          <w:tcPr>
            <w:tcW w:w="980" w:type="dxa"/>
            <w:vAlign w:val="bottom"/>
            <w:gridSpan w:val="2"/>
            <w:shd w:val="clear" w:color="auto" w:fill="CFF0FC"/>
          </w:tcPr>
          <w:p>
            <w:pPr>
              <w:jc w:val="right"/>
              <w:ind w:right="240"/>
              <w:spacing w:after="0"/>
              <w:rPr>
                <w:sz w:val="20"/>
                <w:szCs w:val="20"/>
                <w:color w:val="auto"/>
              </w:rPr>
            </w:pPr>
            <w:r>
              <w:rPr>
                <w:rFonts w:ascii="Arial" w:cs="Arial" w:eastAsia="Arial" w:hAnsi="Arial"/>
                <w:sz w:val="16"/>
                <w:szCs w:val="16"/>
                <w:color w:val="auto"/>
              </w:rPr>
              <w:t>—</w:t>
            </w:r>
          </w:p>
        </w:tc>
        <w:tc>
          <w:tcPr>
            <w:tcW w:w="360" w:type="dxa"/>
            <w:vAlign w:val="bottom"/>
            <w:shd w:val="clear" w:color="auto" w:fill="CFF0FC"/>
          </w:tcPr>
          <w:p>
            <w:pPr>
              <w:spacing w:after="0"/>
              <w:rPr>
                <w:sz w:val="20"/>
                <w:szCs w:val="20"/>
                <w:color w:val="auto"/>
              </w:rPr>
            </w:pPr>
          </w:p>
        </w:tc>
        <w:tc>
          <w:tcPr>
            <w:tcW w:w="980" w:type="dxa"/>
            <w:vAlign w:val="bottom"/>
            <w:gridSpan w:val="2"/>
            <w:shd w:val="clear" w:color="auto" w:fill="CFF0FC"/>
          </w:tcPr>
          <w:p>
            <w:pPr>
              <w:jc w:val="right"/>
              <w:ind w:right="2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FF0FC"/>
          </w:tcPr>
          <w:p>
            <w:pPr>
              <w:spacing w:after="0"/>
              <w:rPr>
                <w:sz w:val="20"/>
                <w:szCs w:val="20"/>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1,737</w:t>
            </w:r>
          </w:p>
        </w:tc>
        <w:tc>
          <w:tcPr>
            <w:tcW w:w="200" w:type="dxa"/>
            <w:vAlign w:val="bottom"/>
            <w:shd w:val="clear" w:color="auto" w:fill="CFF0FC"/>
          </w:tcPr>
          <w:p>
            <w:pPr>
              <w:spacing w:after="0"/>
              <w:rPr>
                <w:sz w:val="20"/>
                <w:szCs w:val="20"/>
                <w:color w:val="auto"/>
              </w:rPr>
            </w:pPr>
          </w:p>
        </w:tc>
        <w:tc>
          <w:tcPr>
            <w:tcW w:w="320" w:type="dxa"/>
            <w:vAlign w:val="bottom"/>
            <w:shd w:val="clear" w:color="auto" w:fill="CFF0FC"/>
          </w:tcPr>
          <w:p>
            <w:pPr>
              <w:spacing w:after="0"/>
              <w:rPr>
                <w:sz w:val="20"/>
                <w:szCs w:val="20"/>
                <w:color w:val="auto"/>
              </w:rPr>
            </w:pPr>
          </w:p>
        </w:tc>
        <w:tc>
          <w:tcPr>
            <w:tcW w:w="74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76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1,737</w:t>
            </w:r>
          </w:p>
        </w:tc>
        <w:tc>
          <w:tcPr>
            <w:tcW w:w="80" w:type="dxa"/>
            <w:vAlign w:val="bottom"/>
            <w:shd w:val="clear" w:color="auto" w:fill="CFF0FC"/>
          </w:tcPr>
          <w:p>
            <w:pPr>
              <w:spacing w:after="0"/>
              <w:rPr>
                <w:sz w:val="20"/>
                <w:szCs w:val="20"/>
                <w:color w:val="auto"/>
              </w:rPr>
            </w:pPr>
          </w:p>
        </w:tc>
      </w:tr>
      <w:tr>
        <w:trPr>
          <w:trHeight w:val="227"/>
        </w:trPr>
        <w:tc>
          <w:tcPr>
            <w:tcW w:w="3700" w:type="dxa"/>
            <w:vAlign w:val="bottom"/>
          </w:tcPr>
          <w:p>
            <w:pPr>
              <w:ind w:left="200"/>
              <w:spacing w:after="0"/>
              <w:rPr>
                <w:sz w:val="20"/>
                <w:szCs w:val="20"/>
                <w:color w:val="auto"/>
              </w:rPr>
            </w:pPr>
            <w:r>
              <w:rPr>
                <w:rFonts w:ascii="Arial" w:cs="Arial" w:eastAsia="Arial" w:hAnsi="Arial"/>
                <w:sz w:val="16"/>
                <w:szCs w:val="16"/>
                <w:color w:val="auto"/>
              </w:rPr>
              <w:t>Depreciation and amortization</w:t>
            </w:r>
          </w:p>
        </w:tc>
        <w:tc>
          <w:tcPr>
            <w:tcW w:w="34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4,142</w:t>
            </w:r>
          </w:p>
        </w:tc>
        <w:tc>
          <w:tcPr>
            <w:tcW w:w="22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5,302</w:t>
            </w:r>
          </w:p>
        </w:tc>
        <w:tc>
          <w:tcPr>
            <w:tcW w:w="26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6,329</w:t>
            </w:r>
          </w:p>
        </w:tc>
        <w:tc>
          <w:tcPr>
            <w:tcW w:w="20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13,031</w:t>
            </w:r>
          </w:p>
        </w:tc>
        <w:tc>
          <w:tcPr>
            <w:tcW w:w="18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16,374</w:t>
            </w:r>
          </w:p>
        </w:tc>
        <w:tc>
          <w:tcPr>
            <w:tcW w:w="16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18,877</w:t>
            </w:r>
          </w:p>
        </w:tc>
        <w:tc>
          <w:tcPr>
            <w:tcW w:w="80" w:type="dxa"/>
            <w:vAlign w:val="bottom"/>
          </w:tcPr>
          <w:p>
            <w:pPr>
              <w:spacing w:after="0"/>
              <w:rPr>
                <w:sz w:val="19"/>
                <w:szCs w:val="19"/>
                <w:color w:val="auto"/>
              </w:rPr>
            </w:pPr>
          </w:p>
        </w:tc>
      </w:tr>
      <w:tr>
        <w:trPr>
          <w:trHeight w:val="223"/>
        </w:trPr>
        <w:tc>
          <w:tcPr>
            <w:tcW w:w="370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6"/>
                <w:szCs w:val="16"/>
                <w:color w:val="auto"/>
              </w:rPr>
              <w:t>Total expenses</w:t>
            </w:r>
          </w:p>
        </w:tc>
        <w:tc>
          <w:tcPr>
            <w:tcW w:w="340" w:type="dxa"/>
            <w:vAlign w:val="bottom"/>
            <w:tcBorders>
              <w:bottom w:val="single" w:sz="8" w:color="auto"/>
            </w:tcBorders>
            <w:shd w:val="clear" w:color="auto" w:fill="CFF0FC"/>
          </w:tcPr>
          <w:p>
            <w:pPr>
              <w:spacing w:after="0"/>
              <w:rPr>
                <w:sz w:val="19"/>
                <w:szCs w:val="19"/>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45,018</w:t>
            </w:r>
          </w:p>
        </w:tc>
        <w:tc>
          <w:tcPr>
            <w:tcW w:w="220" w:type="dxa"/>
            <w:vAlign w:val="bottom"/>
            <w:tcBorders>
              <w:bottom w:val="single" w:sz="8" w:color="CFF0FC"/>
            </w:tcBorders>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spacing w:after="0"/>
              <w:rPr>
                <w:sz w:val="19"/>
                <w:szCs w:val="19"/>
                <w:color w:val="auto"/>
              </w:rPr>
            </w:pPr>
          </w:p>
        </w:tc>
        <w:tc>
          <w:tcPr>
            <w:tcW w:w="7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36,987</w:t>
            </w:r>
          </w:p>
        </w:tc>
        <w:tc>
          <w:tcPr>
            <w:tcW w:w="26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50,174</w:t>
            </w:r>
          </w:p>
        </w:tc>
        <w:tc>
          <w:tcPr>
            <w:tcW w:w="200" w:type="dxa"/>
            <w:vAlign w:val="bottom"/>
            <w:tcBorders>
              <w:bottom w:val="single" w:sz="8" w:color="CFF0FC"/>
            </w:tcBorders>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spacing w:after="0"/>
              <w:rPr>
                <w:sz w:val="19"/>
                <w:szCs w:val="19"/>
                <w:color w:val="auto"/>
              </w:rPr>
            </w:pPr>
          </w:p>
        </w:tc>
        <w:tc>
          <w:tcPr>
            <w:tcW w:w="7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131,784</w:t>
            </w:r>
          </w:p>
        </w:tc>
        <w:tc>
          <w:tcPr>
            <w:tcW w:w="180" w:type="dxa"/>
            <w:vAlign w:val="bottom"/>
            <w:tcBorders>
              <w:bottom w:val="single" w:sz="8" w:color="CFF0FC"/>
            </w:tcBorders>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122,301</w:t>
            </w:r>
          </w:p>
        </w:tc>
        <w:tc>
          <w:tcPr>
            <w:tcW w:w="16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155,513</w:t>
            </w:r>
          </w:p>
        </w:tc>
        <w:tc>
          <w:tcPr>
            <w:tcW w:w="80" w:type="dxa"/>
            <w:vAlign w:val="bottom"/>
            <w:tcBorders>
              <w:bottom w:val="single" w:sz="8" w:color="CFF0FC"/>
            </w:tcBorders>
            <w:shd w:val="clear" w:color="auto" w:fill="CFF0FC"/>
          </w:tcPr>
          <w:p>
            <w:pPr>
              <w:spacing w:after="0"/>
              <w:rPr>
                <w:sz w:val="19"/>
                <w:szCs w:val="19"/>
                <w:color w:val="auto"/>
              </w:rPr>
            </w:pPr>
          </w:p>
        </w:tc>
      </w:tr>
      <w:tr>
        <w:trPr>
          <w:trHeight w:val="226"/>
        </w:trPr>
        <w:tc>
          <w:tcPr>
            <w:tcW w:w="37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80" w:type="dxa"/>
            <w:vAlign w:val="bottom"/>
            <w:gridSpan w:val="2"/>
          </w:tcPr>
          <w:p>
            <w:pPr>
              <w:spacing w:after="0"/>
              <w:rPr>
                <w:sz w:val="19"/>
                <w:szCs w:val="19"/>
                <w:color w:val="auto"/>
              </w:rPr>
            </w:pPr>
          </w:p>
        </w:tc>
        <w:tc>
          <w:tcPr>
            <w:tcW w:w="120" w:type="dxa"/>
            <w:vAlign w:val="bottom"/>
          </w:tcPr>
          <w:p>
            <w:pPr>
              <w:spacing w:after="0"/>
              <w:rPr>
                <w:sz w:val="19"/>
                <w:szCs w:val="19"/>
                <w:color w:val="auto"/>
              </w:rPr>
            </w:pPr>
          </w:p>
        </w:tc>
        <w:tc>
          <w:tcPr>
            <w:tcW w:w="1160" w:type="dxa"/>
            <w:vAlign w:val="bottom"/>
            <w:gridSpan w:val="2"/>
          </w:tcPr>
          <w:p>
            <w:pPr>
              <w:spacing w:after="0"/>
              <w:rPr>
                <w:sz w:val="19"/>
                <w:szCs w:val="19"/>
                <w:color w:val="auto"/>
              </w:rPr>
            </w:pPr>
          </w:p>
        </w:tc>
        <w:tc>
          <w:tcPr>
            <w:tcW w:w="3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20" w:type="dxa"/>
            <w:vAlign w:val="bottom"/>
            <w:gridSpan w:val="2"/>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gridSpan w:val="2"/>
          </w:tcPr>
          <w:p>
            <w:pPr>
              <w:spacing w:after="0"/>
              <w:rPr>
                <w:sz w:val="19"/>
                <w:szCs w:val="19"/>
                <w:color w:val="auto"/>
              </w:rPr>
            </w:pPr>
          </w:p>
        </w:tc>
      </w:tr>
      <w:tr>
        <w:trPr>
          <w:trHeight w:val="229"/>
        </w:trPr>
        <w:tc>
          <w:tcPr>
            <w:tcW w:w="3700" w:type="dxa"/>
            <w:vAlign w:val="bottom"/>
            <w:shd w:val="clear" w:color="auto" w:fill="CFF0FC"/>
          </w:tcPr>
          <w:p>
            <w:pPr>
              <w:ind w:left="20"/>
              <w:spacing w:after="0"/>
              <w:rPr>
                <w:sz w:val="20"/>
                <w:szCs w:val="20"/>
                <w:color w:val="auto"/>
              </w:rPr>
            </w:pPr>
            <w:r>
              <w:rPr>
                <w:rFonts w:ascii="Arial" w:cs="Arial" w:eastAsia="Arial" w:hAnsi="Arial"/>
                <w:sz w:val="16"/>
                <w:szCs w:val="16"/>
                <w:color w:val="auto"/>
              </w:rPr>
              <w:t>Operating income (loss)</w:t>
            </w:r>
          </w:p>
        </w:tc>
        <w:tc>
          <w:tcPr>
            <w:tcW w:w="34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15,939</w:t>
            </w:r>
          </w:p>
        </w:tc>
        <w:tc>
          <w:tcPr>
            <w:tcW w:w="2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980" w:type="dxa"/>
            <w:vAlign w:val="bottom"/>
            <w:gridSpan w:val="2"/>
            <w:shd w:val="clear" w:color="auto" w:fill="CFF0FC"/>
          </w:tcPr>
          <w:p>
            <w:pPr>
              <w:jc w:val="right"/>
              <w:ind w:right="200"/>
              <w:spacing w:after="0"/>
              <w:rPr>
                <w:sz w:val="20"/>
                <w:szCs w:val="20"/>
                <w:color w:val="auto"/>
              </w:rPr>
            </w:pPr>
            <w:r>
              <w:rPr>
                <w:rFonts w:ascii="Arial" w:cs="Arial" w:eastAsia="Arial" w:hAnsi="Arial"/>
                <w:sz w:val="16"/>
                <w:szCs w:val="16"/>
                <w:color w:val="auto"/>
              </w:rPr>
              <w:t>(5,915 )</w:t>
            </w:r>
          </w:p>
        </w:tc>
        <w:tc>
          <w:tcPr>
            <w:tcW w:w="12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jc w:val="right"/>
              <w:ind w:right="140"/>
              <w:spacing w:after="0"/>
              <w:rPr>
                <w:sz w:val="20"/>
                <w:szCs w:val="20"/>
                <w:color w:val="auto"/>
              </w:rPr>
            </w:pPr>
            <w:r>
              <w:rPr>
                <w:rFonts w:ascii="Arial" w:cs="Arial" w:eastAsia="Arial" w:hAnsi="Arial"/>
                <w:sz w:val="16"/>
                <w:szCs w:val="16"/>
                <w:color w:val="auto"/>
              </w:rPr>
              <w:t>(6,369 )</w:t>
            </w:r>
          </w:p>
        </w:tc>
        <w:tc>
          <w:tcPr>
            <w:tcW w:w="32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51,608</w:t>
            </w:r>
          </w:p>
        </w:tc>
        <w:tc>
          <w:tcPr>
            <w:tcW w:w="1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920" w:type="dxa"/>
            <w:vAlign w:val="bottom"/>
            <w:gridSpan w:val="2"/>
            <w:shd w:val="clear" w:color="auto" w:fill="CFF0FC"/>
          </w:tcPr>
          <w:p>
            <w:pPr>
              <w:jc w:val="right"/>
              <w:ind w:right="100"/>
              <w:spacing w:after="0"/>
              <w:rPr>
                <w:sz w:val="20"/>
                <w:szCs w:val="20"/>
                <w:color w:val="auto"/>
              </w:rPr>
            </w:pPr>
            <w:r>
              <w:rPr>
                <w:rFonts w:ascii="Arial" w:cs="Arial" w:eastAsia="Arial" w:hAnsi="Arial"/>
                <w:sz w:val="16"/>
                <w:szCs w:val="16"/>
                <w:color w:val="auto"/>
              </w:rPr>
              <w:t>(56,518 )</w:t>
            </w:r>
          </w:p>
        </w:tc>
        <w:tc>
          <w:tcPr>
            <w:tcW w:w="120" w:type="dxa"/>
            <w:vAlign w:val="bottom"/>
            <w:shd w:val="clear" w:color="auto" w:fill="CFF0FC"/>
          </w:tcPr>
          <w:p>
            <w:pPr>
              <w:spacing w:after="0"/>
              <w:rPr>
                <w:sz w:val="19"/>
                <w:szCs w:val="19"/>
                <w:color w:val="auto"/>
              </w:rPr>
            </w:pPr>
          </w:p>
        </w:tc>
        <w:tc>
          <w:tcPr>
            <w:tcW w:w="102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(7,726 )</w:t>
            </w:r>
          </w:p>
        </w:tc>
      </w:tr>
      <w:tr>
        <w:trPr>
          <w:trHeight w:val="230"/>
        </w:trPr>
        <w:tc>
          <w:tcPr>
            <w:tcW w:w="37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80" w:type="dxa"/>
            <w:vAlign w:val="bottom"/>
            <w:gridSpan w:val="2"/>
          </w:tcPr>
          <w:p>
            <w:pPr>
              <w:spacing w:after="0"/>
              <w:rPr>
                <w:sz w:val="19"/>
                <w:szCs w:val="19"/>
                <w:color w:val="auto"/>
              </w:rPr>
            </w:pPr>
          </w:p>
        </w:tc>
        <w:tc>
          <w:tcPr>
            <w:tcW w:w="360" w:type="dxa"/>
            <w:vAlign w:val="bottom"/>
          </w:tcPr>
          <w:p>
            <w:pPr>
              <w:spacing w:after="0"/>
              <w:rPr>
                <w:sz w:val="19"/>
                <w:szCs w:val="19"/>
                <w:color w:val="auto"/>
              </w:rPr>
            </w:pPr>
          </w:p>
        </w:tc>
        <w:tc>
          <w:tcPr>
            <w:tcW w:w="980" w:type="dxa"/>
            <w:vAlign w:val="bottom"/>
            <w:gridSpan w:val="2"/>
          </w:tcPr>
          <w:p>
            <w:pPr>
              <w:spacing w:after="0"/>
              <w:rPr>
                <w:sz w:val="19"/>
                <w:szCs w:val="19"/>
                <w:color w:val="auto"/>
              </w:rPr>
            </w:pPr>
          </w:p>
        </w:tc>
        <w:tc>
          <w:tcPr>
            <w:tcW w:w="120" w:type="dxa"/>
            <w:vAlign w:val="bottom"/>
          </w:tcPr>
          <w:p>
            <w:pPr>
              <w:spacing w:after="0"/>
              <w:rPr>
                <w:sz w:val="19"/>
                <w:szCs w:val="19"/>
                <w:color w:val="auto"/>
              </w:rPr>
            </w:pPr>
          </w:p>
        </w:tc>
        <w:tc>
          <w:tcPr>
            <w:tcW w:w="1160" w:type="dxa"/>
            <w:vAlign w:val="bottom"/>
            <w:gridSpan w:val="2"/>
          </w:tcPr>
          <w:p>
            <w:pPr>
              <w:spacing w:after="0"/>
              <w:rPr>
                <w:sz w:val="19"/>
                <w:szCs w:val="19"/>
                <w:color w:val="auto"/>
              </w:rPr>
            </w:pPr>
          </w:p>
        </w:tc>
        <w:tc>
          <w:tcPr>
            <w:tcW w:w="320" w:type="dxa"/>
            <w:vAlign w:val="bottom"/>
          </w:tcPr>
          <w:p>
            <w:pPr>
              <w:spacing w:after="0"/>
              <w:rPr>
                <w:sz w:val="19"/>
                <w:szCs w:val="19"/>
                <w:color w:val="auto"/>
              </w:rPr>
            </w:pPr>
          </w:p>
        </w:tc>
        <w:tc>
          <w:tcPr>
            <w:tcW w:w="920" w:type="dxa"/>
            <w:vAlign w:val="bottom"/>
            <w:gridSpan w:val="2"/>
          </w:tcPr>
          <w:p>
            <w:pPr>
              <w:spacing w:after="0"/>
              <w:rPr>
                <w:sz w:val="19"/>
                <w:szCs w:val="19"/>
                <w:color w:val="auto"/>
              </w:rPr>
            </w:pPr>
          </w:p>
        </w:tc>
        <w:tc>
          <w:tcPr>
            <w:tcW w:w="300" w:type="dxa"/>
            <w:vAlign w:val="bottom"/>
          </w:tcPr>
          <w:p>
            <w:pPr>
              <w:spacing w:after="0"/>
              <w:rPr>
                <w:sz w:val="19"/>
                <w:szCs w:val="19"/>
                <w:color w:val="auto"/>
              </w:rPr>
            </w:pPr>
          </w:p>
        </w:tc>
        <w:tc>
          <w:tcPr>
            <w:tcW w:w="920" w:type="dxa"/>
            <w:vAlign w:val="bottom"/>
            <w:gridSpan w:val="2"/>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gridSpan w:val="2"/>
          </w:tcPr>
          <w:p>
            <w:pPr>
              <w:spacing w:after="0"/>
              <w:rPr>
                <w:sz w:val="19"/>
                <w:szCs w:val="19"/>
                <w:color w:val="auto"/>
              </w:rPr>
            </w:pPr>
          </w:p>
        </w:tc>
      </w:tr>
      <w:tr>
        <w:trPr>
          <w:trHeight w:val="226"/>
        </w:trPr>
        <w:tc>
          <w:tcPr>
            <w:tcW w:w="3700" w:type="dxa"/>
            <w:vAlign w:val="bottom"/>
            <w:shd w:val="clear" w:color="auto" w:fill="CFF0FC"/>
          </w:tcPr>
          <w:p>
            <w:pPr>
              <w:ind w:left="20"/>
              <w:spacing w:after="0"/>
              <w:rPr>
                <w:sz w:val="20"/>
                <w:szCs w:val="20"/>
                <w:color w:val="auto"/>
              </w:rPr>
            </w:pPr>
            <w:r>
              <w:rPr>
                <w:rFonts w:ascii="Arial" w:cs="Arial" w:eastAsia="Arial" w:hAnsi="Arial"/>
                <w:sz w:val="16"/>
                <w:szCs w:val="16"/>
                <w:color w:val="auto"/>
              </w:rPr>
              <w:t>Interest expense, net</w:t>
            </w:r>
          </w:p>
        </w:tc>
        <w:tc>
          <w:tcPr>
            <w:tcW w:w="340" w:type="dxa"/>
            <w:vAlign w:val="bottom"/>
            <w:shd w:val="clear" w:color="auto" w:fill="CFF0FC"/>
          </w:tcPr>
          <w:p>
            <w:pPr>
              <w:spacing w:after="0"/>
              <w:rPr>
                <w:sz w:val="19"/>
                <w:szCs w:val="19"/>
                <w:color w:val="auto"/>
              </w:rPr>
            </w:pPr>
          </w:p>
        </w:tc>
        <w:tc>
          <w:tcPr>
            <w:tcW w:w="980" w:type="dxa"/>
            <w:vAlign w:val="bottom"/>
            <w:gridSpan w:val="2"/>
            <w:shd w:val="clear" w:color="auto" w:fill="CFF0FC"/>
          </w:tcPr>
          <w:p>
            <w:pPr>
              <w:jc w:val="right"/>
              <w:ind w:right="160"/>
              <w:spacing w:after="0"/>
              <w:rPr>
                <w:sz w:val="20"/>
                <w:szCs w:val="20"/>
                <w:color w:val="auto"/>
              </w:rPr>
            </w:pPr>
            <w:r>
              <w:rPr>
                <w:rFonts w:ascii="Arial" w:cs="Arial" w:eastAsia="Arial" w:hAnsi="Arial"/>
                <w:sz w:val="16"/>
                <w:szCs w:val="16"/>
                <w:color w:val="auto"/>
              </w:rPr>
              <w:t>(2,189 )</w:t>
            </w:r>
          </w:p>
        </w:tc>
        <w:tc>
          <w:tcPr>
            <w:tcW w:w="360" w:type="dxa"/>
            <w:vAlign w:val="bottom"/>
            <w:shd w:val="clear" w:color="auto" w:fill="CFF0FC"/>
          </w:tcPr>
          <w:p>
            <w:pPr>
              <w:spacing w:after="0"/>
              <w:rPr>
                <w:sz w:val="19"/>
                <w:szCs w:val="19"/>
                <w:color w:val="auto"/>
              </w:rPr>
            </w:pPr>
          </w:p>
        </w:tc>
        <w:tc>
          <w:tcPr>
            <w:tcW w:w="980" w:type="dxa"/>
            <w:vAlign w:val="bottom"/>
            <w:gridSpan w:val="2"/>
            <w:shd w:val="clear" w:color="auto" w:fill="CFF0FC"/>
          </w:tcPr>
          <w:p>
            <w:pPr>
              <w:jc w:val="right"/>
              <w:ind w:right="200"/>
              <w:spacing w:after="0"/>
              <w:rPr>
                <w:sz w:val="20"/>
                <w:szCs w:val="20"/>
                <w:color w:val="auto"/>
              </w:rPr>
            </w:pPr>
            <w:r>
              <w:rPr>
                <w:rFonts w:ascii="Arial" w:cs="Arial" w:eastAsia="Arial" w:hAnsi="Arial"/>
                <w:sz w:val="16"/>
                <w:szCs w:val="16"/>
                <w:color w:val="auto"/>
              </w:rPr>
              <w:t>(1,080 )</w:t>
            </w:r>
          </w:p>
        </w:tc>
        <w:tc>
          <w:tcPr>
            <w:tcW w:w="12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jc w:val="right"/>
              <w:ind w:right="140"/>
              <w:spacing w:after="0"/>
              <w:rPr>
                <w:sz w:val="20"/>
                <w:szCs w:val="20"/>
                <w:color w:val="auto"/>
              </w:rPr>
            </w:pPr>
            <w:r>
              <w:rPr>
                <w:rFonts w:ascii="Arial" w:cs="Arial" w:eastAsia="Arial" w:hAnsi="Arial"/>
                <w:sz w:val="16"/>
                <w:szCs w:val="16"/>
                <w:color w:val="auto"/>
              </w:rPr>
              <w:t>(870 )</w:t>
            </w:r>
          </w:p>
        </w:tc>
        <w:tc>
          <w:tcPr>
            <w:tcW w:w="320" w:type="dxa"/>
            <w:vAlign w:val="bottom"/>
            <w:shd w:val="clear" w:color="auto" w:fill="CFF0FC"/>
          </w:tcPr>
          <w:p>
            <w:pPr>
              <w:spacing w:after="0"/>
              <w:rPr>
                <w:sz w:val="19"/>
                <w:szCs w:val="19"/>
                <w:color w:val="auto"/>
              </w:rPr>
            </w:pPr>
          </w:p>
        </w:tc>
        <w:tc>
          <w:tcPr>
            <w:tcW w:w="92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(4,256 )</w:t>
            </w:r>
          </w:p>
        </w:tc>
        <w:tc>
          <w:tcPr>
            <w:tcW w:w="300" w:type="dxa"/>
            <w:vAlign w:val="bottom"/>
            <w:shd w:val="clear" w:color="auto" w:fill="CFF0FC"/>
          </w:tcPr>
          <w:p>
            <w:pPr>
              <w:spacing w:after="0"/>
              <w:rPr>
                <w:sz w:val="19"/>
                <w:szCs w:val="19"/>
                <w:color w:val="auto"/>
              </w:rPr>
            </w:pPr>
          </w:p>
        </w:tc>
        <w:tc>
          <w:tcPr>
            <w:tcW w:w="920" w:type="dxa"/>
            <w:vAlign w:val="bottom"/>
            <w:gridSpan w:val="2"/>
            <w:shd w:val="clear" w:color="auto" w:fill="CFF0FC"/>
          </w:tcPr>
          <w:p>
            <w:pPr>
              <w:jc w:val="right"/>
              <w:ind w:right="100"/>
              <w:spacing w:after="0"/>
              <w:rPr>
                <w:sz w:val="20"/>
                <w:szCs w:val="20"/>
                <w:color w:val="auto"/>
              </w:rPr>
            </w:pPr>
            <w:r>
              <w:rPr>
                <w:rFonts w:ascii="Arial" w:cs="Arial" w:eastAsia="Arial" w:hAnsi="Arial"/>
                <w:sz w:val="16"/>
                <w:szCs w:val="16"/>
                <w:color w:val="auto"/>
              </w:rPr>
              <w:t>(2,873 )</w:t>
            </w:r>
          </w:p>
        </w:tc>
        <w:tc>
          <w:tcPr>
            <w:tcW w:w="120" w:type="dxa"/>
            <w:vAlign w:val="bottom"/>
            <w:shd w:val="clear" w:color="auto" w:fill="CFF0FC"/>
          </w:tcPr>
          <w:p>
            <w:pPr>
              <w:spacing w:after="0"/>
              <w:rPr>
                <w:sz w:val="19"/>
                <w:szCs w:val="19"/>
                <w:color w:val="auto"/>
              </w:rPr>
            </w:pPr>
          </w:p>
        </w:tc>
        <w:tc>
          <w:tcPr>
            <w:tcW w:w="102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(2,585 )</w:t>
            </w:r>
          </w:p>
        </w:tc>
      </w:tr>
      <w:tr>
        <w:trPr>
          <w:trHeight w:val="226"/>
        </w:trPr>
        <w:tc>
          <w:tcPr>
            <w:tcW w:w="3700" w:type="dxa"/>
            <w:vAlign w:val="bottom"/>
            <w:tcBorders>
              <w:top w:val="single" w:sz="8" w:color="CFF0FC"/>
            </w:tcBorders>
          </w:tcPr>
          <w:p>
            <w:pPr>
              <w:spacing w:after="0"/>
              <w:rPr>
                <w:sz w:val="19"/>
                <w:szCs w:val="19"/>
                <w:color w:val="auto"/>
              </w:rPr>
            </w:pPr>
          </w:p>
        </w:tc>
        <w:tc>
          <w:tcPr>
            <w:tcW w:w="34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spacing w:after="0"/>
              <w:rPr>
                <w:sz w:val="19"/>
                <w:szCs w:val="19"/>
                <w:color w:val="auto"/>
              </w:rPr>
            </w:pPr>
          </w:p>
        </w:tc>
        <w:tc>
          <w:tcPr>
            <w:tcW w:w="220" w:type="dxa"/>
            <w:vAlign w:val="bottom"/>
            <w:tcBorders>
              <w:top w:val="single" w:sz="8" w:color="CFF0FC"/>
            </w:tcBorders>
          </w:tcPr>
          <w:p>
            <w:pPr>
              <w:spacing w:after="0"/>
              <w:rPr>
                <w:sz w:val="19"/>
                <w:szCs w:val="19"/>
                <w:color w:val="auto"/>
              </w:rPr>
            </w:pPr>
          </w:p>
        </w:tc>
        <w:tc>
          <w:tcPr>
            <w:tcW w:w="36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spacing w:after="0"/>
              <w:rPr>
                <w:sz w:val="19"/>
                <w:szCs w:val="19"/>
                <w:color w:val="auto"/>
              </w:rPr>
            </w:pPr>
          </w:p>
        </w:tc>
        <w:tc>
          <w:tcPr>
            <w:tcW w:w="260" w:type="dxa"/>
            <w:vAlign w:val="bottom"/>
            <w:tcBorders>
              <w:top w:val="single" w:sz="8" w:color="CFF0FC"/>
            </w:tcBorders>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960" w:type="dxa"/>
            <w:vAlign w:val="bottom"/>
            <w:tcBorders>
              <w:top w:val="single" w:sz="8" w:color="auto"/>
            </w:tcBorders>
          </w:tcPr>
          <w:p>
            <w:pPr>
              <w:spacing w:after="0"/>
              <w:rPr>
                <w:sz w:val="19"/>
                <w:szCs w:val="19"/>
                <w:color w:val="auto"/>
              </w:rPr>
            </w:pPr>
          </w:p>
        </w:tc>
        <w:tc>
          <w:tcPr>
            <w:tcW w:w="200" w:type="dxa"/>
            <w:vAlign w:val="bottom"/>
            <w:tcBorders>
              <w:top w:val="single" w:sz="8" w:color="CFF0FC"/>
            </w:tcBorders>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spacing w:after="0"/>
              <w:rPr>
                <w:sz w:val="19"/>
                <w:szCs w:val="19"/>
                <w:color w:val="auto"/>
              </w:rPr>
            </w:pPr>
          </w:p>
        </w:tc>
        <w:tc>
          <w:tcPr>
            <w:tcW w:w="180" w:type="dxa"/>
            <w:vAlign w:val="bottom"/>
            <w:tcBorders>
              <w:top w:val="single" w:sz="8" w:color="CFF0FC"/>
            </w:tcBorders>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spacing w:after="0"/>
              <w:rPr>
                <w:sz w:val="19"/>
                <w:szCs w:val="19"/>
                <w:color w:val="auto"/>
              </w:rPr>
            </w:pPr>
          </w:p>
        </w:tc>
        <w:tc>
          <w:tcPr>
            <w:tcW w:w="160" w:type="dxa"/>
            <w:vAlign w:val="bottom"/>
            <w:tcBorders>
              <w:top w:val="single" w:sz="8" w:color="CFF0FC"/>
            </w:tcBorders>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940" w:type="dxa"/>
            <w:vAlign w:val="bottom"/>
            <w:tcBorders>
              <w:top w:val="single" w:sz="8" w:color="auto"/>
            </w:tcBorders>
          </w:tcPr>
          <w:p>
            <w:pPr>
              <w:spacing w:after="0"/>
              <w:rPr>
                <w:sz w:val="19"/>
                <w:szCs w:val="19"/>
                <w:color w:val="auto"/>
              </w:rPr>
            </w:pPr>
          </w:p>
        </w:tc>
        <w:tc>
          <w:tcPr>
            <w:tcW w:w="80" w:type="dxa"/>
            <w:vAlign w:val="bottom"/>
            <w:tcBorders>
              <w:top w:val="single" w:sz="8" w:color="CFF0FC"/>
            </w:tcBorders>
          </w:tcPr>
          <w:p>
            <w:pPr>
              <w:spacing w:after="0"/>
              <w:rPr>
                <w:sz w:val="19"/>
                <w:szCs w:val="19"/>
                <w:color w:val="auto"/>
              </w:rPr>
            </w:pPr>
          </w:p>
        </w:tc>
      </w:tr>
      <w:tr>
        <w:trPr>
          <w:trHeight w:val="206"/>
        </w:trPr>
        <w:tc>
          <w:tcPr>
            <w:tcW w:w="3700" w:type="dxa"/>
            <w:vAlign w:val="bottom"/>
            <w:shd w:val="clear" w:color="auto" w:fill="CFF0FC"/>
          </w:tcPr>
          <w:p>
            <w:pPr>
              <w:ind w:left="20"/>
              <w:spacing w:after="0"/>
              <w:rPr>
                <w:sz w:val="20"/>
                <w:szCs w:val="20"/>
                <w:color w:val="auto"/>
              </w:rPr>
            </w:pPr>
            <w:r>
              <w:rPr>
                <w:rFonts w:ascii="Arial" w:cs="Arial" w:eastAsia="Arial" w:hAnsi="Arial"/>
                <w:sz w:val="16"/>
                <w:szCs w:val="16"/>
                <w:color w:val="auto"/>
              </w:rPr>
              <w:t>Income (loss) before provision (benefit) for income</w:t>
            </w:r>
          </w:p>
        </w:tc>
        <w:tc>
          <w:tcPr>
            <w:tcW w:w="340" w:type="dxa"/>
            <w:vAlign w:val="bottom"/>
            <w:shd w:val="clear" w:color="auto" w:fill="CFF0FC"/>
          </w:tcPr>
          <w:p>
            <w:pPr>
              <w:spacing w:after="0"/>
              <w:rPr>
                <w:sz w:val="17"/>
                <w:szCs w:val="17"/>
                <w:color w:val="auto"/>
              </w:rPr>
            </w:pPr>
          </w:p>
        </w:tc>
        <w:tc>
          <w:tcPr>
            <w:tcW w:w="76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72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96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74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76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94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r>
      <w:tr>
        <w:trPr>
          <w:trHeight w:val="226"/>
        </w:trPr>
        <w:tc>
          <w:tcPr>
            <w:tcW w:w="3700" w:type="dxa"/>
            <w:vAlign w:val="bottom"/>
            <w:shd w:val="clear" w:color="auto" w:fill="CFF0FC"/>
          </w:tcPr>
          <w:p>
            <w:pPr>
              <w:ind w:left="20"/>
              <w:spacing w:after="0"/>
              <w:rPr>
                <w:sz w:val="20"/>
                <w:szCs w:val="20"/>
                <w:color w:val="auto"/>
              </w:rPr>
            </w:pPr>
            <w:r>
              <w:rPr>
                <w:rFonts w:ascii="Arial" w:cs="Arial" w:eastAsia="Arial" w:hAnsi="Arial"/>
                <w:sz w:val="16"/>
                <w:szCs w:val="16"/>
                <w:color w:val="auto"/>
              </w:rPr>
              <w:t>taxes</w:t>
            </w:r>
          </w:p>
        </w:tc>
        <w:tc>
          <w:tcPr>
            <w:tcW w:w="34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13,750</w:t>
            </w:r>
          </w:p>
        </w:tc>
        <w:tc>
          <w:tcPr>
            <w:tcW w:w="2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980" w:type="dxa"/>
            <w:vAlign w:val="bottom"/>
            <w:gridSpan w:val="2"/>
            <w:shd w:val="clear" w:color="auto" w:fill="CFF0FC"/>
          </w:tcPr>
          <w:p>
            <w:pPr>
              <w:jc w:val="right"/>
              <w:ind w:right="200"/>
              <w:spacing w:after="0"/>
              <w:rPr>
                <w:sz w:val="20"/>
                <w:szCs w:val="20"/>
                <w:color w:val="auto"/>
              </w:rPr>
            </w:pPr>
            <w:r>
              <w:rPr>
                <w:rFonts w:ascii="Arial" w:cs="Arial" w:eastAsia="Arial" w:hAnsi="Arial"/>
                <w:sz w:val="16"/>
                <w:szCs w:val="16"/>
                <w:color w:val="auto"/>
              </w:rPr>
              <w:t>(6,995 )</w:t>
            </w:r>
          </w:p>
        </w:tc>
        <w:tc>
          <w:tcPr>
            <w:tcW w:w="12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jc w:val="right"/>
              <w:ind w:right="140"/>
              <w:spacing w:after="0"/>
              <w:rPr>
                <w:sz w:val="20"/>
                <w:szCs w:val="20"/>
                <w:color w:val="auto"/>
              </w:rPr>
            </w:pPr>
            <w:r>
              <w:rPr>
                <w:rFonts w:ascii="Arial" w:cs="Arial" w:eastAsia="Arial" w:hAnsi="Arial"/>
                <w:sz w:val="16"/>
                <w:szCs w:val="16"/>
                <w:color w:val="auto"/>
              </w:rPr>
              <w:t>(7,239 )</w:t>
            </w:r>
          </w:p>
        </w:tc>
        <w:tc>
          <w:tcPr>
            <w:tcW w:w="32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47,352</w:t>
            </w:r>
          </w:p>
        </w:tc>
        <w:tc>
          <w:tcPr>
            <w:tcW w:w="1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920" w:type="dxa"/>
            <w:vAlign w:val="bottom"/>
            <w:gridSpan w:val="2"/>
            <w:shd w:val="clear" w:color="auto" w:fill="CFF0FC"/>
          </w:tcPr>
          <w:p>
            <w:pPr>
              <w:jc w:val="right"/>
              <w:ind w:right="100"/>
              <w:spacing w:after="0"/>
              <w:rPr>
                <w:sz w:val="20"/>
                <w:szCs w:val="20"/>
                <w:color w:val="auto"/>
              </w:rPr>
            </w:pPr>
            <w:r>
              <w:rPr>
                <w:rFonts w:ascii="Arial" w:cs="Arial" w:eastAsia="Arial" w:hAnsi="Arial"/>
                <w:sz w:val="16"/>
                <w:szCs w:val="16"/>
                <w:color w:val="auto"/>
              </w:rPr>
              <w:t>(59,391 )</w:t>
            </w:r>
          </w:p>
        </w:tc>
        <w:tc>
          <w:tcPr>
            <w:tcW w:w="120" w:type="dxa"/>
            <w:vAlign w:val="bottom"/>
            <w:shd w:val="clear" w:color="auto" w:fill="CFF0FC"/>
          </w:tcPr>
          <w:p>
            <w:pPr>
              <w:spacing w:after="0"/>
              <w:rPr>
                <w:sz w:val="19"/>
                <w:szCs w:val="19"/>
                <w:color w:val="auto"/>
              </w:rPr>
            </w:pPr>
          </w:p>
        </w:tc>
        <w:tc>
          <w:tcPr>
            <w:tcW w:w="102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(10,311 )</w:t>
            </w:r>
          </w:p>
        </w:tc>
      </w:tr>
      <w:tr>
        <w:trPr>
          <w:trHeight w:val="226"/>
        </w:trPr>
        <w:tc>
          <w:tcPr>
            <w:tcW w:w="3700" w:type="dxa"/>
            <w:vAlign w:val="bottom"/>
          </w:tcPr>
          <w:p>
            <w:pPr>
              <w:ind w:left="20"/>
              <w:spacing w:after="0"/>
              <w:rPr>
                <w:sz w:val="20"/>
                <w:szCs w:val="20"/>
                <w:color w:val="auto"/>
              </w:rPr>
            </w:pPr>
            <w:r>
              <w:rPr>
                <w:rFonts w:ascii="Arial" w:cs="Arial" w:eastAsia="Arial" w:hAnsi="Arial"/>
                <w:sz w:val="16"/>
                <w:szCs w:val="16"/>
                <w:color w:val="auto"/>
              </w:rPr>
              <w:t>Provision (benefit) for income taxes</w:t>
            </w:r>
          </w:p>
        </w:tc>
        <w:tc>
          <w:tcPr>
            <w:tcW w:w="3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94</w:t>
            </w:r>
          </w:p>
        </w:tc>
        <w:tc>
          <w:tcPr>
            <w:tcW w:w="2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27</w:t>
            </w:r>
          </w:p>
        </w:tc>
        <w:tc>
          <w:tcPr>
            <w:tcW w:w="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6"/>
                <w:szCs w:val="16"/>
                <w:color w:val="auto"/>
              </w:rPr>
              <w:t>(49 )</w:t>
            </w:r>
          </w:p>
        </w:tc>
        <w:tc>
          <w:tcPr>
            <w:tcW w:w="3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548</w:t>
            </w:r>
          </w:p>
        </w:tc>
        <w:tc>
          <w:tcPr>
            <w:tcW w:w="1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71</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gridSpan w:val="2"/>
          </w:tcPr>
          <w:p>
            <w:pPr>
              <w:jc w:val="right"/>
              <w:ind w:right="20"/>
              <w:spacing w:after="0"/>
              <w:rPr>
                <w:sz w:val="20"/>
                <w:szCs w:val="20"/>
                <w:color w:val="auto"/>
              </w:rPr>
            </w:pPr>
            <w:r>
              <w:rPr>
                <w:rFonts w:ascii="Arial" w:cs="Arial" w:eastAsia="Arial" w:hAnsi="Arial"/>
                <w:sz w:val="16"/>
                <w:szCs w:val="16"/>
                <w:color w:val="auto"/>
              </w:rPr>
              <w:t>(78 )</w:t>
            </w:r>
          </w:p>
        </w:tc>
      </w:tr>
      <w:tr>
        <w:trPr>
          <w:trHeight w:val="226"/>
        </w:trPr>
        <w:tc>
          <w:tcPr>
            <w:tcW w:w="3700" w:type="dxa"/>
            <w:vAlign w:val="bottom"/>
            <w:shd w:val="clear" w:color="auto" w:fill="CFF0FC"/>
          </w:tcPr>
          <w:p>
            <w:pPr>
              <w:spacing w:after="0"/>
              <w:rPr>
                <w:sz w:val="19"/>
                <w:szCs w:val="19"/>
                <w:color w:val="auto"/>
              </w:rPr>
            </w:pPr>
          </w:p>
        </w:tc>
        <w:tc>
          <w:tcPr>
            <w:tcW w:w="340" w:type="dxa"/>
            <w:vAlign w:val="bottom"/>
            <w:tcBorders>
              <w:top w:val="single" w:sz="8" w:color="auto"/>
            </w:tcBorders>
            <w:shd w:val="clear" w:color="auto" w:fill="CFF0FC"/>
          </w:tcPr>
          <w:p>
            <w:pPr>
              <w:spacing w:after="0"/>
              <w:rPr>
                <w:sz w:val="19"/>
                <w:szCs w:val="19"/>
                <w:color w:val="auto"/>
              </w:rPr>
            </w:pPr>
          </w:p>
        </w:tc>
        <w:tc>
          <w:tcPr>
            <w:tcW w:w="760" w:type="dxa"/>
            <w:vAlign w:val="bottom"/>
            <w:tcBorders>
              <w:top w:val="single" w:sz="8" w:color="auto"/>
            </w:tcBorders>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360" w:type="dxa"/>
            <w:vAlign w:val="bottom"/>
            <w:tcBorders>
              <w:top w:val="single" w:sz="8" w:color="auto"/>
            </w:tcBorders>
            <w:shd w:val="clear" w:color="auto" w:fill="CFF0FC"/>
          </w:tcPr>
          <w:p>
            <w:pPr>
              <w:spacing w:after="0"/>
              <w:rPr>
                <w:sz w:val="19"/>
                <w:szCs w:val="19"/>
                <w:color w:val="auto"/>
              </w:rPr>
            </w:pPr>
          </w:p>
        </w:tc>
        <w:tc>
          <w:tcPr>
            <w:tcW w:w="720" w:type="dxa"/>
            <w:vAlign w:val="bottom"/>
            <w:tcBorders>
              <w:top w:val="single" w:sz="8" w:color="auto"/>
            </w:tcBorders>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19"/>
                <w:szCs w:val="19"/>
                <w:color w:val="auto"/>
              </w:rPr>
            </w:pPr>
          </w:p>
        </w:tc>
        <w:tc>
          <w:tcPr>
            <w:tcW w:w="960" w:type="dxa"/>
            <w:vAlign w:val="bottom"/>
            <w:tcBorders>
              <w:top w:val="single" w:sz="8" w:color="auto"/>
            </w:tcBorders>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320" w:type="dxa"/>
            <w:vAlign w:val="bottom"/>
            <w:tcBorders>
              <w:top w:val="single" w:sz="8" w:color="auto"/>
            </w:tcBorders>
            <w:shd w:val="clear" w:color="auto" w:fill="CFF0FC"/>
          </w:tcPr>
          <w:p>
            <w:pPr>
              <w:spacing w:after="0"/>
              <w:rPr>
                <w:sz w:val="19"/>
                <w:szCs w:val="19"/>
                <w:color w:val="auto"/>
              </w:rPr>
            </w:pPr>
          </w:p>
        </w:tc>
        <w:tc>
          <w:tcPr>
            <w:tcW w:w="740" w:type="dxa"/>
            <w:vAlign w:val="bottom"/>
            <w:tcBorders>
              <w:top w:val="single" w:sz="8" w:color="auto"/>
            </w:tcBorders>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300" w:type="dxa"/>
            <w:vAlign w:val="bottom"/>
            <w:tcBorders>
              <w:top w:val="single" w:sz="8" w:color="auto"/>
            </w:tcBorders>
            <w:shd w:val="clear" w:color="auto" w:fill="CFF0FC"/>
          </w:tcPr>
          <w:p>
            <w:pPr>
              <w:spacing w:after="0"/>
              <w:rPr>
                <w:sz w:val="19"/>
                <w:szCs w:val="19"/>
                <w:color w:val="auto"/>
              </w:rPr>
            </w:pPr>
          </w:p>
        </w:tc>
        <w:tc>
          <w:tcPr>
            <w:tcW w:w="760" w:type="dxa"/>
            <w:vAlign w:val="bottom"/>
            <w:tcBorders>
              <w:top w:val="single" w:sz="8" w:color="auto"/>
            </w:tcBorders>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19"/>
                <w:szCs w:val="19"/>
                <w:color w:val="auto"/>
              </w:rPr>
            </w:pPr>
          </w:p>
        </w:tc>
        <w:tc>
          <w:tcPr>
            <w:tcW w:w="940" w:type="dxa"/>
            <w:vAlign w:val="bottom"/>
            <w:tcBorders>
              <w:top w:val="single" w:sz="8" w:color="auto"/>
            </w:tcBorders>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r>
      <w:tr>
        <w:trPr>
          <w:trHeight w:val="229"/>
        </w:trPr>
        <w:tc>
          <w:tcPr>
            <w:tcW w:w="3700" w:type="dxa"/>
            <w:vAlign w:val="bottom"/>
          </w:tcPr>
          <w:p>
            <w:pPr>
              <w:ind w:left="20"/>
              <w:spacing w:after="0"/>
              <w:rPr>
                <w:sz w:val="20"/>
                <w:szCs w:val="20"/>
                <w:color w:val="auto"/>
              </w:rPr>
            </w:pPr>
            <w:r>
              <w:rPr>
                <w:rFonts w:ascii="Arial" w:cs="Arial" w:eastAsia="Arial" w:hAnsi="Arial"/>
                <w:sz w:val="16"/>
                <w:szCs w:val="16"/>
                <w:color w:val="auto"/>
              </w:rPr>
              <w:t>Net income (loss)</w:t>
            </w:r>
          </w:p>
        </w:tc>
        <w:tc>
          <w:tcPr>
            <w:tcW w:w="340" w:type="dxa"/>
            <w:vAlign w:val="bottom"/>
          </w:tcPr>
          <w:p>
            <w:pPr>
              <w:jc w:val="right"/>
              <w:ind w:right="161"/>
              <w:spacing w:after="0"/>
              <w:rPr>
                <w:sz w:val="20"/>
                <w:szCs w:val="20"/>
                <w:color w:val="auto"/>
              </w:rPr>
            </w:pPr>
            <w:r>
              <w:rPr>
                <w:rFonts w:ascii="Arial" w:cs="Arial" w:eastAsia="Arial" w:hAnsi="Arial"/>
                <w:sz w:val="16"/>
                <w:szCs w:val="16"/>
                <w:color w:val="auto"/>
                <w:w w:val="89"/>
              </w:rPr>
              <w:t>$</w:t>
            </w:r>
          </w:p>
        </w:tc>
        <w:tc>
          <w:tcPr>
            <w:tcW w:w="760" w:type="dxa"/>
            <w:vAlign w:val="bottom"/>
          </w:tcPr>
          <w:p>
            <w:pPr>
              <w:jc w:val="right"/>
              <w:spacing w:after="0"/>
              <w:rPr>
                <w:sz w:val="20"/>
                <w:szCs w:val="20"/>
                <w:color w:val="auto"/>
              </w:rPr>
            </w:pPr>
            <w:r>
              <w:rPr>
                <w:rFonts w:ascii="Arial" w:cs="Arial" w:eastAsia="Arial" w:hAnsi="Arial"/>
                <w:sz w:val="16"/>
                <w:szCs w:val="16"/>
                <w:color w:val="auto"/>
              </w:rPr>
              <w:t>13,656</w:t>
            </w:r>
          </w:p>
        </w:tc>
        <w:tc>
          <w:tcPr>
            <w:tcW w:w="220" w:type="dxa"/>
            <w:vAlign w:val="bottom"/>
          </w:tcPr>
          <w:p>
            <w:pPr>
              <w:spacing w:after="0"/>
              <w:rPr>
                <w:sz w:val="19"/>
                <w:szCs w:val="19"/>
                <w:color w:val="auto"/>
              </w:rPr>
            </w:pPr>
          </w:p>
        </w:tc>
        <w:tc>
          <w:tcPr>
            <w:tcW w:w="360" w:type="dxa"/>
            <w:vAlign w:val="bottom"/>
          </w:tcPr>
          <w:p>
            <w:pPr>
              <w:ind w:left="20"/>
              <w:spacing w:after="0"/>
              <w:rPr>
                <w:sz w:val="20"/>
                <w:szCs w:val="20"/>
                <w:color w:val="auto"/>
              </w:rPr>
            </w:pPr>
            <w:r>
              <w:rPr>
                <w:rFonts w:ascii="Arial" w:cs="Arial" w:eastAsia="Arial" w:hAnsi="Arial"/>
                <w:sz w:val="16"/>
                <w:szCs w:val="16"/>
                <w:color w:val="auto"/>
              </w:rPr>
              <w:t>$</w:t>
            </w:r>
          </w:p>
        </w:tc>
        <w:tc>
          <w:tcPr>
            <w:tcW w:w="980" w:type="dxa"/>
            <w:vAlign w:val="bottom"/>
            <w:gridSpan w:val="2"/>
          </w:tcPr>
          <w:p>
            <w:pPr>
              <w:jc w:val="right"/>
              <w:ind w:right="200"/>
              <w:spacing w:after="0"/>
              <w:rPr>
                <w:sz w:val="20"/>
                <w:szCs w:val="20"/>
                <w:color w:val="auto"/>
              </w:rPr>
            </w:pPr>
            <w:r>
              <w:rPr>
                <w:rFonts w:ascii="Arial" w:cs="Arial" w:eastAsia="Arial" w:hAnsi="Arial"/>
                <w:sz w:val="16"/>
                <w:szCs w:val="16"/>
                <w:color w:val="auto"/>
              </w:rPr>
              <w:t>(7,022 )</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gridSpan w:val="2"/>
          </w:tcPr>
          <w:p>
            <w:pPr>
              <w:jc w:val="right"/>
              <w:ind w:right="140"/>
              <w:spacing w:after="0"/>
              <w:rPr>
                <w:sz w:val="20"/>
                <w:szCs w:val="20"/>
                <w:color w:val="auto"/>
              </w:rPr>
            </w:pPr>
            <w:r>
              <w:rPr>
                <w:rFonts w:ascii="Arial" w:cs="Arial" w:eastAsia="Arial" w:hAnsi="Arial"/>
                <w:sz w:val="16"/>
                <w:szCs w:val="16"/>
                <w:color w:val="auto"/>
              </w:rPr>
              <w:t>(7,190 )</w:t>
            </w:r>
          </w:p>
        </w:tc>
        <w:tc>
          <w:tcPr>
            <w:tcW w:w="320" w:type="dxa"/>
            <w:vAlign w:val="bottom"/>
          </w:tcPr>
          <w:p>
            <w:pPr>
              <w:ind w:left="20"/>
              <w:spacing w:after="0"/>
              <w:rPr>
                <w:sz w:val="20"/>
                <w:szCs w:val="20"/>
                <w:color w:val="auto"/>
              </w:rPr>
            </w:pPr>
            <w:r>
              <w:rPr>
                <w:rFonts w:ascii="Arial" w:cs="Arial" w:eastAsia="Arial" w:hAnsi="Arial"/>
                <w:sz w:val="16"/>
                <w:szCs w:val="16"/>
                <w:color w:val="auto"/>
              </w:rPr>
              <w:t>$</w:t>
            </w:r>
          </w:p>
        </w:tc>
        <w:tc>
          <w:tcPr>
            <w:tcW w:w="740" w:type="dxa"/>
            <w:vAlign w:val="bottom"/>
          </w:tcPr>
          <w:p>
            <w:pPr>
              <w:jc w:val="right"/>
              <w:spacing w:after="0"/>
              <w:rPr>
                <w:sz w:val="20"/>
                <w:szCs w:val="20"/>
                <w:color w:val="auto"/>
              </w:rPr>
            </w:pPr>
            <w:r>
              <w:rPr>
                <w:rFonts w:ascii="Arial" w:cs="Arial" w:eastAsia="Arial" w:hAnsi="Arial"/>
                <w:sz w:val="16"/>
                <w:szCs w:val="16"/>
                <w:color w:val="auto"/>
              </w:rPr>
              <w:t>46,804</w:t>
            </w:r>
          </w:p>
        </w:tc>
        <w:tc>
          <w:tcPr>
            <w:tcW w:w="180" w:type="dxa"/>
            <w:vAlign w:val="bottom"/>
          </w:tcPr>
          <w:p>
            <w:pPr>
              <w:spacing w:after="0"/>
              <w:rPr>
                <w:sz w:val="19"/>
                <w:szCs w:val="19"/>
                <w:color w:val="auto"/>
              </w:rPr>
            </w:pPr>
          </w:p>
        </w:tc>
        <w:tc>
          <w:tcPr>
            <w:tcW w:w="300" w:type="dxa"/>
            <w:vAlign w:val="bottom"/>
          </w:tcPr>
          <w:p>
            <w:pPr>
              <w:ind w:left="20"/>
              <w:spacing w:after="0"/>
              <w:rPr>
                <w:sz w:val="20"/>
                <w:szCs w:val="20"/>
                <w:color w:val="auto"/>
              </w:rPr>
            </w:pPr>
            <w:r>
              <w:rPr>
                <w:rFonts w:ascii="Arial" w:cs="Arial" w:eastAsia="Arial" w:hAnsi="Arial"/>
                <w:sz w:val="16"/>
                <w:szCs w:val="16"/>
                <w:color w:val="auto"/>
              </w:rPr>
              <w:t>$</w:t>
            </w:r>
          </w:p>
        </w:tc>
        <w:tc>
          <w:tcPr>
            <w:tcW w:w="920" w:type="dxa"/>
            <w:vAlign w:val="bottom"/>
            <w:gridSpan w:val="2"/>
          </w:tcPr>
          <w:p>
            <w:pPr>
              <w:jc w:val="right"/>
              <w:ind w:right="100"/>
              <w:spacing w:after="0"/>
              <w:rPr>
                <w:sz w:val="20"/>
                <w:szCs w:val="20"/>
                <w:color w:val="auto"/>
              </w:rPr>
            </w:pPr>
            <w:r>
              <w:rPr>
                <w:rFonts w:ascii="Arial" w:cs="Arial" w:eastAsia="Arial" w:hAnsi="Arial"/>
                <w:sz w:val="16"/>
                <w:szCs w:val="16"/>
                <w:color w:val="auto"/>
              </w:rPr>
              <w:t>(59,462 )</w:t>
            </w: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020" w:type="dxa"/>
            <w:vAlign w:val="bottom"/>
            <w:gridSpan w:val="2"/>
          </w:tcPr>
          <w:p>
            <w:pPr>
              <w:jc w:val="right"/>
              <w:ind w:right="20"/>
              <w:spacing w:after="0"/>
              <w:rPr>
                <w:sz w:val="20"/>
                <w:szCs w:val="20"/>
                <w:color w:val="auto"/>
              </w:rPr>
            </w:pPr>
            <w:r>
              <w:rPr>
                <w:rFonts w:ascii="Arial" w:cs="Arial" w:eastAsia="Arial" w:hAnsi="Arial"/>
                <w:sz w:val="16"/>
                <w:szCs w:val="16"/>
                <w:color w:val="auto"/>
              </w:rPr>
              <w:t>(10,233 )</w:t>
            </w:r>
          </w:p>
        </w:tc>
      </w:tr>
      <w:tr>
        <w:trPr>
          <w:trHeight w:val="20"/>
        </w:trPr>
        <w:tc>
          <w:tcPr>
            <w:tcW w:w="370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10"/>
        </w:trPr>
        <w:tc>
          <w:tcPr>
            <w:tcW w:w="370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r>
      <w:tr>
        <w:trPr>
          <w:trHeight w:val="247"/>
        </w:trPr>
        <w:tc>
          <w:tcPr>
            <w:tcW w:w="3700" w:type="dxa"/>
            <w:vAlign w:val="bottom"/>
          </w:tcPr>
          <w:p>
            <w:pPr>
              <w:ind w:left="20"/>
              <w:spacing w:after="0"/>
              <w:rPr>
                <w:sz w:val="20"/>
                <w:szCs w:val="20"/>
                <w:color w:val="auto"/>
              </w:rPr>
            </w:pPr>
            <w:r>
              <w:rPr>
                <w:rFonts w:ascii="Arial" w:cs="Arial" w:eastAsia="Arial" w:hAnsi="Arial"/>
                <w:sz w:val="16"/>
                <w:szCs w:val="16"/>
                <w:color w:val="auto"/>
              </w:rPr>
              <w:t>Net income (loss) per share:</w:t>
            </w:r>
          </w:p>
        </w:tc>
        <w:tc>
          <w:tcPr>
            <w:tcW w:w="34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80" w:type="dxa"/>
            <w:vAlign w:val="bottom"/>
          </w:tcPr>
          <w:p>
            <w:pPr>
              <w:spacing w:after="0"/>
              <w:rPr>
                <w:sz w:val="21"/>
                <w:szCs w:val="21"/>
                <w:color w:val="auto"/>
              </w:rPr>
            </w:pPr>
          </w:p>
        </w:tc>
      </w:tr>
      <w:tr>
        <w:trPr>
          <w:trHeight w:val="266"/>
        </w:trPr>
        <w:tc>
          <w:tcPr>
            <w:tcW w:w="3700" w:type="dxa"/>
            <w:vAlign w:val="bottom"/>
            <w:shd w:val="clear" w:color="auto" w:fill="CFF0FC"/>
          </w:tcPr>
          <w:p>
            <w:pPr>
              <w:ind w:left="100"/>
              <w:spacing w:after="0"/>
              <w:rPr>
                <w:sz w:val="20"/>
                <w:szCs w:val="20"/>
                <w:color w:val="auto"/>
              </w:rPr>
            </w:pPr>
            <w:r>
              <w:rPr>
                <w:rFonts w:ascii="Arial" w:cs="Arial" w:eastAsia="Arial" w:hAnsi="Arial"/>
                <w:sz w:val="16"/>
                <w:szCs w:val="16"/>
                <w:color w:val="auto"/>
              </w:rPr>
              <w:t>Basic</w:t>
            </w:r>
          </w:p>
        </w:tc>
        <w:tc>
          <w:tcPr>
            <w:tcW w:w="340" w:type="dxa"/>
            <w:vAlign w:val="bottom"/>
            <w:shd w:val="clear" w:color="auto" w:fill="CFF0FC"/>
          </w:tcPr>
          <w:p>
            <w:pPr>
              <w:jc w:val="right"/>
              <w:ind w:right="161"/>
              <w:spacing w:after="0"/>
              <w:rPr>
                <w:sz w:val="20"/>
                <w:szCs w:val="20"/>
                <w:color w:val="auto"/>
              </w:rPr>
            </w:pPr>
            <w:r>
              <w:rPr>
                <w:rFonts w:ascii="Arial" w:cs="Arial" w:eastAsia="Arial" w:hAnsi="Arial"/>
                <w:sz w:val="16"/>
                <w:szCs w:val="16"/>
                <w:color w:val="auto"/>
                <w:w w:val="89"/>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0.21</w:t>
            </w:r>
          </w:p>
        </w:tc>
        <w:tc>
          <w:tcPr>
            <w:tcW w:w="220" w:type="dxa"/>
            <w:vAlign w:val="bottom"/>
            <w:shd w:val="clear" w:color="auto" w:fill="CFF0FC"/>
          </w:tcPr>
          <w:p>
            <w:pPr>
              <w:spacing w:after="0"/>
              <w:rPr>
                <w:sz w:val="23"/>
                <w:szCs w:val="23"/>
                <w:color w:val="auto"/>
              </w:rPr>
            </w:pPr>
          </w:p>
        </w:tc>
        <w:tc>
          <w:tcPr>
            <w:tcW w:w="360" w:type="dxa"/>
            <w:vAlign w:val="bottom"/>
            <w:shd w:val="clear" w:color="auto" w:fill="CFF0FC"/>
          </w:tcPr>
          <w:p>
            <w:pPr>
              <w:ind w:left="20"/>
              <w:spacing w:after="0"/>
              <w:rPr>
                <w:sz w:val="20"/>
                <w:szCs w:val="20"/>
                <w:color w:val="auto"/>
              </w:rPr>
            </w:pPr>
            <w:r>
              <w:rPr>
                <w:rFonts w:ascii="Arial" w:cs="Arial" w:eastAsia="Arial" w:hAnsi="Arial"/>
                <w:sz w:val="16"/>
                <w:szCs w:val="16"/>
                <w:color w:val="auto"/>
              </w:rPr>
              <w:t>$</w:t>
            </w:r>
          </w:p>
        </w:tc>
        <w:tc>
          <w:tcPr>
            <w:tcW w:w="980" w:type="dxa"/>
            <w:vAlign w:val="bottom"/>
            <w:gridSpan w:val="2"/>
            <w:shd w:val="clear" w:color="auto" w:fill="CFF0FC"/>
          </w:tcPr>
          <w:p>
            <w:pPr>
              <w:jc w:val="right"/>
              <w:ind w:right="200"/>
              <w:spacing w:after="0"/>
              <w:rPr>
                <w:sz w:val="20"/>
                <w:szCs w:val="20"/>
                <w:color w:val="auto"/>
              </w:rPr>
            </w:pPr>
            <w:r>
              <w:rPr>
                <w:rFonts w:ascii="Arial" w:cs="Arial" w:eastAsia="Arial" w:hAnsi="Arial"/>
                <w:sz w:val="16"/>
                <w:szCs w:val="16"/>
                <w:color w:val="auto"/>
              </w:rPr>
              <w:t>(0.14 )</w:t>
            </w:r>
          </w:p>
        </w:tc>
        <w:tc>
          <w:tcPr>
            <w:tcW w:w="12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gridSpan w:val="2"/>
            <w:shd w:val="clear" w:color="auto" w:fill="CFF0FC"/>
          </w:tcPr>
          <w:p>
            <w:pPr>
              <w:jc w:val="right"/>
              <w:ind w:right="140"/>
              <w:spacing w:after="0"/>
              <w:rPr>
                <w:sz w:val="20"/>
                <w:szCs w:val="20"/>
                <w:color w:val="auto"/>
              </w:rPr>
            </w:pPr>
            <w:r>
              <w:rPr>
                <w:rFonts w:ascii="Arial" w:cs="Arial" w:eastAsia="Arial" w:hAnsi="Arial"/>
                <w:sz w:val="16"/>
                <w:szCs w:val="16"/>
                <w:color w:val="auto"/>
              </w:rPr>
              <w:t>(0.14 )</w:t>
            </w:r>
          </w:p>
        </w:tc>
        <w:tc>
          <w:tcPr>
            <w:tcW w:w="320" w:type="dxa"/>
            <w:vAlign w:val="bottom"/>
            <w:shd w:val="clear" w:color="auto" w:fill="CFF0FC"/>
          </w:tcPr>
          <w:p>
            <w:pPr>
              <w:ind w:left="20"/>
              <w:spacing w:after="0"/>
              <w:rPr>
                <w:sz w:val="20"/>
                <w:szCs w:val="20"/>
                <w:color w:val="auto"/>
              </w:rPr>
            </w:pPr>
            <w:r>
              <w:rPr>
                <w:rFonts w:ascii="Arial" w:cs="Arial" w:eastAsia="Arial" w:hAnsi="Arial"/>
                <w:sz w:val="16"/>
                <w:szCs w:val="16"/>
                <w:color w:val="auto"/>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0.74</w:t>
            </w:r>
          </w:p>
        </w:tc>
        <w:tc>
          <w:tcPr>
            <w:tcW w:w="180" w:type="dxa"/>
            <w:vAlign w:val="bottom"/>
            <w:shd w:val="clear" w:color="auto" w:fill="CFF0FC"/>
          </w:tcPr>
          <w:p>
            <w:pPr>
              <w:spacing w:after="0"/>
              <w:rPr>
                <w:sz w:val="23"/>
                <w:szCs w:val="23"/>
                <w:color w:val="auto"/>
              </w:rPr>
            </w:pPr>
          </w:p>
        </w:tc>
        <w:tc>
          <w:tcPr>
            <w:tcW w:w="300" w:type="dxa"/>
            <w:vAlign w:val="bottom"/>
            <w:shd w:val="clear" w:color="auto" w:fill="CFF0FC"/>
          </w:tcPr>
          <w:p>
            <w:pPr>
              <w:ind w:left="20"/>
              <w:spacing w:after="0"/>
              <w:rPr>
                <w:sz w:val="20"/>
                <w:szCs w:val="20"/>
                <w:color w:val="auto"/>
              </w:rPr>
            </w:pPr>
            <w:r>
              <w:rPr>
                <w:rFonts w:ascii="Arial" w:cs="Arial" w:eastAsia="Arial" w:hAnsi="Arial"/>
                <w:sz w:val="16"/>
                <w:szCs w:val="16"/>
                <w:color w:val="auto"/>
              </w:rPr>
              <w:t>$</w:t>
            </w:r>
          </w:p>
        </w:tc>
        <w:tc>
          <w:tcPr>
            <w:tcW w:w="920" w:type="dxa"/>
            <w:vAlign w:val="bottom"/>
            <w:gridSpan w:val="2"/>
            <w:shd w:val="clear" w:color="auto" w:fill="CFF0FC"/>
          </w:tcPr>
          <w:p>
            <w:pPr>
              <w:jc w:val="right"/>
              <w:ind w:right="100"/>
              <w:spacing w:after="0"/>
              <w:rPr>
                <w:sz w:val="20"/>
                <w:szCs w:val="20"/>
                <w:color w:val="auto"/>
              </w:rPr>
            </w:pPr>
            <w:r>
              <w:rPr>
                <w:rFonts w:ascii="Arial" w:cs="Arial" w:eastAsia="Arial" w:hAnsi="Arial"/>
                <w:sz w:val="16"/>
                <w:szCs w:val="16"/>
                <w:color w:val="auto"/>
              </w:rPr>
              <w:t>(1.16 )</w:t>
            </w:r>
          </w:p>
        </w:tc>
        <w:tc>
          <w:tcPr>
            <w:tcW w:w="120" w:type="dxa"/>
            <w:vAlign w:val="bottom"/>
            <w:shd w:val="clear" w:color="auto" w:fill="CFF0FC"/>
          </w:tcPr>
          <w:p>
            <w:pPr>
              <w:jc w:val="right"/>
              <w:spacing w:after="0"/>
              <w:rPr>
                <w:sz w:val="20"/>
                <w:szCs w:val="20"/>
                <w:color w:val="auto"/>
              </w:rPr>
            </w:pPr>
            <w:r>
              <w:rPr>
                <w:rFonts w:ascii="Arial" w:cs="Arial" w:eastAsia="Arial" w:hAnsi="Arial"/>
                <w:sz w:val="16"/>
                <w:szCs w:val="16"/>
                <w:color w:val="auto"/>
                <w:w w:val="89"/>
              </w:rPr>
              <w:t>$</w:t>
            </w:r>
          </w:p>
        </w:tc>
        <w:tc>
          <w:tcPr>
            <w:tcW w:w="102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(0.21 )</w:t>
            </w:r>
          </w:p>
        </w:tc>
      </w:tr>
      <w:tr>
        <w:trPr>
          <w:trHeight w:val="247"/>
        </w:trPr>
        <w:tc>
          <w:tcPr>
            <w:tcW w:w="3700" w:type="dxa"/>
            <w:vAlign w:val="bottom"/>
          </w:tcPr>
          <w:p>
            <w:pPr>
              <w:ind w:left="100"/>
              <w:spacing w:after="0"/>
              <w:rPr>
                <w:sz w:val="20"/>
                <w:szCs w:val="20"/>
                <w:color w:val="auto"/>
              </w:rPr>
            </w:pPr>
            <w:r>
              <w:rPr>
                <w:rFonts w:ascii="Arial" w:cs="Arial" w:eastAsia="Arial" w:hAnsi="Arial"/>
                <w:sz w:val="16"/>
                <w:szCs w:val="16"/>
                <w:color w:val="auto"/>
              </w:rPr>
              <w:t>Diluted</w:t>
            </w:r>
          </w:p>
        </w:tc>
        <w:tc>
          <w:tcPr>
            <w:tcW w:w="340" w:type="dxa"/>
            <w:vAlign w:val="bottom"/>
          </w:tcPr>
          <w:p>
            <w:pPr>
              <w:jc w:val="right"/>
              <w:ind w:right="161"/>
              <w:spacing w:after="0"/>
              <w:rPr>
                <w:sz w:val="20"/>
                <w:szCs w:val="20"/>
                <w:color w:val="auto"/>
              </w:rPr>
            </w:pPr>
            <w:r>
              <w:rPr>
                <w:rFonts w:ascii="Arial" w:cs="Arial" w:eastAsia="Arial" w:hAnsi="Arial"/>
                <w:sz w:val="16"/>
                <w:szCs w:val="16"/>
                <w:color w:val="auto"/>
                <w:w w:val="89"/>
              </w:rPr>
              <w:t>$</w:t>
            </w:r>
          </w:p>
        </w:tc>
        <w:tc>
          <w:tcPr>
            <w:tcW w:w="760" w:type="dxa"/>
            <w:vAlign w:val="bottom"/>
          </w:tcPr>
          <w:p>
            <w:pPr>
              <w:jc w:val="right"/>
              <w:spacing w:after="0"/>
              <w:rPr>
                <w:sz w:val="20"/>
                <w:szCs w:val="20"/>
                <w:color w:val="auto"/>
              </w:rPr>
            </w:pPr>
            <w:r>
              <w:rPr>
                <w:rFonts w:ascii="Arial" w:cs="Arial" w:eastAsia="Arial" w:hAnsi="Arial"/>
                <w:sz w:val="16"/>
                <w:szCs w:val="16"/>
                <w:color w:val="auto"/>
              </w:rPr>
              <w:t>0.20</w:t>
            </w:r>
          </w:p>
        </w:tc>
        <w:tc>
          <w:tcPr>
            <w:tcW w:w="220" w:type="dxa"/>
            <w:vAlign w:val="bottom"/>
          </w:tcPr>
          <w:p>
            <w:pPr>
              <w:spacing w:after="0"/>
              <w:rPr>
                <w:sz w:val="21"/>
                <w:szCs w:val="21"/>
                <w:color w:val="auto"/>
              </w:rPr>
            </w:pPr>
          </w:p>
        </w:tc>
        <w:tc>
          <w:tcPr>
            <w:tcW w:w="360" w:type="dxa"/>
            <w:vAlign w:val="bottom"/>
          </w:tcPr>
          <w:p>
            <w:pPr>
              <w:ind w:left="20"/>
              <w:spacing w:after="0"/>
              <w:rPr>
                <w:sz w:val="20"/>
                <w:szCs w:val="20"/>
                <w:color w:val="auto"/>
              </w:rPr>
            </w:pPr>
            <w:r>
              <w:rPr>
                <w:rFonts w:ascii="Arial" w:cs="Arial" w:eastAsia="Arial" w:hAnsi="Arial"/>
                <w:sz w:val="16"/>
                <w:szCs w:val="16"/>
                <w:color w:val="auto"/>
              </w:rPr>
              <w:t>$</w:t>
            </w:r>
          </w:p>
        </w:tc>
        <w:tc>
          <w:tcPr>
            <w:tcW w:w="980" w:type="dxa"/>
            <w:vAlign w:val="bottom"/>
            <w:gridSpan w:val="2"/>
          </w:tcPr>
          <w:p>
            <w:pPr>
              <w:jc w:val="right"/>
              <w:ind w:right="200"/>
              <w:spacing w:after="0"/>
              <w:rPr>
                <w:sz w:val="20"/>
                <w:szCs w:val="20"/>
                <w:color w:val="auto"/>
              </w:rPr>
            </w:pPr>
            <w:r>
              <w:rPr>
                <w:rFonts w:ascii="Arial" w:cs="Arial" w:eastAsia="Arial" w:hAnsi="Arial"/>
                <w:sz w:val="16"/>
                <w:szCs w:val="16"/>
                <w:color w:val="auto"/>
              </w:rPr>
              <w:t>(0.14 )</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gridSpan w:val="2"/>
          </w:tcPr>
          <w:p>
            <w:pPr>
              <w:jc w:val="right"/>
              <w:ind w:right="140"/>
              <w:spacing w:after="0"/>
              <w:rPr>
                <w:sz w:val="20"/>
                <w:szCs w:val="20"/>
                <w:color w:val="auto"/>
              </w:rPr>
            </w:pPr>
            <w:r>
              <w:rPr>
                <w:rFonts w:ascii="Arial" w:cs="Arial" w:eastAsia="Arial" w:hAnsi="Arial"/>
                <w:sz w:val="16"/>
                <w:szCs w:val="16"/>
                <w:color w:val="auto"/>
              </w:rPr>
              <w:t>(0.14 )</w:t>
            </w:r>
          </w:p>
        </w:tc>
        <w:tc>
          <w:tcPr>
            <w:tcW w:w="320" w:type="dxa"/>
            <w:vAlign w:val="bottom"/>
          </w:tcPr>
          <w:p>
            <w:pPr>
              <w:ind w:left="20"/>
              <w:spacing w:after="0"/>
              <w:rPr>
                <w:sz w:val="20"/>
                <w:szCs w:val="20"/>
                <w:color w:val="auto"/>
              </w:rPr>
            </w:pPr>
            <w:r>
              <w:rPr>
                <w:rFonts w:ascii="Arial" w:cs="Arial" w:eastAsia="Arial" w:hAnsi="Arial"/>
                <w:sz w:val="16"/>
                <w:szCs w:val="16"/>
                <w:color w:val="auto"/>
              </w:rPr>
              <w:t>$</w:t>
            </w:r>
          </w:p>
        </w:tc>
        <w:tc>
          <w:tcPr>
            <w:tcW w:w="740" w:type="dxa"/>
            <w:vAlign w:val="bottom"/>
          </w:tcPr>
          <w:p>
            <w:pPr>
              <w:jc w:val="right"/>
              <w:spacing w:after="0"/>
              <w:rPr>
                <w:sz w:val="20"/>
                <w:szCs w:val="20"/>
                <w:color w:val="auto"/>
              </w:rPr>
            </w:pPr>
            <w:r>
              <w:rPr>
                <w:rFonts w:ascii="Arial" w:cs="Arial" w:eastAsia="Arial" w:hAnsi="Arial"/>
                <w:sz w:val="16"/>
                <w:szCs w:val="16"/>
                <w:color w:val="auto"/>
              </w:rPr>
              <w:t>0.69</w:t>
            </w:r>
          </w:p>
        </w:tc>
        <w:tc>
          <w:tcPr>
            <w:tcW w:w="180" w:type="dxa"/>
            <w:vAlign w:val="bottom"/>
          </w:tcPr>
          <w:p>
            <w:pPr>
              <w:spacing w:after="0"/>
              <w:rPr>
                <w:sz w:val="21"/>
                <w:szCs w:val="21"/>
                <w:color w:val="auto"/>
              </w:rPr>
            </w:pPr>
          </w:p>
        </w:tc>
        <w:tc>
          <w:tcPr>
            <w:tcW w:w="300" w:type="dxa"/>
            <w:vAlign w:val="bottom"/>
          </w:tcPr>
          <w:p>
            <w:pPr>
              <w:ind w:left="20"/>
              <w:spacing w:after="0"/>
              <w:rPr>
                <w:sz w:val="20"/>
                <w:szCs w:val="20"/>
                <w:color w:val="auto"/>
              </w:rPr>
            </w:pPr>
            <w:r>
              <w:rPr>
                <w:rFonts w:ascii="Arial" w:cs="Arial" w:eastAsia="Arial" w:hAnsi="Arial"/>
                <w:sz w:val="16"/>
                <w:szCs w:val="16"/>
                <w:color w:val="auto"/>
              </w:rPr>
              <w:t>$</w:t>
            </w:r>
          </w:p>
        </w:tc>
        <w:tc>
          <w:tcPr>
            <w:tcW w:w="920" w:type="dxa"/>
            <w:vAlign w:val="bottom"/>
            <w:gridSpan w:val="2"/>
          </w:tcPr>
          <w:p>
            <w:pPr>
              <w:jc w:val="right"/>
              <w:ind w:right="100"/>
              <w:spacing w:after="0"/>
              <w:rPr>
                <w:sz w:val="20"/>
                <w:szCs w:val="20"/>
                <w:color w:val="auto"/>
              </w:rPr>
            </w:pPr>
            <w:r>
              <w:rPr>
                <w:rFonts w:ascii="Arial" w:cs="Arial" w:eastAsia="Arial" w:hAnsi="Arial"/>
                <w:sz w:val="16"/>
                <w:szCs w:val="16"/>
                <w:color w:val="auto"/>
              </w:rPr>
              <w:t>(1.16 )</w:t>
            </w: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020" w:type="dxa"/>
            <w:vAlign w:val="bottom"/>
            <w:gridSpan w:val="2"/>
          </w:tcPr>
          <w:p>
            <w:pPr>
              <w:jc w:val="right"/>
              <w:ind w:right="20"/>
              <w:spacing w:after="0"/>
              <w:rPr>
                <w:sz w:val="20"/>
                <w:szCs w:val="20"/>
                <w:color w:val="auto"/>
              </w:rPr>
            </w:pPr>
            <w:r>
              <w:rPr>
                <w:rFonts w:ascii="Arial" w:cs="Arial" w:eastAsia="Arial" w:hAnsi="Arial"/>
                <w:sz w:val="16"/>
                <w:szCs w:val="16"/>
                <w:color w:val="auto"/>
              </w:rPr>
              <w:t>(0.21 )</w:t>
            </w:r>
          </w:p>
        </w:tc>
      </w:tr>
      <w:tr>
        <w:trPr>
          <w:trHeight w:val="266"/>
        </w:trPr>
        <w:tc>
          <w:tcPr>
            <w:tcW w:w="3700" w:type="dxa"/>
            <w:vAlign w:val="bottom"/>
            <w:shd w:val="clear" w:color="auto" w:fill="CFF0FC"/>
          </w:tcPr>
          <w:p>
            <w:pPr>
              <w:spacing w:after="0"/>
              <w:rPr>
                <w:sz w:val="23"/>
                <w:szCs w:val="23"/>
                <w:color w:val="auto"/>
              </w:rPr>
            </w:pPr>
          </w:p>
        </w:tc>
        <w:tc>
          <w:tcPr>
            <w:tcW w:w="340" w:type="dxa"/>
            <w:vAlign w:val="bottom"/>
            <w:shd w:val="clear" w:color="auto" w:fill="CFF0FC"/>
          </w:tcPr>
          <w:p>
            <w:pPr>
              <w:spacing w:after="0"/>
              <w:rPr>
                <w:sz w:val="23"/>
                <w:szCs w:val="23"/>
                <w:color w:val="auto"/>
              </w:rPr>
            </w:pPr>
          </w:p>
        </w:tc>
        <w:tc>
          <w:tcPr>
            <w:tcW w:w="760" w:type="dxa"/>
            <w:vAlign w:val="bottom"/>
            <w:shd w:val="clear" w:color="auto" w:fill="CFF0FC"/>
          </w:tcPr>
          <w:p>
            <w:pPr>
              <w:spacing w:after="0"/>
              <w:rPr>
                <w:sz w:val="23"/>
                <w:szCs w:val="23"/>
                <w:color w:val="auto"/>
              </w:rPr>
            </w:pPr>
          </w:p>
        </w:tc>
        <w:tc>
          <w:tcPr>
            <w:tcW w:w="220" w:type="dxa"/>
            <w:vAlign w:val="bottom"/>
            <w:shd w:val="clear" w:color="auto" w:fill="CFF0FC"/>
          </w:tcPr>
          <w:p>
            <w:pPr>
              <w:spacing w:after="0"/>
              <w:rPr>
                <w:sz w:val="23"/>
                <w:szCs w:val="23"/>
                <w:color w:val="auto"/>
              </w:rPr>
            </w:pPr>
          </w:p>
        </w:tc>
        <w:tc>
          <w:tcPr>
            <w:tcW w:w="360" w:type="dxa"/>
            <w:vAlign w:val="bottom"/>
            <w:shd w:val="clear" w:color="auto" w:fill="CFF0FC"/>
          </w:tcPr>
          <w:p>
            <w:pPr>
              <w:spacing w:after="0"/>
              <w:rPr>
                <w:sz w:val="23"/>
                <w:szCs w:val="23"/>
                <w:color w:val="auto"/>
              </w:rPr>
            </w:pPr>
          </w:p>
        </w:tc>
        <w:tc>
          <w:tcPr>
            <w:tcW w:w="720" w:type="dxa"/>
            <w:vAlign w:val="bottom"/>
            <w:shd w:val="clear" w:color="auto" w:fill="CFF0FC"/>
          </w:tcPr>
          <w:p>
            <w:pPr>
              <w:spacing w:after="0"/>
              <w:rPr>
                <w:sz w:val="23"/>
                <w:szCs w:val="23"/>
                <w:color w:val="auto"/>
              </w:rPr>
            </w:pPr>
          </w:p>
        </w:tc>
        <w:tc>
          <w:tcPr>
            <w:tcW w:w="260" w:type="dxa"/>
            <w:vAlign w:val="bottom"/>
            <w:shd w:val="clear" w:color="auto" w:fill="CFF0FC"/>
          </w:tcPr>
          <w:p>
            <w:pPr>
              <w:spacing w:after="0"/>
              <w:rPr>
                <w:sz w:val="23"/>
                <w:szCs w:val="23"/>
                <w:color w:val="auto"/>
              </w:rPr>
            </w:pPr>
          </w:p>
        </w:tc>
        <w:tc>
          <w:tcPr>
            <w:tcW w:w="120" w:type="dxa"/>
            <w:vAlign w:val="bottom"/>
            <w:shd w:val="clear" w:color="auto" w:fill="CFF0FC"/>
          </w:tcPr>
          <w:p>
            <w:pPr>
              <w:spacing w:after="0"/>
              <w:rPr>
                <w:sz w:val="23"/>
                <w:szCs w:val="23"/>
                <w:color w:val="auto"/>
              </w:rPr>
            </w:pPr>
          </w:p>
        </w:tc>
        <w:tc>
          <w:tcPr>
            <w:tcW w:w="960" w:type="dxa"/>
            <w:vAlign w:val="bottom"/>
            <w:shd w:val="clear" w:color="auto" w:fill="CFF0FC"/>
          </w:tcPr>
          <w:p>
            <w:pPr>
              <w:spacing w:after="0"/>
              <w:rPr>
                <w:sz w:val="23"/>
                <w:szCs w:val="23"/>
                <w:color w:val="auto"/>
              </w:rPr>
            </w:pPr>
          </w:p>
        </w:tc>
        <w:tc>
          <w:tcPr>
            <w:tcW w:w="200" w:type="dxa"/>
            <w:vAlign w:val="bottom"/>
            <w:shd w:val="clear" w:color="auto" w:fill="CFF0FC"/>
          </w:tcPr>
          <w:p>
            <w:pPr>
              <w:spacing w:after="0"/>
              <w:rPr>
                <w:sz w:val="23"/>
                <w:szCs w:val="23"/>
                <w:color w:val="auto"/>
              </w:rPr>
            </w:pPr>
          </w:p>
        </w:tc>
        <w:tc>
          <w:tcPr>
            <w:tcW w:w="320" w:type="dxa"/>
            <w:vAlign w:val="bottom"/>
            <w:shd w:val="clear" w:color="auto" w:fill="CFF0FC"/>
          </w:tcPr>
          <w:p>
            <w:pPr>
              <w:spacing w:after="0"/>
              <w:rPr>
                <w:sz w:val="23"/>
                <w:szCs w:val="23"/>
                <w:color w:val="auto"/>
              </w:rPr>
            </w:pPr>
          </w:p>
        </w:tc>
        <w:tc>
          <w:tcPr>
            <w:tcW w:w="740" w:type="dxa"/>
            <w:vAlign w:val="bottom"/>
            <w:shd w:val="clear" w:color="auto" w:fill="CFF0FC"/>
          </w:tcPr>
          <w:p>
            <w:pPr>
              <w:spacing w:after="0"/>
              <w:rPr>
                <w:sz w:val="23"/>
                <w:szCs w:val="23"/>
                <w:color w:val="auto"/>
              </w:rPr>
            </w:pPr>
          </w:p>
        </w:tc>
        <w:tc>
          <w:tcPr>
            <w:tcW w:w="180" w:type="dxa"/>
            <w:vAlign w:val="bottom"/>
            <w:shd w:val="clear" w:color="auto" w:fill="CFF0FC"/>
          </w:tcPr>
          <w:p>
            <w:pPr>
              <w:spacing w:after="0"/>
              <w:rPr>
                <w:sz w:val="23"/>
                <w:szCs w:val="23"/>
                <w:color w:val="auto"/>
              </w:rPr>
            </w:pPr>
          </w:p>
        </w:tc>
        <w:tc>
          <w:tcPr>
            <w:tcW w:w="300" w:type="dxa"/>
            <w:vAlign w:val="bottom"/>
            <w:shd w:val="clear" w:color="auto" w:fill="CFF0FC"/>
          </w:tcPr>
          <w:p>
            <w:pPr>
              <w:spacing w:after="0"/>
              <w:rPr>
                <w:sz w:val="23"/>
                <w:szCs w:val="23"/>
                <w:color w:val="auto"/>
              </w:rPr>
            </w:pPr>
          </w:p>
        </w:tc>
        <w:tc>
          <w:tcPr>
            <w:tcW w:w="760" w:type="dxa"/>
            <w:vAlign w:val="bottom"/>
            <w:shd w:val="clear" w:color="auto" w:fill="CFF0FC"/>
          </w:tcPr>
          <w:p>
            <w:pPr>
              <w:spacing w:after="0"/>
              <w:rPr>
                <w:sz w:val="23"/>
                <w:szCs w:val="23"/>
                <w:color w:val="auto"/>
              </w:rPr>
            </w:pPr>
          </w:p>
        </w:tc>
        <w:tc>
          <w:tcPr>
            <w:tcW w:w="160" w:type="dxa"/>
            <w:vAlign w:val="bottom"/>
            <w:shd w:val="clear" w:color="auto" w:fill="CFF0FC"/>
          </w:tcPr>
          <w:p>
            <w:pPr>
              <w:spacing w:after="0"/>
              <w:rPr>
                <w:sz w:val="23"/>
                <w:szCs w:val="23"/>
                <w:color w:val="auto"/>
              </w:rPr>
            </w:pPr>
          </w:p>
        </w:tc>
        <w:tc>
          <w:tcPr>
            <w:tcW w:w="120" w:type="dxa"/>
            <w:vAlign w:val="bottom"/>
            <w:shd w:val="clear" w:color="auto" w:fill="CFF0FC"/>
          </w:tcPr>
          <w:p>
            <w:pPr>
              <w:spacing w:after="0"/>
              <w:rPr>
                <w:sz w:val="23"/>
                <w:szCs w:val="23"/>
                <w:color w:val="auto"/>
              </w:rPr>
            </w:pPr>
          </w:p>
        </w:tc>
        <w:tc>
          <w:tcPr>
            <w:tcW w:w="940" w:type="dxa"/>
            <w:vAlign w:val="bottom"/>
            <w:shd w:val="clear" w:color="auto" w:fill="CFF0FC"/>
          </w:tcPr>
          <w:p>
            <w:pPr>
              <w:spacing w:after="0"/>
              <w:rPr>
                <w:sz w:val="23"/>
                <w:szCs w:val="23"/>
                <w:color w:val="auto"/>
              </w:rPr>
            </w:pPr>
          </w:p>
        </w:tc>
        <w:tc>
          <w:tcPr>
            <w:tcW w:w="80" w:type="dxa"/>
            <w:vAlign w:val="bottom"/>
            <w:shd w:val="clear" w:color="auto" w:fill="CFF0FC"/>
          </w:tcPr>
          <w:p>
            <w:pPr>
              <w:spacing w:after="0"/>
              <w:rPr>
                <w:sz w:val="23"/>
                <w:szCs w:val="23"/>
                <w:color w:val="auto"/>
              </w:rPr>
            </w:pPr>
          </w:p>
        </w:tc>
      </w:tr>
      <w:tr>
        <w:trPr>
          <w:trHeight w:val="206"/>
        </w:trPr>
        <w:tc>
          <w:tcPr>
            <w:tcW w:w="3700" w:type="dxa"/>
            <w:vAlign w:val="bottom"/>
          </w:tcPr>
          <w:p>
            <w:pPr>
              <w:ind w:left="20"/>
              <w:spacing w:after="0"/>
              <w:rPr>
                <w:sz w:val="20"/>
                <w:szCs w:val="20"/>
                <w:color w:val="auto"/>
              </w:rPr>
            </w:pPr>
            <w:r>
              <w:rPr>
                <w:rFonts w:ascii="Arial" w:cs="Arial" w:eastAsia="Arial" w:hAnsi="Arial"/>
                <w:sz w:val="16"/>
                <w:szCs w:val="16"/>
                <w:color w:val="auto"/>
              </w:rPr>
              <w:t>Weighted-average number of common shares</w:t>
            </w:r>
          </w:p>
        </w:tc>
        <w:tc>
          <w:tcPr>
            <w:tcW w:w="3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16"/>
        </w:trPr>
        <w:tc>
          <w:tcPr>
            <w:tcW w:w="3700" w:type="dxa"/>
            <w:vAlign w:val="bottom"/>
          </w:tcPr>
          <w:p>
            <w:pPr>
              <w:ind w:left="20"/>
              <w:spacing w:after="0"/>
              <w:rPr>
                <w:sz w:val="20"/>
                <w:szCs w:val="20"/>
                <w:color w:val="auto"/>
              </w:rPr>
            </w:pPr>
            <w:r>
              <w:rPr>
                <w:rFonts w:ascii="Arial" w:cs="Arial" w:eastAsia="Arial" w:hAnsi="Arial"/>
                <w:sz w:val="16"/>
                <w:szCs w:val="16"/>
                <w:color w:val="auto"/>
              </w:rPr>
              <w:t>outstanding:</w:t>
            </w:r>
          </w:p>
        </w:tc>
        <w:tc>
          <w:tcPr>
            <w:tcW w:w="3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39"/>
        </w:trPr>
        <w:tc>
          <w:tcPr>
            <w:tcW w:w="3700" w:type="dxa"/>
            <w:vAlign w:val="bottom"/>
            <w:shd w:val="clear" w:color="auto" w:fill="CFF0FC"/>
          </w:tcPr>
          <w:p>
            <w:pPr>
              <w:ind w:left="200"/>
              <w:spacing w:after="0"/>
              <w:rPr>
                <w:sz w:val="20"/>
                <w:szCs w:val="20"/>
                <w:color w:val="auto"/>
              </w:rPr>
            </w:pPr>
            <w:r>
              <w:rPr>
                <w:rFonts w:ascii="Arial" w:cs="Arial" w:eastAsia="Arial" w:hAnsi="Arial"/>
                <w:sz w:val="16"/>
                <w:szCs w:val="16"/>
                <w:color w:val="auto"/>
              </w:rPr>
              <w:t>Basic</w:t>
            </w:r>
          </w:p>
        </w:tc>
        <w:tc>
          <w:tcPr>
            <w:tcW w:w="340" w:type="dxa"/>
            <w:vAlign w:val="bottom"/>
            <w:shd w:val="clear" w:color="auto" w:fill="CFF0FC"/>
          </w:tcPr>
          <w:p>
            <w:pPr>
              <w:spacing w:after="0"/>
              <w:rPr>
                <w:sz w:val="20"/>
                <w:szCs w:val="20"/>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63,699</w:t>
            </w:r>
          </w:p>
        </w:tc>
        <w:tc>
          <w:tcPr>
            <w:tcW w:w="220" w:type="dxa"/>
            <w:vAlign w:val="bottom"/>
            <w:shd w:val="clear" w:color="auto" w:fill="CFF0FC"/>
          </w:tcPr>
          <w:p>
            <w:pPr>
              <w:spacing w:after="0"/>
              <w:rPr>
                <w:sz w:val="20"/>
                <w:szCs w:val="20"/>
                <w:color w:val="auto"/>
              </w:rPr>
            </w:pPr>
          </w:p>
        </w:tc>
        <w:tc>
          <w:tcPr>
            <w:tcW w:w="360" w:type="dxa"/>
            <w:vAlign w:val="bottom"/>
            <w:shd w:val="clear" w:color="auto" w:fill="CFF0FC"/>
          </w:tcPr>
          <w:p>
            <w:pPr>
              <w:spacing w:after="0"/>
              <w:rPr>
                <w:sz w:val="20"/>
                <w:szCs w:val="20"/>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51,545</w:t>
            </w:r>
          </w:p>
        </w:tc>
        <w:tc>
          <w:tcPr>
            <w:tcW w:w="26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50,089</w:t>
            </w:r>
          </w:p>
        </w:tc>
        <w:tc>
          <w:tcPr>
            <w:tcW w:w="200" w:type="dxa"/>
            <w:vAlign w:val="bottom"/>
            <w:shd w:val="clear" w:color="auto" w:fill="CFF0FC"/>
          </w:tcPr>
          <w:p>
            <w:pPr>
              <w:spacing w:after="0"/>
              <w:rPr>
                <w:sz w:val="20"/>
                <w:szCs w:val="20"/>
                <w:color w:val="auto"/>
              </w:rPr>
            </w:pPr>
          </w:p>
        </w:tc>
        <w:tc>
          <w:tcPr>
            <w:tcW w:w="320" w:type="dxa"/>
            <w:vAlign w:val="bottom"/>
            <w:shd w:val="clear" w:color="auto" w:fill="CFF0FC"/>
          </w:tcPr>
          <w:p>
            <w:pPr>
              <w:spacing w:after="0"/>
              <w:rPr>
                <w:sz w:val="20"/>
                <w:szCs w:val="20"/>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63,126</w:t>
            </w:r>
          </w:p>
        </w:tc>
        <w:tc>
          <w:tcPr>
            <w:tcW w:w="18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51,127</w:t>
            </w:r>
          </w:p>
        </w:tc>
        <w:tc>
          <w:tcPr>
            <w:tcW w:w="16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49,853</w:t>
            </w:r>
          </w:p>
        </w:tc>
        <w:tc>
          <w:tcPr>
            <w:tcW w:w="80" w:type="dxa"/>
            <w:vAlign w:val="bottom"/>
            <w:shd w:val="clear" w:color="auto" w:fill="CFF0FC"/>
          </w:tcPr>
          <w:p>
            <w:pPr>
              <w:spacing w:after="0"/>
              <w:rPr>
                <w:sz w:val="20"/>
                <w:szCs w:val="20"/>
                <w:color w:val="auto"/>
              </w:rPr>
            </w:pPr>
          </w:p>
        </w:tc>
      </w:tr>
      <w:tr>
        <w:trPr>
          <w:trHeight w:val="210"/>
        </w:trPr>
        <w:tc>
          <w:tcPr>
            <w:tcW w:w="3700" w:type="dxa"/>
            <w:vAlign w:val="bottom"/>
          </w:tcPr>
          <w:p>
            <w:pPr>
              <w:ind w:left="200"/>
              <w:spacing w:after="0"/>
              <w:rPr>
                <w:sz w:val="20"/>
                <w:szCs w:val="20"/>
                <w:color w:val="auto"/>
              </w:rPr>
            </w:pPr>
            <w:r>
              <w:rPr>
                <w:rFonts w:ascii="Arial" w:cs="Arial" w:eastAsia="Arial" w:hAnsi="Arial"/>
                <w:sz w:val="16"/>
                <w:szCs w:val="16"/>
                <w:color w:val="auto"/>
              </w:rPr>
              <w:t>Diluted</w:t>
            </w:r>
          </w:p>
        </w:tc>
        <w:tc>
          <w:tcPr>
            <w:tcW w:w="3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68,644</w:t>
            </w:r>
          </w:p>
        </w:tc>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51,545</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50,089</w:t>
            </w: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67,378</w:t>
            </w:r>
          </w:p>
        </w:tc>
        <w:tc>
          <w:tcPr>
            <w:tcW w:w="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51,127</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49,853</w:t>
            </w:r>
          </w:p>
        </w:tc>
        <w:tc>
          <w:tcPr>
            <w:tcW w:w="80" w:type="dxa"/>
            <w:vAlign w:val="bottom"/>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3048000</wp:posOffset>
            </wp:positionH>
            <wp:positionV relativeFrom="paragraph">
              <wp:posOffset>-2838450</wp:posOffset>
            </wp:positionV>
            <wp:extent cx="146050" cy="571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46050" cy="5715"/>
                    </a:xfrm>
                    <a:prstGeom prst="rect">
                      <a:avLst/>
                    </a:prstGeom>
                    <a:noFill/>
                  </pic:spPr>
                </pic:pic>
              </a:graphicData>
            </a:graphic>
          </wp:anchor>
        </w:drawing>
        <w:drawing>
          <wp:anchor simplePos="0" relativeHeight="251657728" behindDoc="1" locked="0" layoutInCell="0" allowOverlap="1">
            <wp:simplePos x="0" y="0"/>
            <wp:positionH relativeFrom="column">
              <wp:posOffset>3870960</wp:posOffset>
            </wp:positionH>
            <wp:positionV relativeFrom="paragraph">
              <wp:posOffset>-2838450</wp:posOffset>
            </wp:positionV>
            <wp:extent cx="94615" cy="571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94615" cy="5715"/>
                    </a:xfrm>
                    <a:prstGeom prst="rect">
                      <a:avLst/>
                    </a:prstGeom>
                    <a:noFill/>
                  </pic:spPr>
                </pic:pic>
              </a:graphicData>
            </a:graphic>
          </wp:anchor>
        </w:drawing>
        <w:drawing>
          <wp:anchor simplePos="0" relativeHeight="251657728" behindDoc="1" locked="0" layoutInCell="0" allowOverlap="1">
            <wp:simplePos x="0" y="0"/>
            <wp:positionH relativeFrom="column">
              <wp:posOffset>4719955</wp:posOffset>
            </wp:positionH>
            <wp:positionV relativeFrom="paragraph">
              <wp:posOffset>-2838450</wp:posOffset>
            </wp:positionV>
            <wp:extent cx="137160" cy="571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37160" cy="5715"/>
                    </a:xfrm>
                    <a:prstGeom prst="rect">
                      <a:avLst/>
                    </a:prstGeom>
                    <a:noFill/>
                  </pic:spPr>
                </pic:pic>
              </a:graphicData>
            </a:graphic>
          </wp:anchor>
        </w:drawing>
        <w:drawing>
          <wp:anchor simplePos="0" relativeHeight="251657728" behindDoc="1" locked="0" layoutInCell="0" allowOverlap="1">
            <wp:simplePos x="0" y="0"/>
            <wp:positionH relativeFrom="column">
              <wp:posOffset>5525770</wp:posOffset>
            </wp:positionH>
            <wp:positionV relativeFrom="paragraph">
              <wp:posOffset>-2838450</wp:posOffset>
            </wp:positionV>
            <wp:extent cx="111125" cy="571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11125" cy="5715"/>
                    </a:xfrm>
                    <a:prstGeom prst="rect">
                      <a:avLst/>
                    </a:prstGeom>
                    <a:noFill/>
                  </pic:spPr>
                </pic:pic>
              </a:graphicData>
            </a:graphic>
          </wp:anchor>
        </w:drawing>
        <w:drawing>
          <wp:anchor simplePos="0" relativeHeight="251657728" behindDoc="1" locked="0" layoutInCell="0" allowOverlap="1">
            <wp:simplePos x="0" y="0"/>
            <wp:positionH relativeFrom="column">
              <wp:posOffset>6305550</wp:posOffset>
            </wp:positionH>
            <wp:positionV relativeFrom="paragraph">
              <wp:posOffset>-2838450</wp:posOffset>
            </wp:positionV>
            <wp:extent cx="111125" cy="571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11125" cy="5715"/>
                    </a:xfrm>
                    <a:prstGeom prst="rect">
                      <a:avLst/>
                    </a:prstGeom>
                    <a:noFill/>
                  </pic:spPr>
                </pic:pic>
              </a:graphicData>
            </a:graphic>
          </wp:anchor>
        </w:drawing>
        <w:drawing>
          <wp:anchor simplePos="0" relativeHeight="251657728" behindDoc="1" locked="0" layoutInCell="0" allowOverlap="1">
            <wp:simplePos x="0" y="0"/>
            <wp:positionH relativeFrom="column">
              <wp:posOffset>7085965</wp:posOffset>
            </wp:positionH>
            <wp:positionV relativeFrom="paragraph">
              <wp:posOffset>-2838450</wp:posOffset>
            </wp:positionV>
            <wp:extent cx="51435" cy="571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51435" cy="5715"/>
                    </a:xfrm>
                    <a:prstGeom prst="rect">
                      <a:avLst/>
                    </a:prstGeom>
                    <a:noFill/>
                  </pic:spPr>
                </pic:pic>
              </a:graphicData>
            </a:graphic>
          </wp:anchor>
        </w:drawing>
        <w:drawing>
          <wp:anchor simplePos="0" relativeHeight="251657728" behindDoc="1" locked="0" layoutInCell="0" allowOverlap="1">
            <wp:simplePos x="0" y="0"/>
            <wp:positionH relativeFrom="column">
              <wp:posOffset>3048000</wp:posOffset>
            </wp:positionH>
            <wp:positionV relativeFrom="paragraph">
              <wp:posOffset>-2247265</wp:posOffset>
            </wp:positionV>
            <wp:extent cx="146050" cy="571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146050" cy="5715"/>
                    </a:xfrm>
                    <a:prstGeom prst="rect">
                      <a:avLst/>
                    </a:prstGeom>
                    <a:noFill/>
                  </pic:spPr>
                </pic:pic>
              </a:graphicData>
            </a:graphic>
          </wp:anchor>
        </w:drawing>
        <w:drawing>
          <wp:anchor simplePos="0" relativeHeight="251657728" behindDoc="1" locked="0" layoutInCell="0" allowOverlap="1">
            <wp:simplePos x="0" y="0"/>
            <wp:positionH relativeFrom="column">
              <wp:posOffset>3870960</wp:posOffset>
            </wp:positionH>
            <wp:positionV relativeFrom="paragraph">
              <wp:posOffset>-2247265</wp:posOffset>
            </wp:positionV>
            <wp:extent cx="94615" cy="571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94615" cy="5715"/>
                    </a:xfrm>
                    <a:prstGeom prst="rect">
                      <a:avLst/>
                    </a:prstGeom>
                    <a:noFill/>
                  </pic:spPr>
                </pic:pic>
              </a:graphicData>
            </a:graphic>
          </wp:anchor>
        </w:drawing>
        <w:drawing>
          <wp:anchor simplePos="0" relativeHeight="251657728" behindDoc="1" locked="0" layoutInCell="0" allowOverlap="1">
            <wp:simplePos x="0" y="0"/>
            <wp:positionH relativeFrom="column">
              <wp:posOffset>4719955</wp:posOffset>
            </wp:positionH>
            <wp:positionV relativeFrom="paragraph">
              <wp:posOffset>-2247265</wp:posOffset>
            </wp:positionV>
            <wp:extent cx="137160" cy="571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137160" cy="5715"/>
                    </a:xfrm>
                    <a:prstGeom prst="rect">
                      <a:avLst/>
                    </a:prstGeom>
                    <a:noFill/>
                  </pic:spPr>
                </pic:pic>
              </a:graphicData>
            </a:graphic>
          </wp:anchor>
        </w:drawing>
        <w:drawing>
          <wp:anchor simplePos="0" relativeHeight="251657728" behindDoc="1" locked="0" layoutInCell="0" allowOverlap="1">
            <wp:simplePos x="0" y="0"/>
            <wp:positionH relativeFrom="column">
              <wp:posOffset>5525770</wp:posOffset>
            </wp:positionH>
            <wp:positionV relativeFrom="paragraph">
              <wp:posOffset>-2247265</wp:posOffset>
            </wp:positionV>
            <wp:extent cx="111125" cy="571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111125" cy="5715"/>
                    </a:xfrm>
                    <a:prstGeom prst="rect">
                      <a:avLst/>
                    </a:prstGeom>
                    <a:noFill/>
                  </pic:spPr>
                </pic:pic>
              </a:graphicData>
            </a:graphic>
          </wp:anchor>
        </w:drawing>
        <w:drawing>
          <wp:anchor simplePos="0" relativeHeight="251657728" behindDoc="1" locked="0" layoutInCell="0" allowOverlap="1">
            <wp:simplePos x="0" y="0"/>
            <wp:positionH relativeFrom="column">
              <wp:posOffset>6305550</wp:posOffset>
            </wp:positionH>
            <wp:positionV relativeFrom="paragraph">
              <wp:posOffset>-2247265</wp:posOffset>
            </wp:positionV>
            <wp:extent cx="111125" cy="571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111125" cy="5715"/>
                    </a:xfrm>
                    <a:prstGeom prst="rect">
                      <a:avLst/>
                    </a:prstGeom>
                    <a:noFill/>
                  </pic:spPr>
                </pic:pic>
              </a:graphicData>
            </a:graphic>
          </wp:anchor>
        </w:drawing>
        <w:drawing>
          <wp:anchor simplePos="0" relativeHeight="251657728" behindDoc="1" locked="0" layoutInCell="0" allowOverlap="1">
            <wp:simplePos x="0" y="0"/>
            <wp:positionH relativeFrom="column">
              <wp:posOffset>7085965</wp:posOffset>
            </wp:positionH>
            <wp:positionV relativeFrom="paragraph">
              <wp:posOffset>-2247265</wp:posOffset>
            </wp:positionV>
            <wp:extent cx="51435" cy="571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51435" cy="5715"/>
                    </a:xfrm>
                    <a:prstGeom prst="rect">
                      <a:avLst/>
                    </a:prstGeom>
                    <a:noFill/>
                  </pic:spPr>
                </pic:pic>
              </a:graphicData>
            </a:graphic>
          </wp:anchor>
        </w:drawing>
      </w:r>
    </w:p>
    <w:p>
      <w:pPr>
        <w:spacing w:after="0" w:line="22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237490</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3" w:right="339" w:bottom="1440" w:gutter="0" w:footer="0" w:header="0"/>
        </w:sectPr>
      </w:pPr>
    </w:p>
    <w:bookmarkStart w:id="10" w:name="page11"/>
    <w:bookmarkEnd w:id="10"/>
    <w:p>
      <w:pPr>
        <w:jc w:val="center"/>
        <w:ind w:right="80"/>
        <w:spacing w:after="0"/>
        <w:rPr>
          <w:sz w:val="20"/>
          <w:szCs w:val="20"/>
          <w:color w:val="auto"/>
        </w:rPr>
      </w:pPr>
      <w:r>
        <w:rPr>
          <w:rFonts w:ascii="Arial" w:cs="Arial" w:eastAsia="Arial" w:hAnsi="Arial"/>
          <w:sz w:val="18"/>
          <w:szCs w:val="18"/>
          <w:color w:val="auto"/>
        </w:rPr>
        <w:t>DESTINATION XL GROUP, INC.</w:t>
      </w:r>
    </w:p>
    <w:p>
      <w:pPr>
        <w:spacing w:after="0" w:line="50" w:lineRule="exact"/>
        <w:rPr>
          <w:sz w:val="20"/>
          <w:szCs w:val="20"/>
          <w:color w:val="auto"/>
        </w:rPr>
      </w:pPr>
    </w:p>
    <w:p>
      <w:pPr>
        <w:jc w:val="center"/>
        <w:ind w:right="80"/>
        <w:spacing w:after="0"/>
        <w:rPr>
          <w:sz w:val="20"/>
          <w:szCs w:val="20"/>
          <w:color w:val="auto"/>
        </w:rPr>
      </w:pPr>
      <w:r>
        <w:rPr>
          <w:rFonts w:ascii="Arial" w:cs="Arial" w:eastAsia="Arial" w:hAnsi="Arial"/>
          <w:sz w:val="18"/>
          <w:szCs w:val="18"/>
          <w:color w:val="auto"/>
        </w:rPr>
        <w:t>CONDENSED CONSOLIDATED BALANCE SHEETS</w:t>
      </w:r>
    </w:p>
    <w:p>
      <w:pPr>
        <w:spacing w:after="0" w:line="50" w:lineRule="exact"/>
        <w:rPr>
          <w:sz w:val="20"/>
          <w:szCs w:val="20"/>
          <w:color w:val="auto"/>
        </w:rPr>
      </w:pPr>
    </w:p>
    <w:p>
      <w:pPr>
        <w:jc w:val="center"/>
        <w:ind w:right="80"/>
        <w:spacing w:after="0"/>
        <w:rPr>
          <w:sz w:val="20"/>
          <w:szCs w:val="20"/>
          <w:color w:val="auto"/>
        </w:rPr>
      </w:pPr>
      <w:r>
        <w:rPr>
          <w:rFonts w:ascii="Arial" w:cs="Arial" w:eastAsia="Arial" w:hAnsi="Arial"/>
          <w:sz w:val="18"/>
          <w:szCs w:val="18"/>
          <w:color w:val="auto"/>
        </w:rPr>
        <w:t>October 30, 2021, January 30, 2021 and October 31, 2020</w:t>
      </w:r>
    </w:p>
    <w:p>
      <w:pPr>
        <w:spacing w:after="0" w:line="50" w:lineRule="exact"/>
        <w:rPr>
          <w:sz w:val="20"/>
          <w:szCs w:val="20"/>
          <w:color w:val="auto"/>
        </w:rPr>
      </w:pPr>
    </w:p>
    <w:p>
      <w:pPr>
        <w:jc w:val="center"/>
        <w:ind w:right="80"/>
        <w:spacing w:after="0"/>
        <w:rPr>
          <w:sz w:val="20"/>
          <w:szCs w:val="20"/>
          <w:color w:val="auto"/>
        </w:rPr>
      </w:pPr>
      <w:r>
        <w:rPr>
          <w:rFonts w:ascii="Arial" w:cs="Arial" w:eastAsia="Arial" w:hAnsi="Arial"/>
          <w:sz w:val="18"/>
          <w:szCs w:val="18"/>
          <w:color w:val="auto"/>
        </w:rPr>
        <w:t>(In thousands)</w:t>
      </w:r>
    </w:p>
    <w:p>
      <w:pPr>
        <w:spacing w:after="0" w:line="50" w:lineRule="exact"/>
        <w:rPr>
          <w:sz w:val="20"/>
          <w:szCs w:val="20"/>
          <w:color w:val="auto"/>
        </w:rPr>
      </w:pPr>
    </w:p>
    <w:p>
      <w:pPr>
        <w:jc w:val="center"/>
        <w:ind w:right="80"/>
        <w:spacing w:after="0"/>
        <w:rPr>
          <w:sz w:val="20"/>
          <w:szCs w:val="20"/>
          <w:color w:val="auto"/>
        </w:rPr>
      </w:pPr>
      <w:r>
        <w:rPr>
          <w:rFonts w:ascii="Arial" w:cs="Arial" w:eastAsia="Arial" w:hAnsi="Arial"/>
          <w:sz w:val="18"/>
          <w:szCs w:val="18"/>
          <w:color w:val="auto"/>
        </w:rPr>
        <w:t>(unaudited)</w:t>
      </w:r>
    </w:p>
    <w:p>
      <w:pPr>
        <w:spacing w:after="0" w:line="200" w:lineRule="exact"/>
        <w:rPr>
          <w:sz w:val="20"/>
          <w:szCs w:val="20"/>
          <w:color w:val="auto"/>
        </w:rPr>
      </w:pPr>
    </w:p>
    <w:p>
      <w:pPr>
        <w:spacing w:after="0" w:line="358"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57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400" w:type="dxa"/>
            <w:vAlign w:val="bottom"/>
          </w:tcPr>
          <w:p>
            <w:pPr>
              <w:jc w:val="right"/>
              <w:ind w:right="432"/>
              <w:spacing w:after="0"/>
              <w:rPr>
                <w:sz w:val="20"/>
                <w:szCs w:val="20"/>
                <w:color w:val="auto"/>
              </w:rPr>
            </w:pPr>
            <w:r>
              <w:rPr>
                <w:rFonts w:ascii="Arial" w:cs="Arial" w:eastAsia="Arial" w:hAnsi="Arial"/>
                <w:sz w:val="14"/>
                <w:szCs w:val="14"/>
                <w:color w:val="auto"/>
              </w:rPr>
              <w:t>October 30,</w:t>
            </w:r>
          </w:p>
        </w:tc>
        <w:tc>
          <w:tcPr>
            <w:tcW w:w="2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460" w:type="dxa"/>
            <w:vAlign w:val="bottom"/>
            <w:gridSpan w:val="2"/>
          </w:tcPr>
          <w:p>
            <w:pPr>
              <w:jc w:val="right"/>
              <w:ind w:right="600"/>
              <w:spacing w:after="0"/>
              <w:rPr>
                <w:sz w:val="20"/>
                <w:szCs w:val="20"/>
                <w:color w:val="auto"/>
              </w:rPr>
            </w:pPr>
            <w:r>
              <w:rPr>
                <w:rFonts w:ascii="Arial" w:cs="Arial" w:eastAsia="Arial" w:hAnsi="Arial"/>
                <w:sz w:val="14"/>
                <w:szCs w:val="14"/>
                <w:color w:val="auto"/>
              </w:rPr>
              <w:t>January 30,</w:t>
            </w:r>
          </w:p>
        </w:tc>
        <w:tc>
          <w:tcPr>
            <w:tcW w:w="300" w:type="dxa"/>
            <w:vAlign w:val="bottom"/>
          </w:tcPr>
          <w:p>
            <w:pPr>
              <w:spacing w:after="0"/>
              <w:rPr>
                <w:sz w:val="15"/>
                <w:szCs w:val="15"/>
                <w:color w:val="auto"/>
              </w:rPr>
            </w:pPr>
          </w:p>
        </w:tc>
        <w:tc>
          <w:tcPr>
            <w:tcW w:w="1380" w:type="dxa"/>
            <w:vAlign w:val="bottom"/>
          </w:tcPr>
          <w:p>
            <w:pPr>
              <w:jc w:val="right"/>
              <w:ind w:right="412"/>
              <w:spacing w:after="0"/>
              <w:rPr>
                <w:sz w:val="20"/>
                <w:szCs w:val="20"/>
                <w:color w:val="auto"/>
              </w:rPr>
            </w:pPr>
            <w:r>
              <w:rPr>
                <w:rFonts w:ascii="Arial" w:cs="Arial" w:eastAsia="Arial" w:hAnsi="Arial"/>
                <w:sz w:val="14"/>
                <w:szCs w:val="14"/>
                <w:color w:val="auto"/>
              </w:rPr>
              <w:t>October 31,</w:t>
            </w:r>
          </w:p>
        </w:tc>
        <w:tc>
          <w:tcPr>
            <w:tcW w:w="80" w:type="dxa"/>
            <w:vAlign w:val="bottom"/>
          </w:tcPr>
          <w:p>
            <w:pPr>
              <w:spacing w:after="0"/>
              <w:rPr>
                <w:sz w:val="15"/>
                <w:szCs w:val="15"/>
                <w:color w:val="auto"/>
              </w:rPr>
            </w:pPr>
          </w:p>
        </w:tc>
      </w:tr>
      <w:tr>
        <w:trPr>
          <w:trHeight w:val="209"/>
        </w:trPr>
        <w:tc>
          <w:tcPr>
            <w:tcW w:w="578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ind w:right="632"/>
              <w:spacing w:after="0"/>
              <w:rPr>
                <w:sz w:val="20"/>
                <w:szCs w:val="20"/>
                <w:color w:val="auto"/>
              </w:rPr>
            </w:pPr>
            <w:r>
              <w:rPr>
                <w:rFonts w:ascii="Arial" w:cs="Arial" w:eastAsia="Arial" w:hAnsi="Arial"/>
                <w:sz w:val="14"/>
                <w:szCs w:val="14"/>
                <w:color w:val="auto"/>
              </w:rPr>
              <w:t>2021</w:t>
            </w:r>
          </w:p>
        </w:tc>
        <w:tc>
          <w:tcPr>
            <w:tcW w:w="24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ind w:right="612"/>
              <w:spacing w:after="0"/>
              <w:rPr>
                <w:sz w:val="20"/>
                <w:szCs w:val="20"/>
                <w:color w:val="auto"/>
              </w:rPr>
            </w:pPr>
            <w:r>
              <w:rPr>
                <w:rFonts w:ascii="Arial" w:cs="Arial" w:eastAsia="Arial" w:hAnsi="Arial"/>
                <w:sz w:val="14"/>
                <w:szCs w:val="14"/>
                <w:color w:val="auto"/>
              </w:rPr>
              <w:t>2021</w:t>
            </w:r>
          </w:p>
        </w:tc>
        <w:tc>
          <w:tcPr>
            <w:tcW w:w="8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ind w:right="612"/>
              <w:spacing w:after="0"/>
              <w:rPr>
                <w:sz w:val="20"/>
                <w:szCs w:val="20"/>
                <w:color w:val="auto"/>
              </w:rPr>
            </w:pPr>
            <w:r>
              <w:rPr>
                <w:rFonts w:ascii="Arial" w:cs="Arial" w:eastAsia="Arial" w:hAnsi="Arial"/>
                <w:sz w:val="14"/>
                <w:szCs w:val="14"/>
                <w:color w:val="auto"/>
              </w:rPr>
              <w:t>2020</w:t>
            </w:r>
          </w:p>
        </w:tc>
        <w:tc>
          <w:tcPr>
            <w:tcW w:w="80" w:type="dxa"/>
            <w:vAlign w:val="bottom"/>
          </w:tcPr>
          <w:p>
            <w:pPr>
              <w:spacing w:after="0"/>
              <w:rPr>
                <w:sz w:val="18"/>
                <w:szCs w:val="18"/>
                <w:color w:val="auto"/>
              </w:rPr>
            </w:pPr>
          </w:p>
        </w:tc>
      </w:tr>
      <w:tr>
        <w:trPr>
          <w:trHeight w:val="256"/>
        </w:trPr>
        <w:tc>
          <w:tcPr>
            <w:tcW w:w="5780" w:type="dxa"/>
            <w:vAlign w:val="bottom"/>
            <w:shd w:val="clear" w:color="auto" w:fill="CFF0FC"/>
          </w:tcPr>
          <w:p>
            <w:pPr>
              <w:ind w:left="20"/>
              <w:spacing w:after="0"/>
              <w:rPr>
                <w:sz w:val="20"/>
                <w:szCs w:val="20"/>
                <w:color w:val="auto"/>
              </w:rPr>
            </w:pPr>
            <w:r>
              <w:rPr>
                <w:rFonts w:ascii="Arial" w:cs="Arial" w:eastAsia="Arial" w:hAnsi="Arial"/>
                <w:sz w:val="18"/>
                <w:szCs w:val="18"/>
                <w:color w:val="auto"/>
              </w:rPr>
              <w:t>ASSETS</w:t>
            </w:r>
          </w:p>
        </w:tc>
        <w:tc>
          <w:tcPr>
            <w:tcW w:w="300" w:type="dxa"/>
            <w:vAlign w:val="bottom"/>
            <w:shd w:val="clear" w:color="auto" w:fill="CFF0FC"/>
          </w:tcPr>
          <w:p>
            <w:pPr>
              <w:spacing w:after="0"/>
              <w:rPr>
                <w:sz w:val="22"/>
                <w:szCs w:val="22"/>
                <w:color w:val="auto"/>
              </w:rPr>
            </w:pPr>
          </w:p>
        </w:tc>
        <w:tc>
          <w:tcPr>
            <w:tcW w:w="1400" w:type="dxa"/>
            <w:vAlign w:val="bottom"/>
            <w:shd w:val="clear" w:color="auto" w:fill="CFF0FC"/>
          </w:tcPr>
          <w:p>
            <w:pPr>
              <w:spacing w:after="0"/>
              <w:rPr>
                <w:sz w:val="22"/>
                <w:szCs w:val="22"/>
                <w:color w:val="auto"/>
              </w:rPr>
            </w:pPr>
          </w:p>
        </w:tc>
        <w:tc>
          <w:tcPr>
            <w:tcW w:w="240" w:type="dxa"/>
            <w:vAlign w:val="bottom"/>
            <w:shd w:val="clear" w:color="auto" w:fill="CFF0FC"/>
          </w:tcPr>
          <w:p>
            <w:pPr>
              <w:spacing w:after="0"/>
              <w:rPr>
                <w:sz w:val="22"/>
                <w:szCs w:val="22"/>
                <w:color w:val="auto"/>
              </w:rPr>
            </w:pPr>
          </w:p>
        </w:tc>
        <w:tc>
          <w:tcPr>
            <w:tcW w:w="300" w:type="dxa"/>
            <w:vAlign w:val="bottom"/>
            <w:shd w:val="clear" w:color="auto" w:fill="CFF0FC"/>
          </w:tcPr>
          <w:p>
            <w:pPr>
              <w:spacing w:after="0"/>
              <w:rPr>
                <w:sz w:val="22"/>
                <w:szCs w:val="22"/>
                <w:color w:val="auto"/>
              </w:rPr>
            </w:pPr>
          </w:p>
        </w:tc>
        <w:tc>
          <w:tcPr>
            <w:tcW w:w="1380" w:type="dxa"/>
            <w:vAlign w:val="bottom"/>
            <w:shd w:val="clear" w:color="auto" w:fill="CFF0FC"/>
          </w:tcPr>
          <w:p>
            <w:pPr>
              <w:spacing w:after="0"/>
              <w:rPr>
                <w:sz w:val="22"/>
                <w:szCs w:val="22"/>
                <w:color w:val="auto"/>
              </w:rPr>
            </w:pPr>
          </w:p>
        </w:tc>
        <w:tc>
          <w:tcPr>
            <w:tcW w:w="80" w:type="dxa"/>
            <w:vAlign w:val="bottom"/>
            <w:shd w:val="clear" w:color="auto" w:fill="CFF0FC"/>
          </w:tcPr>
          <w:p>
            <w:pPr>
              <w:spacing w:after="0"/>
              <w:rPr>
                <w:sz w:val="22"/>
                <w:szCs w:val="22"/>
                <w:color w:val="auto"/>
              </w:rPr>
            </w:pPr>
          </w:p>
        </w:tc>
        <w:tc>
          <w:tcPr>
            <w:tcW w:w="300" w:type="dxa"/>
            <w:vAlign w:val="bottom"/>
            <w:shd w:val="clear" w:color="auto" w:fill="CFF0FC"/>
          </w:tcPr>
          <w:p>
            <w:pPr>
              <w:spacing w:after="0"/>
              <w:rPr>
                <w:sz w:val="22"/>
                <w:szCs w:val="22"/>
                <w:color w:val="auto"/>
              </w:rPr>
            </w:pPr>
          </w:p>
        </w:tc>
        <w:tc>
          <w:tcPr>
            <w:tcW w:w="1380" w:type="dxa"/>
            <w:vAlign w:val="bottom"/>
            <w:shd w:val="clear" w:color="auto" w:fill="CFF0FC"/>
          </w:tcPr>
          <w:p>
            <w:pPr>
              <w:spacing w:after="0"/>
              <w:rPr>
                <w:sz w:val="22"/>
                <w:szCs w:val="22"/>
                <w:color w:val="auto"/>
              </w:rPr>
            </w:pPr>
          </w:p>
        </w:tc>
        <w:tc>
          <w:tcPr>
            <w:tcW w:w="80" w:type="dxa"/>
            <w:vAlign w:val="bottom"/>
            <w:shd w:val="clear" w:color="auto" w:fill="CFF0FC"/>
          </w:tcPr>
          <w:p>
            <w:pPr>
              <w:spacing w:after="0"/>
              <w:rPr>
                <w:sz w:val="22"/>
                <w:szCs w:val="22"/>
                <w:color w:val="auto"/>
              </w:rPr>
            </w:pPr>
          </w:p>
        </w:tc>
      </w:tr>
      <w:tr>
        <w:trPr>
          <w:trHeight w:val="257"/>
        </w:trPr>
        <w:tc>
          <w:tcPr>
            <w:tcW w:w="57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540" w:type="dxa"/>
            <w:vAlign w:val="bottom"/>
            <w:gridSpan w:val="2"/>
          </w:tcPr>
          <w:p>
            <w:pPr>
              <w:spacing w:after="0"/>
              <w:rPr>
                <w:sz w:val="22"/>
                <w:szCs w:val="22"/>
                <w:color w:val="auto"/>
              </w:rPr>
            </w:pPr>
          </w:p>
        </w:tc>
        <w:tc>
          <w:tcPr>
            <w:tcW w:w="13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380" w:type="dxa"/>
            <w:vAlign w:val="bottom"/>
          </w:tcPr>
          <w:p>
            <w:pPr>
              <w:spacing w:after="0"/>
              <w:rPr>
                <w:sz w:val="22"/>
                <w:szCs w:val="22"/>
                <w:color w:val="auto"/>
              </w:rPr>
            </w:pPr>
          </w:p>
        </w:tc>
        <w:tc>
          <w:tcPr>
            <w:tcW w:w="80" w:type="dxa"/>
            <w:vAlign w:val="bottom"/>
          </w:tcPr>
          <w:p>
            <w:pPr>
              <w:spacing w:after="0"/>
              <w:rPr>
                <w:sz w:val="22"/>
                <w:szCs w:val="22"/>
                <w:color w:val="auto"/>
              </w:rPr>
            </w:pPr>
          </w:p>
        </w:tc>
      </w:tr>
      <w:tr>
        <w:trPr>
          <w:trHeight w:val="257"/>
        </w:trPr>
        <w:tc>
          <w:tcPr>
            <w:tcW w:w="5780" w:type="dxa"/>
            <w:vAlign w:val="bottom"/>
            <w:shd w:val="clear" w:color="auto" w:fill="CFF0FC"/>
          </w:tcPr>
          <w:p>
            <w:pPr>
              <w:ind w:left="20"/>
              <w:spacing w:after="0"/>
              <w:rPr>
                <w:sz w:val="20"/>
                <w:szCs w:val="20"/>
                <w:color w:val="auto"/>
              </w:rPr>
            </w:pPr>
            <w:r>
              <w:rPr>
                <w:rFonts w:ascii="Arial" w:cs="Arial" w:eastAsia="Arial" w:hAnsi="Arial"/>
                <w:sz w:val="18"/>
                <w:szCs w:val="18"/>
                <w:color w:val="auto"/>
              </w:rPr>
              <w:t>Cash and cash equivalents</w:t>
            </w:r>
          </w:p>
        </w:tc>
        <w:tc>
          <w:tcPr>
            <w:tcW w:w="30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6,937</w:t>
            </w:r>
          </w:p>
        </w:tc>
        <w:tc>
          <w:tcPr>
            <w:tcW w:w="540" w:type="dxa"/>
            <w:vAlign w:val="bottom"/>
            <w:gridSpan w:val="2"/>
            <w:shd w:val="clear" w:color="auto" w:fill="CFF0FC"/>
          </w:tcPr>
          <w:p>
            <w:pPr>
              <w:jc w:val="right"/>
              <w:ind w:right="110"/>
              <w:spacing w:after="0"/>
              <w:rPr>
                <w:sz w:val="20"/>
                <w:szCs w:val="20"/>
                <w:color w:val="auto"/>
              </w:rPr>
            </w:pPr>
            <w:r>
              <w:rPr>
                <w:rFonts w:ascii="Arial" w:cs="Arial" w:eastAsia="Arial" w:hAnsi="Arial"/>
                <w:sz w:val="18"/>
                <w:szCs w:val="18"/>
                <w:color w:val="auto"/>
              </w:rPr>
              <w:t>$</w:t>
            </w: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18,997</w:t>
            </w:r>
          </w:p>
        </w:tc>
        <w:tc>
          <w:tcPr>
            <w:tcW w:w="80" w:type="dxa"/>
            <w:vAlign w:val="bottom"/>
            <w:shd w:val="clear" w:color="auto" w:fill="CFF0FC"/>
          </w:tcPr>
          <w:p>
            <w:pPr>
              <w:spacing w:after="0"/>
              <w:rPr>
                <w:sz w:val="22"/>
                <w:szCs w:val="22"/>
                <w:color w:val="auto"/>
              </w:rPr>
            </w:pPr>
          </w:p>
        </w:tc>
        <w:tc>
          <w:tcPr>
            <w:tcW w:w="30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21,417</w:t>
            </w:r>
          </w:p>
        </w:tc>
        <w:tc>
          <w:tcPr>
            <w:tcW w:w="80" w:type="dxa"/>
            <w:vAlign w:val="bottom"/>
            <w:shd w:val="clear" w:color="auto" w:fill="CFF0FC"/>
          </w:tcPr>
          <w:p>
            <w:pPr>
              <w:spacing w:after="0"/>
              <w:rPr>
                <w:sz w:val="22"/>
                <w:szCs w:val="22"/>
                <w:color w:val="auto"/>
              </w:rPr>
            </w:pPr>
          </w:p>
        </w:tc>
      </w:tr>
      <w:tr>
        <w:trPr>
          <w:trHeight w:val="250"/>
        </w:trPr>
        <w:tc>
          <w:tcPr>
            <w:tcW w:w="5780" w:type="dxa"/>
            <w:vAlign w:val="bottom"/>
          </w:tcPr>
          <w:p>
            <w:pPr>
              <w:ind w:left="20"/>
              <w:spacing w:after="0"/>
              <w:rPr>
                <w:sz w:val="20"/>
                <w:szCs w:val="20"/>
                <w:color w:val="auto"/>
              </w:rPr>
            </w:pPr>
            <w:r>
              <w:rPr>
                <w:rFonts w:ascii="Arial" w:cs="Arial" w:eastAsia="Arial" w:hAnsi="Arial"/>
                <w:sz w:val="18"/>
                <w:szCs w:val="18"/>
                <w:color w:val="auto"/>
              </w:rPr>
              <w:t>Inventories</w:t>
            </w:r>
          </w:p>
        </w:tc>
        <w:tc>
          <w:tcPr>
            <w:tcW w:w="30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82,284</w:t>
            </w:r>
          </w:p>
        </w:tc>
        <w:tc>
          <w:tcPr>
            <w:tcW w:w="2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85,028</w:t>
            </w:r>
          </w:p>
        </w:tc>
        <w:tc>
          <w:tcPr>
            <w:tcW w:w="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94,898</w:t>
            </w:r>
          </w:p>
        </w:tc>
        <w:tc>
          <w:tcPr>
            <w:tcW w:w="80" w:type="dxa"/>
            <w:vAlign w:val="bottom"/>
          </w:tcPr>
          <w:p>
            <w:pPr>
              <w:spacing w:after="0"/>
              <w:rPr>
                <w:sz w:val="21"/>
                <w:szCs w:val="21"/>
                <w:color w:val="auto"/>
              </w:rPr>
            </w:pPr>
          </w:p>
        </w:tc>
      </w:tr>
      <w:tr>
        <w:trPr>
          <w:trHeight w:val="263"/>
        </w:trPr>
        <w:tc>
          <w:tcPr>
            <w:tcW w:w="5780" w:type="dxa"/>
            <w:vAlign w:val="bottom"/>
            <w:shd w:val="clear" w:color="auto" w:fill="CFF0FC"/>
          </w:tcPr>
          <w:p>
            <w:pPr>
              <w:ind w:left="20"/>
              <w:spacing w:after="0"/>
              <w:rPr>
                <w:sz w:val="20"/>
                <w:szCs w:val="20"/>
                <w:color w:val="auto"/>
              </w:rPr>
            </w:pPr>
            <w:r>
              <w:rPr>
                <w:rFonts w:ascii="Arial" w:cs="Arial" w:eastAsia="Arial" w:hAnsi="Arial"/>
                <w:sz w:val="18"/>
                <w:szCs w:val="18"/>
                <w:color w:val="auto"/>
              </w:rPr>
              <w:t>Other current assets</w:t>
            </w:r>
          </w:p>
        </w:tc>
        <w:tc>
          <w:tcPr>
            <w:tcW w:w="300" w:type="dxa"/>
            <w:vAlign w:val="bottom"/>
            <w:shd w:val="clear" w:color="auto" w:fill="CFF0FC"/>
          </w:tcPr>
          <w:p>
            <w:pPr>
              <w:spacing w:after="0"/>
              <w:rPr>
                <w:sz w:val="22"/>
                <w:szCs w:val="22"/>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8,530</w:t>
            </w:r>
          </w:p>
        </w:tc>
        <w:tc>
          <w:tcPr>
            <w:tcW w:w="240" w:type="dxa"/>
            <w:vAlign w:val="bottom"/>
            <w:shd w:val="clear" w:color="auto" w:fill="CFF0FC"/>
          </w:tcPr>
          <w:p>
            <w:pPr>
              <w:spacing w:after="0"/>
              <w:rPr>
                <w:sz w:val="22"/>
                <w:szCs w:val="22"/>
                <w:color w:val="auto"/>
              </w:rPr>
            </w:pPr>
          </w:p>
        </w:tc>
        <w:tc>
          <w:tcPr>
            <w:tcW w:w="300" w:type="dxa"/>
            <w:vAlign w:val="bottom"/>
            <w:shd w:val="clear" w:color="auto" w:fill="CFF0FC"/>
          </w:tcPr>
          <w:p>
            <w:pPr>
              <w:spacing w:after="0"/>
              <w:rPr>
                <w:sz w:val="22"/>
                <w:szCs w:val="22"/>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10,105</w:t>
            </w:r>
          </w:p>
        </w:tc>
        <w:tc>
          <w:tcPr>
            <w:tcW w:w="80" w:type="dxa"/>
            <w:vAlign w:val="bottom"/>
            <w:shd w:val="clear" w:color="auto" w:fill="CFF0FC"/>
          </w:tcPr>
          <w:p>
            <w:pPr>
              <w:spacing w:after="0"/>
              <w:rPr>
                <w:sz w:val="22"/>
                <w:szCs w:val="22"/>
                <w:color w:val="auto"/>
              </w:rPr>
            </w:pPr>
          </w:p>
        </w:tc>
        <w:tc>
          <w:tcPr>
            <w:tcW w:w="300" w:type="dxa"/>
            <w:vAlign w:val="bottom"/>
            <w:shd w:val="clear" w:color="auto" w:fill="CFF0FC"/>
          </w:tcPr>
          <w:p>
            <w:pPr>
              <w:spacing w:after="0"/>
              <w:rPr>
                <w:sz w:val="22"/>
                <w:szCs w:val="22"/>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10,757</w:t>
            </w:r>
          </w:p>
        </w:tc>
        <w:tc>
          <w:tcPr>
            <w:tcW w:w="80" w:type="dxa"/>
            <w:vAlign w:val="bottom"/>
            <w:shd w:val="clear" w:color="auto" w:fill="CFF0FC"/>
          </w:tcPr>
          <w:p>
            <w:pPr>
              <w:spacing w:after="0"/>
              <w:rPr>
                <w:sz w:val="22"/>
                <w:szCs w:val="22"/>
                <w:color w:val="auto"/>
              </w:rPr>
            </w:pPr>
          </w:p>
        </w:tc>
      </w:tr>
      <w:tr>
        <w:trPr>
          <w:trHeight w:val="250"/>
        </w:trPr>
        <w:tc>
          <w:tcPr>
            <w:tcW w:w="5780" w:type="dxa"/>
            <w:vAlign w:val="bottom"/>
          </w:tcPr>
          <w:p>
            <w:pPr>
              <w:ind w:left="20"/>
              <w:spacing w:after="0"/>
              <w:rPr>
                <w:sz w:val="20"/>
                <w:szCs w:val="20"/>
                <w:color w:val="auto"/>
              </w:rPr>
            </w:pPr>
            <w:r>
              <w:rPr>
                <w:rFonts w:ascii="Arial" w:cs="Arial" w:eastAsia="Arial" w:hAnsi="Arial"/>
                <w:sz w:val="18"/>
                <w:szCs w:val="18"/>
                <w:color w:val="auto"/>
              </w:rPr>
              <w:t>Property and equipment, net</w:t>
            </w:r>
          </w:p>
        </w:tc>
        <w:tc>
          <w:tcPr>
            <w:tcW w:w="30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45,769</w:t>
            </w:r>
          </w:p>
        </w:tc>
        <w:tc>
          <w:tcPr>
            <w:tcW w:w="2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56,552</w:t>
            </w:r>
          </w:p>
        </w:tc>
        <w:tc>
          <w:tcPr>
            <w:tcW w:w="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60,617</w:t>
            </w:r>
          </w:p>
        </w:tc>
        <w:tc>
          <w:tcPr>
            <w:tcW w:w="80" w:type="dxa"/>
            <w:vAlign w:val="bottom"/>
          </w:tcPr>
          <w:p>
            <w:pPr>
              <w:spacing w:after="0"/>
              <w:rPr>
                <w:sz w:val="21"/>
                <w:szCs w:val="21"/>
                <w:color w:val="auto"/>
              </w:rPr>
            </w:pPr>
          </w:p>
        </w:tc>
      </w:tr>
      <w:tr>
        <w:trPr>
          <w:trHeight w:val="263"/>
        </w:trPr>
        <w:tc>
          <w:tcPr>
            <w:tcW w:w="5780" w:type="dxa"/>
            <w:vAlign w:val="bottom"/>
            <w:shd w:val="clear" w:color="auto" w:fill="CFF0FC"/>
          </w:tcPr>
          <w:p>
            <w:pPr>
              <w:ind w:left="20"/>
              <w:spacing w:after="0"/>
              <w:rPr>
                <w:sz w:val="20"/>
                <w:szCs w:val="20"/>
                <w:color w:val="auto"/>
              </w:rPr>
            </w:pPr>
            <w:r>
              <w:rPr>
                <w:rFonts w:ascii="Arial" w:cs="Arial" w:eastAsia="Arial" w:hAnsi="Arial"/>
                <w:sz w:val="18"/>
                <w:szCs w:val="18"/>
                <w:color w:val="auto"/>
              </w:rPr>
              <w:t>Operating lease right-of-use assets</w:t>
            </w:r>
          </w:p>
        </w:tc>
        <w:tc>
          <w:tcPr>
            <w:tcW w:w="300" w:type="dxa"/>
            <w:vAlign w:val="bottom"/>
            <w:shd w:val="clear" w:color="auto" w:fill="CFF0FC"/>
          </w:tcPr>
          <w:p>
            <w:pPr>
              <w:spacing w:after="0"/>
              <w:rPr>
                <w:sz w:val="22"/>
                <w:szCs w:val="22"/>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118,684</w:t>
            </w:r>
          </w:p>
        </w:tc>
        <w:tc>
          <w:tcPr>
            <w:tcW w:w="240" w:type="dxa"/>
            <w:vAlign w:val="bottom"/>
            <w:shd w:val="clear" w:color="auto" w:fill="CFF0FC"/>
          </w:tcPr>
          <w:p>
            <w:pPr>
              <w:spacing w:after="0"/>
              <w:rPr>
                <w:sz w:val="22"/>
                <w:szCs w:val="22"/>
                <w:color w:val="auto"/>
              </w:rPr>
            </w:pPr>
          </w:p>
        </w:tc>
        <w:tc>
          <w:tcPr>
            <w:tcW w:w="300" w:type="dxa"/>
            <w:vAlign w:val="bottom"/>
            <w:shd w:val="clear" w:color="auto" w:fill="CFF0FC"/>
          </w:tcPr>
          <w:p>
            <w:pPr>
              <w:spacing w:after="0"/>
              <w:rPr>
                <w:sz w:val="22"/>
                <w:szCs w:val="22"/>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134,321</w:t>
            </w:r>
          </w:p>
        </w:tc>
        <w:tc>
          <w:tcPr>
            <w:tcW w:w="80" w:type="dxa"/>
            <w:vAlign w:val="bottom"/>
            <w:shd w:val="clear" w:color="auto" w:fill="CFF0FC"/>
          </w:tcPr>
          <w:p>
            <w:pPr>
              <w:spacing w:after="0"/>
              <w:rPr>
                <w:sz w:val="22"/>
                <w:szCs w:val="22"/>
                <w:color w:val="auto"/>
              </w:rPr>
            </w:pPr>
          </w:p>
        </w:tc>
        <w:tc>
          <w:tcPr>
            <w:tcW w:w="300" w:type="dxa"/>
            <w:vAlign w:val="bottom"/>
            <w:shd w:val="clear" w:color="auto" w:fill="CFF0FC"/>
          </w:tcPr>
          <w:p>
            <w:pPr>
              <w:spacing w:after="0"/>
              <w:rPr>
                <w:sz w:val="22"/>
                <w:szCs w:val="22"/>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147,540</w:t>
            </w:r>
          </w:p>
        </w:tc>
        <w:tc>
          <w:tcPr>
            <w:tcW w:w="80" w:type="dxa"/>
            <w:vAlign w:val="bottom"/>
            <w:shd w:val="clear" w:color="auto" w:fill="CFF0FC"/>
          </w:tcPr>
          <w:p>
            <w:pPr>
              <w:spacing w:after="0"/>
              <w:rPr>
                <w:sz w:val="22"/>
                <w:szCs w:val="22"/>
                <w:color w:val="auto"/>
              </w:rPr>
            </w:pPr>
          </w:p>
        </w:tc>
      </w:tr>
      <w:tr>
        <w:trPr>
          <w:trHeight w:val="250"/>
        </w:trPr>
        <w:tc>
          <w:tcPr>
            <w:tcW w:w="5780" w:type="dxa"/>
            <w:vAlign w:val="bottom"/>
          </w:tcPr>
          <w:p>
            <w:pPr>
              <w:ind w:left="20"/>
              <w:spacing w:after="0"/>
              <w:rPr>
                <w:sz w:val="20"/>
                <w:szCs w:val="20"/>
                <w:color w:val="auto"/>
              </w:rPr>
            </w:pPr>
            <w:r>
              <w:rPr>
                <w:rFonts w:ascii="Arial" w:cs="Arial" w:eastAsia="Arial" w:hAnsi="Arial"/>
                <w:sz w:val="18"/>
                <w:szCs w:val="18"/>
                <w:color w:val="auto"/>
              </w:rPr>
              <w:t>Intangible assets</w:t>
            </w:r>
          </w:p>
        </w:tc>
        <w:tc>
          <w:tcPr>
            <w:tcW w:w="30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1,150</w:t>
            </w:r>
          </w:p>
        </w:tc>
        <w:tc>
          <w:tcPr>
            <w:tcW w:w="2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1,150</w:t>
            </w:r>
          </w:p>
        </w:tc>
        <w:tc>
          <w:tcPr>
            <w:tcW w:w="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1,150</w:t>
            </w:r>
          </w:p>
        </w:tc>
        <w:tc>
          <w:tcPr>
            <w:tcW w:w="80" w:type="dxa"/>
            <w:vAlign w:val="bottom"/>
          </w:tcPr>
          <w:p>
            <w:pPr>
              <w:spacing w:after="0"/>
              <w:rPr>
                <w:sz w:val="21"/>
                <w:szCs w:val="21"/>
                <w:color w:val="auto"/>
              </w:rPr>
            </w:pPr>
          </w:p>
        </w:tc>
      </w:tr>
      <w:tr>
        <w:trPr>
          <w:trHeight w:val="263"/>
        </w:trPr>
        <w:tc>
          <w:tcPr>
            <w:tcW w:w="578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Other assets</w:t>
            </w:r>
          </w:p>
        </w:tc>
        <w:tc>
          <w:tcPr>
            <w:tcW w:w="300" w:type="dxa"/>
            <w:vAlign w:val="bottom"/>
            <w:tcBorders>
              <w:bottom w:val="single" w:sz="8" w:color="auto"/>
            </w:tcBorders>
            <w:shd w:val="clear" w:color="auto" w:fill="CFF0FC"/>
          </w:tcPr>
          <w:p>
            <w:pPr>
              <w:spacing w:after="0"/>
              <w:rPr>
                <w:sz w:val="22"/>
                <w:szCs w:val="22"/>
                <w:color w:val="auto"/>
              </w:rPr>
            </w:pPr>
          </w:p>
        </w:tc>
        <w:tc>
          <w:tcPr>
            <w:tcW w:w="14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567</w:t>
            </w:r>
          </w:p>
        </w:tc>
        <w:tc>
          <w:tcPr>
            <w:tcW w:w="240" w:type="dxa"/>
            <w:vAlign w:val="bottom"/>
            <w:tcBorders>
              <w:bottom w:val="single" w:sz="8" w:color="CFF0FC"/>
            </w:tcBorders>
            <w:shd w:val="clear" w:color="auto" w:fill="CFF0FC"/>
          </w:tcPr>
          <w:p>
            <w:pPr>
              <w:spacing w:after="0"/>
              <w:rPr>
                <w:sz w:val="22"/>
                <w:szCs w:val="22"/>
                <w:color w:val="auto"/>
              </w:rPr>
            </w:pPr>
          </w:p>
        </w:tc>
        <w:tc>
          <w:tcPr>
            <w:tcW w:w="300" w:type="dxa"/>
            <w:vAlign w:val="bottom"/>
            <w:tcBorders>
              <w:bottom w:val="single" w:sz="8" w:color="auto"/>
            </w:tcBorders>
            <w:shd w:val="clear" w:color="auto" w:fill="CFF0FC"/>
          </w:tcPr>
          <w:p>
            <w:pPr>
              <w:spacing w:after="0"/>
              <w:rPr>
                <w:sz w:val="22"/>
                <w:szCs w:val="22"/>
                <w:color w:val="auto"/>
              </w:rPr>
            </w:pPr>
          </w:p>
        </w:tc>
        <w:tc>
          <w:tcPr>
            <w:tcW w:w="13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602</w:t>
            </w:r>
          </w:p>
        </w:tc>
        <w:tc>
          <w:tcPr>
            <w:tcW w:w="80" w:type="dxa"/>
            <w:vAlign w:val="bottom"/>
            <w:tcBorders>
              <w:bottom w:val="single" w:sz="8" w:color="CFF0FC"/>
            </w:tcBorders>
            <w:shd w:val="clear" w:color="auto" w:fill="CFF0FC"/>
          </w:tcPr>
          <w:p>
            <w:pPr>
              <w:spacing w:after="0"/>
              <w:rPr>
                <w:sz w:val="22"/>
                <w:szCs w:val="22"/>
                <w:color w:val="auto"/>
              </w:rPr>
            </w:pPr>
          </w:p>
        </w:tc>
        <w:tc>
          <w:tcPr>
            <w:tcW w:w="300" w:type="dxa"/>
            <w:vAlign w:val="bottom"/>
            <w:tcBorders>
              <w:bottom w:val="single" w:sz="8" w:color="auto"/>
            </w:tcBorders>
            <w:shd w:val="clear" w:color="auto" w:fill="CFF0FC"/>
          </w:tcPr>
          <w:p>
            <w:pPr>
              <w:spacing w:after="0"/>
              <w:rPr>
                <w:sz w:val="22"/>
                <w:szCs w:val="22"/>
                <w:color w:val="auto"/>
              </w:rPr>
            </w:pPr>
          </w:p>
        </w:tc>
        <w:tc>
          <w:tcPr>
            <w:tcW w:w="13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540</w:t>
            </w:r>
          </w:p>
        </w:tc>
        <w:tc>
          <w:tcPr>
            <w:tcW w:w="80" w:type="dxa"/>
            <w:vAlign w:val="bottom"/>
            <w:tcBorders>
              <w:bottom w:val="single" w:sz="8" w:color="CFF0FC"/>
            </w:tcBorders>
            <w:shd w:val="clear" w:color="auto" w:fill="CFF0FC"/>
          </w:tcPr>
          <w:p>
            <w:pPr>
              <w:spacing w:after="0"/>
              <w:rPr>
                <w:sz w:val="22"/>
                <w:szCs w:val="22"/>
                <w:color w:val="auto"/>
              </w:rPr>
            </w:pPr>
          </w:p>
        </w:tc>
      </w:tr>
      <w:tr>
        <w:trPr>
          <w:trHeight w:val="250"/>
        </w:trPr>
        <w:tc>
          <w:tcPr>
            <w:tcW w:w="5780" w:type="dxa"/>
            <w:vAlign w:val="bottom"/>
          </w:tcPr>
          <w:p>
            <w:pPr>
              <w:ind w:left="200"/>
              <w:spacing w:after="0"/>
              <w:rPr>
                <w:sz w:val="20"/>
                <w:szCs w:val="20"/>
                <w:color w:val="auto"/>
              </w:rPr>
            </w:pPr>
            <w:r>
              <w:rPr>
                <w:rFonts w:ascii="Arial" w:cs="Arial" w:eastAsia="Arial" w:hAnsi="Arial"/>
                <w:sz w:val="18"/>
                <w:szCs w:val="18"/>
                <w:color w:val="auto"/>
              </w:rPr>
              <w:t>Total assets</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400" w:type="dxa"/>
            <w:vAlign w:val="bottom"/>
          </w:tcPr>
          <w:p>
            <w:pPr>
              <w:jc w:val="right"/>
              <w:spacing w:after="0"/>
              <w:rPr>
                <w:sz w:val="20"/>
                <w:szCs w:val="20"/>
                <w:color w:val="auto"/>
              </w:rPr>
            </w:pPr>
            <w:r>
              <w:rPr>
                <w:rFonts w:ascii="Arial" w:cs="Arial" w:eastAsia="Arial" w:hAnsi="Arial"/>
                <w:sz w:val="18"/>
                <w:szCs w:val="18"/>
                <w:color w:val="auto"/>
              </w:rPr>
              <w:t>263,921</w:t>
            </w:r>
          </w:p>
        </w:tc>
        <w:tc>
          <w:tcPr>
            <w:tcW w:w="540" w:type="dxa"/>
            <w:vAlign w:val="bottom"/>
            <w:gridSpan w:val="2"/>
          </w:tcPr>
          <w:p>
            <w:pPr>
              <w:jc w:val="right"/>
              <w:ind w:right="110"/>
              <w:spacing w:after="0"/>
              <w:rPr>
                <w:sz w:val="20"/>
                <w:szCs w:val="20"/>
                <w:color w:val="auto"/>
              </w:rPr>
            </w:pPr>
            <w:r>
              <w:rPr>
                <w:rFonts w:ascii="Arial" w:cs="Arial" w:eastAsia="Arial" w:hAnsi="Arial"/>
                <w:sz w:val="18"/>
                <w:szCs w:val="18"/>
                <w:color w:val="auto"/>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306,755</w:t>
            </w:r>
          </w:p>
        </w:tc>
        <w:tc>
          <w:tcPr>
            <w:tcW w:w="80" w:type="dxa"/>
            <w:vAlign w:val="bottom"/>
          </w:tcPr>
          <w:p>
            <w:pPr>
              <w:spacing w:after="0"/>
              <w:rPr>
                <w:sz w:val="21"/>
                <w:szCs w:val="21"/>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336,919</w:t>
            </w:r>
          </w:p>
        </w:tc>
        <w:tc>
          <w:tcPr>
            <w:tcW w:w="80" w:type="dxa"/>
            <w:vAlign w:val="bottom"/>
          </w:tcPr>
          <w:p>
            <w:pPr>
              <w:spacing w:after="0"/>
              <w:rPr>
                <w:sz w:val="21"/>
                <w:szCs w:val="21"/>
                <w:color w:val="auto"/>
              </w:rPr>
            </w:pPr>
          </w:p>
        </w:tc>
      </w:tr>
      <w:tr>
        <w:trPr>
          <w:trHeight w:val="20"/>
        </w:trPr>
        <w:tc>
          <w:tcPr>
            <w:tcW w:w="578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37"/>
        </w:trPr>
        <w:tc>
          <w:tcPr>
            <w:tcW w:w="578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140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138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138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r>
      <w:tr>
        <w:trPr>
          <w:trHeight w:val="250"/>
        </w:trPr>
        <w:tc>
          <w:tcPr>
            <w:tcW w:w="5780" w:type="dxa"/>
            <w:vAlign w:val="bottom"/>
          </w:tcPr>
          <w:p>
            <w:pPr>
              <w:ind w:left="20"/>
              <w:spacing w:after="0"/>
              <w:rPr>
                <w:sz w:val="20"/>
                <w:szCs w:val="20"/>
                <w:color w:val="auto"/>
              </w:rPr>
            </w:pPr>
            <w:r>
              <w:rPr>
                <w:rFonts w:ascii="Arial" w:cs="Arial" w:eastAsia="Arial" w:hAnsi="Arial"/>
                <w:sz w:val="18"/>
                <w:szCs w:val="18"/>
                <w:color w:val="auto"/>
              </w:rPr>
              <w:t>LIABILITIES AND STOCKHOLDERS' EQUITY (DEFICIT)</w:t>
            </w:r>
          </w:p>
        </w:tc>
        <w:tc>
          <w:tcPr>
            <w:tcW w:w="30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80" w:type="dxa"/>
            <w:vAlign w:val="bottom"/>
          </w:tcPr>
          <w:p>
            <w:pPr>
              <w:spacing w:after="0"/>
              <w:rPr>
                <w:sz w:val="21"/>
                <w:szCs w:val="21"/>
                <w:color w:val="auto"/>
              </w:rPr>
            </w:pPr>
          </w:p>
        </w:tc>
      </w:tr>
      <w:tr>
        <w:trPr>
          <w:trHeight w:val="263"/>
        </w:trPr>
        <w:tc>
          <w:tcPr>
            <w:tcW w:w="5780" w:type="dxa"/>
            <w:vAlign w:val="bottom"/>
            <w:shd w:val="clear" w:color="auto" w:fill="CFF0FC"/>
          </w:tcPr>
          <w:p>
            <w:pPr>
              <w:spacing w:after="0"/>
              <w:rPr>
                <w:sz w:val="22"/>
                <w:szCs w:val="22"/>
                <w:color w:val="auto"/>
              </w:rPr>
            </w:pPr>
          </w:p>
        </w:tc>
        <w:tc>
          <w:tcPr>
            <w:tcW w:w="300" w:type="dxa"/>
            <w:vAlign w:val="bottom"/>
            <w:shd w:val="clear" w:color="auto" w:fill="CFF0FC"/>
          </w:tcPr>
          <w:p>
            <w:pPr>
              <w:spacing w:after="0"/>
              <w:rPr>
                <w:sz w:val="22"/>
                <w:szCs w:val="22"/>
                <w:color w:val="auto"/>
              </w:rPr>
            </w:pPr>
          </w:p>
        </w:tc>
        <w:tc>
          <w:tcPr>
            <w:tcW w:w="1400" w:type="dxa"/>
            <w:vAlign w:val="bottom"/>
            <w:shd w:val="clear" w:color="auto" w:fill="CFF0FC"/>
          </w:tcPr>
          <w:p>
            <w:pPr>
              <w:spacing w:after="0"/>
              <w:rPr>
                <w:sz w:val="22"/>
                <w:szCs w:val="22"/>
                <w:color w:val="auto"/>
              </w:rPr>
            </w:pPr>
          </w:p>
        </w:tc>
        <w:tc>
          <w:tcPr>
            <w:tcW w:w="540" w:type="dxa"/>
            <w:vAlign w:val="bottom"/>
            <w:gridSpan w:val="2"/>
            <w:shd w:val="clear" w:color="auto" w:fill="CFF0FC"/>
          </w:tcPr>
          <w:p>
            <w:pPr>
              <w:spacing w:after="0"/>
              <w:rPr>
                <w:sz w:val="22"/>
                <w:szCs w:val="22"/>
                <w:color w:val="auto"/>
              </w:rPr>
            </w:pPr>
          </w:p>
        </w:tc>
        <w:tc>
          <w:tcPr>
            <w:tcW w:w="1380" w:type="dxa"/>
            <w:vAlign w:val="bottom"/>
            <w:shd w:val="clear" w:color="auto" w:fill="CFF0FC"/>
          </w:tcPr>
          <w:p>
            <w:pPr>
              <w:spacing w:after="0"/>
              <w:rPr>
                <w:sz w:val="22"/>
                <w:szCs w:val="22"/>
                <w:color w:val="auto"/>
              </w:rPr>
            </w:pPr>
          </w:p>
        </w:tc>
        <w:tc>
          <w:tcPr>
            <w:tcW w:w="80" w:type="dxa"/>
            <w:vAlign w:val="bottom"/>
            <w:shd w:val="clear" w:color="auto" w:fill="CFF0FC"/>
          </w:tcPr>
          <w:p>
            <w:pPr>
              <w:spacing w:after="0"/>
              <w:rPr>
                <w:sz w:val="22"/>
                <w:szCs w:val="22"/>
                <w:color w:val="auto"/>
              </w:rPr>
            </w:pPr>
          </w:p>
        </w:tc>
        <w:tc>
          <w:tcPr>
            <w:tcW w:w="300" w:type="dxa"/>
            <w:vAlign w:val="bottom"/>
            <w:shd w:val="clear" w:color="auto" w:fill="CFF0FC"/>
          </w:tcPr>
          <w:p>
            <w:pPr>
              <w:spacing w:after="0"/>
              <w:rPr>
                <w:sz w:val="22"/>
                <w:szCs w:val="22"/>
                <w:color w:val="auto"/>
              </w:rPr>
            </w:pPr>
          </w:p>
        </w:tc>
        <w:tc>
          <w:tcPr>
            <w:tcW w:w="1380" w:type="dxa"/>
            <w:vAlign w:val="bottom"/>
            <w:shd w:val="clear" w:color="auto" w:fill="CFF0FC"/>
          </w:tcPr>
          <w:p>
            <w:pPr>
              <w:spacing w:after="0"/>
              <w:rPr>
                <w:sz w:val="22"/>
                <w:szCs w:val="22"/>
                <w:color w:val="auto"/>
              </w:rPr>
            </w:pPr>
          </w:p>
        </w:tc>
        <w:tc>
          <w:tcPr>
            <w:tcW w:w="80" w:type="dxa"/>
            <w:vAlign w:val="bottom"/>
            <w:shd w:val="clear" w:color="auto" w:fill="CFF0FC"/>
          </w:tcPr>
          <w:p>
            <w:pPr>
              <w:spacing w:after="0"/>
              <w:rPr>
                <w:sz w:val="22"/>
                <w:szCs w:val="22"/>
                <w:color w:val="auto"/>
              </w:rPr>
            </w:pPr>
          </w:p>
        </w:tc>
      </w:tr>
      <w:tr>
        <w:trPr>
          <w:trHeight w:val="250"/>
        </w:trPr>
        <w:tc>
          <w:tcPr>
            <w:tcW w:w="5780" w:type="dxa"/>
            <w:vAlign w:val="bottom"/>
          </w:tcPr>
          <w:p>
            <w:pPr>
              <w:ind w:left="20"/>
              <w:spacing w:after="0"/>
              <w:rPr>
                <w:sz w:val="20"/>
                <w:szCs w:val="20"/>
                <w:color w:val="auto"/>
              </w:rPr>
            </w:pPr>
            <w:r>
              <w:rPr>
                <w:rFonts w:ascii="Arial" w:cs="Arial" w:eastAsia="Arial" w:hAnsi="Arial"/>
                <w:sz w:val="18"/>
                <w:szCs w:val="18"/>
                <w:color w:val="auto"/>
              </w:rPr>
              <w:t>Accounts payable</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400" w:type="dxa"/>
            <w:vAlign w:val="bottom"/>
          </w:tcPr>
          <w:p>
            <w:pPr>
              <w:jc w:val="right"/>
              <w:spacing w:after="0"/>
              <w:rPr>
                <w:sz w:val="20"/>
                <w:szCs w:val="20"/>
                <w:color w:val="auto"/>
              </w:rPr>
            </w:pPr>
            <w:r>
              <w:rPr>
                <w:rFonts w:ascii="Arial" w:cs="Arial" w:eastAsia="Arial" w:hAnsi="Arial"/>
                <w:sz w:val="18"/>
                <w:szCs w:val="18"/>
                <w:color w:val="auto"/>
              </w:rPr>
              <w:t>29,765</w:t>
            </w:r>
          </w:p>
        </w:tc>
        <w:tc>
          <w:tcPr>
            <w:tcW w:w="540" w:type="dxa"/>
            <w:vAlign w:val="bottom"/>
            <w:gridSpan w:val="2"/>
          </w:tcPr>
          <w:p>
            <w:pPr>
              <w:jc w:val="right"/>
              <w:ind w:right="110"/>
              <w:spacing w:after="0"/>
              <w:rPr>
                <w:sz w:val="20"/>
                <w:szCs w:val="20"/>
                <w:color w:val="auto"/>
              </w:rPr>
            </w:pPr>
            <w:r>
              <w:rPr>
                <w:rFonts w:ascii="Arial" w:cs="Arial" w:eastAsia="Arial" w:hAnsi="Arial"/>
                <w:sz w:val="18"/>
                <w:szCs w:val="18"/>
                <w:color w:val="auto"/>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27,091</w:t>
            </w:r>
          </w:p>
        </w:tc>
        <w:tc>
          <w:tcPr>
            <w:tcW w:w="80" w:type="dxa"/>
            <w:vAlign w:val="bottom"/>
          </w:tcPr>
          <w:p>
            <w:pPr>
              <w:spacing w:after="0"/>
              <w:rPr>
                <w:sz w:val="21"/>
                <w:szCs w:val="21"/>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28,580</w:t>
            </w:r>
          </w:p>
        </w:tc>
        <w:tc>
          <w:tcPr>
            <w:tcW w:w="80" w:type="dxa"/>
            <w:vAlign w:val="bottom"/>
          </w:tcPr>
          <w:p>
            <w:pPr>
              <w:spacing w:after="0"/>
              <w:rPr>
                <w:sz w:val="21"/>
                <w:szCs w:val="21"/>
                <w:color w:val="auto"/>
              </w:rPr>
            </w:pPr>
          </w:p>
        </w:tc>
      </w:tr>
      <w:tr>
        <w:trPr>
          <w:trHeight w:val="263"/>
        </w:trPr>
        <w:tc>
          <w:tcPr>
            <w:tcW w:w="5780" w:type="dxa"/>
            <w:vAlign w:val="bottom"/>
            <w:shd w:val="clear" w:color="auto" w:fill="CFF0FC"/>
          </w:tcPr>
          <w:p>
            <w:pPr>
              <w:ind w:left="20"/>
              <w:spacing w:after="0"/>
              <w:rPr>
                <w:sz w:val="20"/>
                <w:szCs w:val="20"/>
                <w:color w:val="auto"/>
              </w:rPr>
            </w:pPr>
            <w:r>
              <w:rPr>
                <w:rFonts w:ascii="Arial" w:cs="Arial" w:eastAsia="Arial" w:hAnsi="Arial"/>
                <w:sz w:val="18"/>
                <w:szCs w:val="18"/>
                <w:color w:val="auto"/>
              </w:rPr>
              <w:t>Accrued expenses and other liabilities</w:t>
            </w:r>
          </w:p>
        </w:tc>
        <w:tc>
          <w:tcPr>
            <w:tcW w:w="300" w:type="dxa"/>
            <w:vAlign w:val="bottom"/>
            <w:shd w:val="clear" w:color="auto" w:fill="CFF0FC"/>
          </w:tcPr>
          <w:p>
            <w:pPr>
              <w:spacing w:after="0"/>
              <w:rPr>
                <w:sz w:val="22"/>
                <w:szCs w:val="22"/>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37,021</w:t>
            </w:r>
          </w:p>
        </w:tc>
        <w:tc>
          <w:tcPr>
            <w:tcW w:w="240" w:type="dxa"/>
            <w:vAlign w:val="bottom"/>
            <w:shd w:val="clear" w:color="auto" w:fill="CFF0FC"/>
          </w:tcPr>
          <w:p>
            <w:pPr>
              <w:spacing w:after="0"/>
              <w:rPr>
                <w:sz w:val="22"/>
                <w:szCs w:val="22"/>
                <w:color w:val="auto"/>
              </w:rPr>
            </w:pPr>
          </w:p>
        </w:tc>
        <w:tc>
          <w:tcPr>
            <w:tcW w:w="300" w:type="dxa"/>
            <w:vAlign w:val="bottom"/>
            <w:shd w:val="clear" w:color="auto" w:fill="CFF0FC"/>
          </w:tcPr>
          <w:p>
            <w:pPr>
              <w:spacing w:after="0"/>
              <w:rPr>
                <w:sz w:val="22"/>
                <w:szCs w:val="22"/>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29,934</w:t>
            </w:r>
          </w:p>
        </w:tc>
        <w:tc>
          <w:tcPr>
            <w:tcW w:w="80" w:type="dxa"/>
            <w:vAlign w:val="bottom"/>
            <w:shd w:val="clear" w:color="auto" w:fill="CFF0FC"/>
          </w:tcPr>
          <w:p>
            <w:pPr>
              <w:spacing w:after="0"/>
              <w:rPr>
                <w:sz w:val="22"/>
                <w:szCs w:val="22"/>
                <w:color w:val="auto"/>
              </w:rPr>
            </w:pPr>
          </w:p>
        </w:tc>
        <w:tc>
          <w:tcPr>
            <w:tcW w:w="300" w:type="dxa"/>
            <w:vAlign w:val="bottom"/>
            <w:shd w:val="clear" w:color="auto" w:fill="CFF0FC"/>
          </w:tcPr>
          <w:p>
            <w:pPr>
              <w:spacing w:after="0"/>
              <w:rPr>
                <w:sz w:val="22"/>
                <w:szCs w:val="22"/>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27,886</w:t>
            </w:r>
          </w:p>
        </w:tc>
        <w:tc>
          <w:tcPr>
            <w:tcW w:w="80" w:type="dxa"/>
            <w:vAlign w:val="bottom"/>
            <w:shd w:val="clear" w:color="auto" w:fill="CFF0FC"/>
          </w:tcPr>
          <w:p>
            <w:pPr>
              <w:spacing w:after="0"/>
              <w:rPr>
                <w:sz w:val="22"/>
                <w:szCs w:val="22"/>
                <w:color w:val="auto"/>
              </w:rPr>
            </w:pPr>
          </w:p>
        </w:tc>
      </w:tr>
      <w:tr>
        <w:trPr>
          <w:trHeight w:val="250"/>
        </w:trPr>
        <w:tc>
          <w:tcPr>
            <w:tcW w:w="5780" w:type="dxa"/>
            <w:vAlign w:val="bottom"/>
          </w:tcPr>
          <w:p>
            <w:pPr>
              <w:ind w:left="20"/>
              <w:spacing w:after="0"/>
              <w:rPr>
                <w:sz w:val="20"/>
                <w:szCs w:val="20"/>
                <w:color w:val="auto"/>
              </w:rPr>
            </w:pPr>
            <w:r>
              <w:rPr>
                <w:rFonts w:ascii="Arial" w:cs="Arial" w:eastAsia="Arial" w:hAnsi="Arial"/>
                <w:sz w:val="18"/>
                <w:szCs w:val="18"/>
                <w:color w:val="auto"/>
              </w:rPr>
              <w:t>Operating leases</w:t>
            </w:r>
          </w:p>
        </w:tc>
        <w:tc>
          <w:tcPr>
            <w:tcW w:w="30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149,402</w:t>
            </w:r>
          </w:p>
        </w:tc>
        <w:tc>
          <w:tcPr>
            <w:tcW w:w="2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179,417</w:t>
            </w:r>
          </w:p>
        </w:tc>
        <w:tc>
          <w:tcPr>
            <w:tcW w:w="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196,522</w:t>
            </w:r>
          </w:p>
        </w:tc>
        <w:tc>
          <w:tcPr>
            <w:tcW w:w="80" w:type="dxa"/>
            <w:vAlign w:val="bottom"/>
          </w:tcPr>
          <w:p>
            <w:pPr>
              <w:spacing w:after="0"/>
              <w:rPr>
                <w:sz w:val="21"/>
                <w:szCs w:val="21"/>
                <w:color w:val="auto"/>
              </w:rPr>
            </w:pPr>
          </w:p>
        </w:tc>
      </w:tr>
      <w:tr>
        <w:trPr>
          <w:trHeight w:val="263"/>
        </w:trPr>
        <w:tc>
          <w:tcPr>
            <w:tcW w:w="5780" w:type="dxa"/>
            <w:vAlign w:val="bottom"/>
            <w:shd w:val="clear" w:color="auto" w:fill="CFF0FC"/>
          </w:tcPr>
          <w:p>
            <w:pPr>
              <w:ind w:left="20"/>
              <w:spacing w:after="0"/>
              <w:rPr>
                <w:sz w:val="20"/>
                <w:szCs w:val="20"/>
                <w:color w:val="auto"/>
              </w:rPr>
            </w:pPr>
            <w:r>
              <w:rPr>
                <w:rFonts w:ascii="Arial" w:cs="Arial" w:eastAsia="Arial" w:hAnsi="Arial"/>
                <w:sz w:val="18"/>
                <w:szCs w:val="18"/>
                <w:color w:val="auto"/>
              </w:rPr>
              <w:t>Long-term debt</w:t>
            </w:r>
          </w:p>
        </w:tc>
        <w:tc>
          <w:tcPr>
            <w:tcW w:w="300" w:type="dxa"/>
            <w:vAlign w:val="bottom"/>
            <w:shd w:val="clear" w:color="auto" w:fill="CFF0FC"/>
          </w:tcPr>
          <w:p>
            <w:pPr>
              <w:spacing w:after="0"/>
              <w:rPr>
                <w:sz w:val="22"/>
                <w:szCs w:val="22"/>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22"/>
                <w:szCs w:val="22"/>
                <w:color w:val="auto"/>
              </w:rPr>
            </w:pPr>
          </w:p>
        </w:tc>
        <w:tc>
          <w:tcPr>
            <w:tcW w:w="300" w:type="dxa"/>
            <w:vAlign w:val="bottom"/>
            <w:shd w:val="clear" w:color="auto" w:fill="CFF0FC"/>
          </w:tcPr>
          <w:p>
            <w:pPr>
              <w:spacing w:after="0"/>
              <w:rPr>
                <w:sz w:val="22"/>
                <w:szCs w:val="22"/>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14,869</w:t>
            </w:r>
          </w:p>
        </w:tc>
        <w:tc>
          <w:tcPr>
            <w:tcW w:w="80" w:type="dxa"/>
            <w:vAlign w:val="bottom"/>
            <w:shd w:val="clear" w:color="auto" w:fill="CFF0FC"/>
          </w:tcPr>
          <w:p>
            <w:pPr>
              <w:spacing w:after="0"/>
              <w:rPr>
                <w:sz w:val="22"/>
                <w:szCs w:val="22"/>
                <w:color w:val="auto"/>
              </w:rPr>
            </w:pPr>
          </w:p>
        </w:tc>
        <w:tc>
          <w:tcPr>
            <w:tcW w:w="300" w:type="dxa"/>
            <w:vAlign w:val="bottom"/>
            <w:shd w:val="clear" w:color="auto" w:fill="CFF0FC"/>
          </w:tcPr>
          <w:p>
            <w:pPr>
              <w:spacing w:after="0"/>
              <w:rPr>
                <w:sz w:val="22"/>
                <w:szCs w:val="22"/>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14,855</w:t>
            </w:r>
          </w:p>
        </w:tc>
        <w:tc>
          <w:tcPr>
            <w:tcW w:w="80" w:type="dxa"/>
            <w:vAlign w:val="bottom"/>
            <w:shd w:val="clear" w:color="auto" w:fill="CFF0FC"/>
          </w:tcPr>
          <w:p>
            <w:pPr>
              <w:spacing w:after="0"/>
              <w:rPr>
                <w:sz w:val="22"/>
                <w:szCs w:val="22"/>
                <w:color w:val="auto"/>
              </w:rPr>
            </w:pPr>
          </w:p>
        </w:tc>
      </w:tr>
      <w:tr>
        <w:trPr>
          <w:trHeight w:val="250"/>
        </w:trPr>
        <w:tc>
          <w:tcPr>
            <w:tcW w:w="5780" w:type="dxa"/>
            <w:vAlign w:val="bottom"/>
          </w:tcPr>
          <w:p>
            <w:pPr>
              <w:ind w:left="20"/>
              <w:spacing w:after="0"/>
              <w:rPr>
                <w:sz w:val="20"/>
                <w:szCs w:val="20"/>
                <w:color w:val="auto"/>
              </w:rPr>
            </w:pPr>
            <w:r>
              <w:rPr>
                <w:rFonts w:ascii="Arial" w:cs="Arial" w:eastAsia="Arial" w:hAnsi="Arial"/>
                <w:sz w:val="18"/>
                <w:szCs w:val="18"/>
                <w:color w:val="auto"/>
              </w:rPr>
              <w:t>Borrowings under credit facility</w:t>
            </w:r>
          </w:p>
        </w:tc>
        <w:tc>
          <w:tcPr>
            <w:tcW w:w="30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59,521</w:t>
            </w:r>
          </w:p>
        </w:tc>
        <w:tc>
          <w:tcPr>
            <w:tcW w:w="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68,019</w:t>
            </w:r>
          </w:p>
        </w:tc>
        <w:tc>
          <w:tcPr>
            <w:tcW w:w="80" w:type="dxa"/>
            <w:vAlign w:val="bottom"/>
          </w:tcPr>
          <w:p>
            <w:pPr>
              <w:spacing w:after="0"/>
              <w:rPr>
                <w:sz w:val="21"/>
                <w:szCs w:val="21"/>
                <w:color w:val="auto"/>
              </w:rPr>
            </w:pPr>
          </w:p>
        </w:tc>
      </w:tr>
      <w:tr>
        <w:trPr>
          <w:trHeight w:val="263"/>
        </w:trPr>
        <w:tc>
          <w:tcPr>
            <w:tcW w:w="5780" w:type="dxa"/>
            <w:vAlign w:val="bottom"/>
            <w:shd w:val="clear" w:color="auto" w:fill="CFF0FC"/>
          </w:tcPr>
          <w:p>
            <w:pPr>
              <w:ind w:left="20"/>
              <w:spacing w:after="0"/>
              <w:rPr>
                <w:sz w:val="20"/>
                <w:szCs w:val="20"/>
                <w:color w:val="auto"/>
              </w:rPr>
            </w:pPr>
            <w:r>
              <w:rPr>
                <w:rFonts w:ascii="Arial" w:cs="Arial" w:eastAsia="Arial" w:hAnsi="Arial"/>
                <w:sz w:val="18"/>
                <w:szCs w:val="18"/>
                <w:color w:val="auto"/>
              </w:rPr>
              <w:t>Stockholders' equity (deficit)</w:t>
            </w:r>
          </w:p>
        </w:tc>
        <w:tc>
          <w:tcPr>
            <w:tcW w:w="300" w:type="dxa"/>
            <w:vAlign w:val="bottom"/>
            <w:shd w:val="clear" w:color="auto" w:fill="CFF0FC"/>
          </w:tcPr>
          <w:p>
            <w:pPr>
              <w:spacing w:after="0"/>
              <w:rPr>
                <w:sz w:val="22"/>
                <w:szCs w:val="22"/>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47,733</w:t>
            </w:r>
          </w:p>
        </w:tc>
        <w:tc>
          <w:tcPr>
            <w:tcW w:w="240" w:type="dxa"/>
            <w:vAlign w:val="bottom"/>
            <w:shd w:val="clear" w:color="auto" w:fill="CFF0FC"/>
          </w:tcPr>
          <w:p>
            <w:pPr>
              <w:spacing w:after="0"/>
              <w:rPr>
                <w:sz w:val="22"/>
                <w:szCs w:val="22"/>
                <w:color w:val="auto"/>
              </w:rPr>
            </w:pPr>
          </w:p>
        </w:tc>
        <w:tc>
          <w:tcPr>
            <w:tcW w:w="300" w:type="dxa"/>
            <w:vAlign w:val="bottom"/>
            <w:shd w:val="clear" w:color="auto" w:fill="CFF0FC"/>
          </w:tcPr>
          <w:p>
            <w:pPr>
              <w:spacing w:after="0"/>
              <w:rPr>
                <w:sz w:val="22"/>
                <w:szCs w:val="22"/>
                <w:color w:val="auto"/>
              </w:rPr>
            </w:pPr>
          </w:p>
        </w:tc>
        <w:tc>
          <w:tcPr>
            <w:tcW w:w="146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(4,077 )</w:t>
            </w:r>
          </w:p>
        </w:tc>
        <w:tc>
          <w:tcPr>
            <w:tcW w:w="300" w:type="dxa"/>
            <w:vAlign w:val="bottom"/>
            <w:shd w:val="clear" w:color="auto" w:fill="CFF0FC"/>
          </w:tcPr>
          <w:p>
            <w:pPr>
              <w:spacing w:after="0"/>
              <w:rPr>
                <w:sz w:val="22"/>
                <w:szCs w:val="22"/>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1,057</w:t>
            </w:r>
          </w:p>
        </w:tc>
        <w:tc>
          <w:tcPr>
            <w:tcW w:w="80" w:type="dxa"/>
            <w:vAlign w:val="bottom"/>
            <w:shd w:val="clear" w:color="auto" w:fill="CFF0FC"/>
          </w:tcPr>
          <w:p>
            <w:pPr>
              <w:spacing w:after="0"/>
              <w:rPr>
                <w:sz w:val="22"/>
                <w:szCs w:val="22"/>
                <w:color w:val="auto"/>
              </w:rPr>
            </w:pPr>
          </w:p>
        </w:tc>
      </w:tr>
      <w:tr>
        <w:trPr>
          <w:trHeight w:val="250"/>
        </w:trPr>
        <w:tc>
          <w:tcPr>
            <w:tcW w:w="5780" w:type="dxa"/>
            <w:vAlign w:val="bottom"/>
            <w:tcBorders>
              <w:top w:val="single" w:sz="8" w:color="CFF0FC"/>
            </w:tcBorders>
          </w:tcPr>
          <w:p>
            <w:pPr>
              <w:ind w:left="200"/>
              <w:spacing w:after="0"/>
              <w:rPr>
                <w:sz w:val="20"/>
                <w:szCs w:val="20"/>
                <w:color w:val="auto"/>
              </w:rPr>
            </w:pPr>
            <w:r>
              <w:rPr>
                <w:rFonts w:ascii="Arial" w:cs="Arial" w:eastAsia="Arial" w:hAnsi="Arial"/>
                <w:sz w:val="18"/>
                <w:szCs w:val="18"/>
                <w:color w:val="auto"/>
              </w:rPr>
              <w:t>Total liabilities and stockholders' equity</w:t>
            </w: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263,921</w:t>
            </w:r>
          </w:p>
        </w:tc>
        <w:tc>
          <w:tcPr>
            <w:tcW w:w="240" w:type="dxa"/>
            <w:vAlign w:val="bottom"/>
            <w:tcBorders>
              <w:top w:val="single" w:sz="8" w:color="CFF0FC"/>
            </w:tcBorders>
          </w:tcPr>
          <w:p>
            <w:pPr>
              <w:spacing w:after="0"/>
              <w:rPr>
                <w:sz w:val="21"/>
                <w:szCs w:val="21"/>
                <w:color w:val="auto"/>
              </w:rPr>
            </w:pP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306,755</w:t>
            </w:r>
          </w:p>
        </w:tc>
        <w:tc>
          <w:tcPr>
            <w:tcW w:w="80" w:type="dxa"/>
            <w:vAlign w:val="bottom"/>
            <w:tcBorders>
              <w:top w:val="single" w:sz="8" w:color="CFF0FC"/>
            </w:tcBorders>
          </w:tcPr>
          <w:p>
            <w:pPr>
              <w:spacing w:after="0"/>
              <w:rPr>
                <w:sz w:val="21"/>
                <w:szCs w:val="21"/>
                <w:color w:val="auto"/>
              </w:rPr>
            </w:pP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336,919</w:t>
            </w:r>
          </w:p>
        </w:tc>
        <w:tc>
          <w:tcPr>
            <w:tcW w:w="80" w:type="dxa"/>
            <w:vAlign w:val="bottom"/>
            <w:tcBorders>
              <w:top w:val="single" w:sz="8" w:color="CFF0FC"/>
            </w:tcBorders>
          </w:tcPr>
          <w:p>
            <w:pPr>
              <w:spacing w:after="0"/>
              <w:rPr>
                <w:sz w:val="21"/>
                <w:szCs w:val="21"/>
                <w:color w:val="auto"/>
              </w:rPr>
            </w:pPr>
          </w:p>
        </w:tc>
      </w:tr>
      <w:tr>
        <w:trPr>
          <w:trHeight w:val="20"/>
        </w:trPr>
        <w:tc>
          <w:tcPr>
            <w:tcW w:w="57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4745355</wp:posOffset>
            </wp:positionH>
            <wp:positionV relativeFrom="paragraph">
              <wp:posOffset>-1856740</wp:posOffset>
            </wp:positionV>
            <wp:extent cx="154305" cy="571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154305" cy="5715"/>
                    </a:xfrm>
                    <a:prstGeom prst="rect">
                      <a:avLst/>
                    </a:prstGeom>
                    <a:noFill/>
                  </pic:spPr>
                </pic:pic>
              </a:graphicData>
            </a:graphic>
          </wp:anchor>
        </w:drawing>
        <w:drawing>
          <wp:anchor simplePos="0" relativeHeight="251657728" behindDoc="1" locked="0" layoutInCell="0" allowOverlap="1">
            <wp:simplePos x="0" y="0"/>
            <wp:positionH relativeFrom="column">
              <wp:posOffset>5962650</wp:posOffset>
            </wp:positionH>
            <wp:positionV relativeFrom="paragraph">
              <wp:posOffset>-1856740</wp:posOffset>
            </wp:positionV>
            <wp:extent cx="60325" cy="571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0325" cy="5715"/>
                    </a:xfrm>
                    <a:prstGeom prst="rect">
                      <a:avLst/>
                    </a:prstGeom>
                    <a:noFill/>
                  </pic:spPr>
                </pic:pic>
              </a:graphicData>
            </a:graphic>
          </wp:anchor>
        </w:drawing>
        <w:drawing>
          <wp:anchor simplePos="0" relativeHeight="251657728" behindDoc="1" locked="0" layoutInCell="0" allowOverlap="1">
            <wp:simplePos x="0" y="0"/>
            <wp:positionH relativeFrom="column">
              <wp:posOffset>7085965</wp:posOffset>
            </wp:positionH>
            <wp:positionV relativeFrom="paragraph">
              <wp:posOffset>-1856740</wp:posOffset>
            </wp:positionV>
            <wp:extent cx="51435" cy="571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51435" cy="5715"/>
                    </a:xfrm>
                    <a:prstGeom prst="rect">
                      <a:avLst/>
                    </a:prstGeom>
                    <a:noFill/>
                  </pic:spPr>
                </pic:pic>
              </a:graphicData>
            </a:graphic>
          </wp:anchor>
        </w:drawing>
        <w:drawing>
          <wp:anchor simplePos="0" relativeHeight="251657728" behindDoc="1" locked="0" layoutInCell="0" allowOverlap="1">
            <wp:simplePos x="0" y="0"/>
            <wp:positionH relativeFrom="column">
              <wp:posOffset>4745355</wp:posOffset>
            </wp:positionH>
            <wp:positionV relativeFrom="paragraph">
              <wp:posOffset>-193675</wp:posOffset>
            </wp:positionV>
            <wp:extent cx="154305" cy="571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154305" cy="5715"/>
                    </a:xfrm>
                    <a:prstGeom prst="rect">
                      <a:avLst/>
                    </a:prstGeom>
                    <a:noFill/>
                  </pic:spPr>
                </pic:pic>
              </a:graphicData>
            </a:graphic>
          </wp:anchor>
        </w:drawing>
        <w:drawing>
          <wp:anchor simplePos="0" relativeHeight="251657728" behindDoc="1" locked="0" layoutInCell="0" allowOverlap="1">
            <wp:simplePos x="0" y="0"/>
            <wp:positionH relativeFrom="column">
              <wp:posOffset>5962650</wp:posOffset>
            </wp:positionH>
            <wp:positionV relativeFrom="paragraph">
              <wp:posOffset>-193675</wp:posOffset>
            </wp:positionV>
            <wp:extent cx="60325" cy="571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60325" cy="5715"/>
                    </a:xfrm>
                    <a:prstGeom prst="rect">
                      <a:avLst/>
                    </a:prstGeom>
                    <a:noFill/>
                  </pic:spPr>
                </pic:pic>
              </a:graphicData>
            </a:graphic>
          </wp:anchor>
        </w:drawing>
        <w:drawing>
          <wp:anchor simplePos="0" relativeHeight="251657728" behindDoc="1" locked="0" layoutInCell="0" allowOverlap="1">
            <wp:simplePos x="0" y="0"/>
            <wp:positionH relativeFrom="column">
              <wp:posOffset>7085965</wp:posOffset>
            </wp:positionH>
            <wp:positionV relativeFrom="paragraph">
              <wp:posOffset>-193675</wp:posOffset>
            </wp:positionV>
            <wp:extent cx="51435" cy="571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51435" cy="5715"/>
                    </a:xfrm>
                    <a:prstGeom prst="rect">
                      <a:avLst/>
                    </a:prstGeom>
                    <a:noFill/>
                  </pic:spPr>
                </pic:pic>
              </a:graphicData>
            </a:graphic>
          </wp:anchor>
        </w:drawing>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237490</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4" w:right="339" w:bottom="1440" w:gutter="0" w:footer="0" w:header="0"/>
        </w:sectPr>
      </w:pPr>
    </w:p>
    <w:bookmarkStart w:id="11" w:name="page12"/>
    <w:bookmarkEnd w:id="11"/>
    <w:p>
      <w:pPr>
        <w:jc w:val="center"/>
        <w:ind w:right="40"/>
        <w:spacing w:after="0"/>
        <w:rPr>
          <w:sz w:val="20"/>
          <w:szCs w:val="20"/>
          <w:color w:val="auto"/>
        </w:rPr>
      </w:pPr>
      <w:r>
        <w:rPr>
          <w:rFonts w:ascii="Arial" w:cs="Arial" w:eastAsia="Arial" w:hAnsi="Arial"/>
          <w:sz w:val="18"/>
          <w:szCs w:val="18"/>
          <w:i w:val="1"/>
          <w:iCs w:val="1"/>
          <w:color w:val="auto"/>
        </w:rPr>
        <w:t>CERTAIN COLUMNS IN THE FOLLOWING TABLES MAY NOT FOOT DUE TO ROUNDING</w:t>
      </w:r>
    </w:p>
    <w:p>
      <w:pPr>
        <w:spacing w:after="0" w:line="200" w:lineRule="exact"/>
        <w:rPr>
          <w:sz w:val="20"/>
          <w:szCs w:val="20"/>
          <w:color w:val="auto"/>
        </w:rPr>
      </w:pPr>
    </w:p>
    <w:p>
      <w:pPr>
        <w:spacing w:after="0" w:line="30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GAAP TO NON-GAAP RECONCILIATION OF ADJUSTED EBITDA</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60"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5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220" w:type="dxa"/>
            <w:vAlign w:val="bottom"/>
            <w:gridSpan w:val="6"/>
          </w:tcPr>
          <w:p>
            <w:pPr>
              <w:ind w:left="540"/>
              <w:spacing w:after="0"/>
              <w:rPr>
                <w:sz w:val="20"/>
                <w:szCs w:val="20"/>
                <w:color w:val="auto"/>
              </w:rPr>
            </w:pPr>
            <w:r>
              <w:rPr>
                <w:rFonts w:ascii="Arial" w:cs="Arial" w:eastAsia="Arial" w:hAnsi="Arial"/>
                <w:sz w:val="14"/>
                <w:szCs w:val="14"/>
                <w:color w:val="auto"/>
                <w:w w:val="96"/>
              </w:rPr>
              <w:t>For the three months ended</w:t>
            </w:r>
          </w:p>
        </w:tc>
        <w:tc>
          <w:tcPr>
            <w:tcW w:w="6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980" w:type="dxa"/>
            <w:vAlign w:val="bottom"/>
            <w:gridSpan w:val="8"/>
          </w:tcPr>
          <w:p>
            <w:pPr>
              <w:jc w:val="right"/>
              <w:ind w:right="860"/>
              <w:spacing w:after="0"/>
              <w:rPr>
                <w:sz w:val="20"/>
                <w:szCs w:val="20"/>
                <w:color w:val="auto"/>
              </w:rPr>
            </w:pPr>
            <w:r>
              <w:rPr>
                <w:rFonts w:ascii="Arial" w:cs="Arial" w:eastAsia="Arial" w:hAnsi="Arial"/>
                <w:sz w:val="14"/>
                <w:szCs w:val="14"/>
                <w:color w:val="auto"/>
              </w:rPr>
              <w:t>For the nine months ended</w:t>
            </w:r>
          </w:p>
        </w:tc>
        <w:tc>
          <w:tcPr>
            <w:tcW w:w="1120" w:type="dxa"/>
            <w:vAlign w:val="bottom"/>
            <w:gridSpan w:val="2"/>
          </w:tcPr>
          <w:p>
            <w:pPr>
              <w:jc w:val="right"/>
              <w:ind w:right="320"/>
              <w:spacing w:after="0"/>
              <w:rPr>
                <w:sz w:val="20"/>
                <w:szCs w:val="20"/>
                <w:color w:val="auto"/>
              </w:rPr>
            </w:pPr>
            <w:r>
              <w:rPr>
                <w:rFonts w:ascii="Arial" w:cs="Arial" w:eastAsia="Arial" w:hAnsi="Arial"/>
                <w:sz w:val="14"/>
                <w:szCs w:val="14"/>
                <w:color w:val="auto"/>
              </w:rPr>
              <w:t>Projected</w:t>
            </w:r>
          </w:p>
        </w:tc>
      </w:tr>
      <w:tr>
        <w:trPr>
          <w:trHeight w:val="196"/>
        </w:trPr>
        <w:tc>
          <w:tcPr>
            <w:tcW w:w="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520" w:type="dxa"/>
            <w:vAlign w:val="bottom"/>
          </w:tcPr>
          <w:p>
            <w:pPr>
              <w:spacing w:after="0"/>
              <w:rPr>
                <w:sz w:val="17"/>
                <w:szCs w:val="17"/>
                <w:color w:val="auto"/>
              </w:rPr>
            </w:pPr>
          </w:p>
        </w:tc>
        <w:tc>
          <w:tcPr>
            <w:tcW w:w="1160" w:type="dxa"/>
            <w:vAlign w:val="bottom"/>
            <w:gridSpan w:val="3"/>
          </w:tcPr>
          <w:p>
            <w:pPr>
              <w:jc w:val="right"/>
              <w:ind w:right="440"/>
              <w:spacing w:after="0"/>
              <w:rPr>
                <w:sz w:val="20"/>
                <w:szCs w:val="20"/>
                <w:color w:val="auto"/>
              </w:rPr>
            </w:pPr>
            <w:r>
              <w:rPr>
                <w:rFonts w:ascii="Arial" w:cs="Arial" w:eastAsia="Arial" w:hAnsi="Arial"/>
                <w:sz w:val="14"/>
                <w:szCs w:val="14"/>
                <w:color w:val="auto"/>
                <w:w w:val="95"/>
              </w:rPr>
              <w:t>October 30,</w:t>
            </w:r>
          </w:p>
        </w:tc>
        <w:tc>
          <w:tcPr>
            <w:tcW w:w="1080" w:type="dxa"/>
            <w:vAlign w:val="bottom"/>
            <w:gridSpan w:val="3"/>
          </w:tcPr>
          <w:p>
            <w:pPr>
              <w:jc w:val="right"/>
              <w:ind w:right="340"/>
              <w:spacing w:after="0"/>
              <w:rPr>
                <w:sz w:val="20"/>
                <w:szCs w:val="20"/>
                <w:color w:val="auto"/>
              </w:rPr>
            </w:pPr>
            <w:r>
              <w:rPr>
                <w:rFonts w:ascii="Arial" w:cs="Arial" w:eastAsia="Arial" w:hAnsi="Arial"/>
                <w:sz w:val="14"/>
                <w:szCs w:val="14"/>
                <w:color w:val="auto"/>
                <w:w w:val="98"/>
              </w:rPr>
              <w:t>October 31,</w:t>
            </w:r>
          </w:p>
        </w:tc>
        <w:tc>
          <w:tcPr>
            <w:tcW w:w="1120" w:type="dxa"/>
            <w:vAlign w:val="bottom"/>
            <w:gridSpan w:val="3"/>
          </w:tcPr>
          <w:p>
            <w:pPr>
              <w:spacing w:after="0"/>
              <w:rPr>
                <w:sz w:val="20"/>
                <w:szCs w:val="20"/>
                <w:color w:val="auto"/>
              </w:rPr>
            </w:pPr>
            <w:r>
              <w:rPr>
                <w:rFonts w:ascii="Arial" w:cs="Arial" w:eastAsia="Arial" w:hAnsi="Arial"/>
                <w:sz w:val="14"/>
                <w:szCs w:val="14"/>
                <w:color w:val="auto"/>
              </w:rPr>
              <w:t>November 2,</w:t>
            </w:r>
          </w:p>
        </w:tc>
        <w:tc>
          <w:tcPr>
            <w:tcW w:w="360" w:type="dxa"/>
            <w:vAlign w:val="bottom"/>
          </w:tcPr>
          <w:p>
            <w:pPr>
              <w:spacing w:after="0"/>
              <w:rPr>
                <w:sz w:val="17"/>
                <w:szCs w:val="17"/>
                <w:color w:val="auto"/>
              </w:rPr>
            </w:pPr>
          </w:p>
        </w:tc>
        <w:tc>
          <w:tcPr>
            <w:tcW w:w="1020" w:type="dxa"/>
            <w:vAlign w:val="bottom"/>
            <w:gridSpan w:val="3"/>
          </w:tcPr>
          <w:p>
            <w:pPr>
              <w:jc w:val="right"/>
              <w:ind w:right="300"/>
              <w:spacing w:after="0"/>
              <w:rPr>
                <w:sz w:val="20"/>
                <w:szCs w:val="20"/>
                <w:color w:val="auto"/>
              </w:rPr>
            </w:pPr>
            <w:r>
              <w:rPr>
                <w:rFonts w:ascii="Arial" w:cs="Arial" w:eastAsia="Arial" w:hAnsi="Arial"/>
                <w:sz w:val="14"/>
                <w:szCs w:val="14"/>
                <w:color w:val="auto"/>
                <w:w w:val="95"/>
              </w:rPr>
              <w:t>October 30,</w:t>
            </w:r>
          </w:p>
        </w:tc>
        <w:tc>
          <w:tcPr>
            <w:tcW w:w="1000" w:type="dxa"/>
            <w:vAlign w:val="bottom"/>
            <w:gridSpan w:val="3"/>
          </w:tcPr>
          <w:p>
            <w:pPr>
              <w:jc w:val="right"/>
              <w:ind w:right="280"/>
              <w:spacing w:after="0"/>
              <w:rPr>
                <w:sz w:val="20"/>
                <w:szCs w:val="20"/>
                <w:color w:val="auto"/>
              </w:rPr>
            </w:pPr>
            <w:r>
              <w:rPr>
                <w:rFonts w:ascii="Arial" w:cs="Arial" w:eastAsia="Arial" w:hAnsi="Arial"/>
                <w:sz w:val="14"/>
                <w:szCs w:val="14"/>
                <w:color w:val="auto"/>
                <w:w w:val="95"/>
              </w:rPr>
              <w:t>October 31,</w:t>
            </w:r>
          </w:p>
        </w:tc>
        <w:tc>
          <w:tcPr>
            <w:tcW w:w="100" w:type="dxa"/>
            <w:vAlign w:val="bottom"/>
          </w:tcPr>
          <w:p>
            <w:pPr>
              <w:spacing w:after="0"/>
              <w:rPr>
                <w:sz w:val="17"/>
                <w:szCs w:val="17"/>
                <w:color w:val="auto"/>
              </w:rPr>
            </w:pPr>
          </w:p>
        </w:tc>
        <w:tc>
          <w:tcPr>
            <w:tcW w:w="1040" w:type="dxa"/>
            <w:vAlign w:val="bottom"/>
            <w:gridSpan w:val="2"/>
          </w:tcPr>
          <w:p>
            <w:pPr>
              <w:jc w:val="right"/>
              <w:ind w:right="260"/>
              <w:spacing w:after="0"/>
              <w:rPr>
                <w:sz w:val="20"/>
                <w:szCs w:val="20"/>
                <w:color w:val="auto"/>
              </w:rPr>
            </w:pPr>
            <w:r>
              <w:rPr>
                <w:rFonts w:ascii="Arial" w:cs="Arial" w:eastAsia="Arial" w:hAnsi="Arial"/>
                <w:sz w:val="14"/>
                <w:szCs w:val="14"/>
                <w:color w:val="auto"/>
                <w:w w:val="94"/>
              </w:rPr>
              <w:t>November 2,</w:t>
            </w:r>
          </w:p>
        </w:tc>
        <w:tc>
          <w:tcPr>
            <w:tcW w:w="104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188"/>
        </w:trPr>
        <w:tc>
          <w:tcPr>
            <w:tcW w:w="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5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color w:val="auto"/>
              </w:rPr>
              <w:t>2021</w:t>
            </w:r>
          </w:p>
        </w:tc>
        <w:tc>
          <w:tcPr>
            <w:tcW w:w="34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color w:val="auto"/>
              </w:rPr>
              <w:t>2020</w:t>
            </w:r>
          </w:p>
        </w:tc>
        <w:tc>
          <w:tcPr>
            <w:tcW w:w="24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color w:val="auto"/>
              </w:rPr>
              <w:t>2019</w:t>
            </w:r>
          </w:p>
        </w:tc>
        <w:tc>
          <w:tcPr>
            <w:tcW w:w="3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color w:val="auto"/>
              </w:rPr>
              <w:t>2021</w:t>
            </w:r>
          </w:p>
        </w:tc>
        <w:tc>
          <w:tcPr>
            <w:tcW w:w="2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color w:val="auto"/>
              </w:rPr>
              <w:t>2020</w:t>
            </w:r>
          </w:p>
        </w:tc>
        <w:tc>
          <w:tcPr>
            <w:tcW w:w="22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308"/>
              <w:spacing w:after="0"/>
              <w:rPr>
                <w:sz w:val="20"/>
                <w:szCs w:val="20"/>
                <w:color w:val="auto"/>
              </w:rPr>
            </w:pPr>
            <w:r>
              <w:rPr>
                <w:rFonts w:ascii="Arial" w:cs="Arial" w:eastAsia="Arial" w:hAnsi="Arial"/>
                <w:sz w:val="14"/>
                <w:szCs w:val="14"/>
                <w:color w:val="auto"/>
              </w:rPr>
              <w:t>2019</w:t>
            </w:r>
          </w:p>
        </w:tc>
        <w:tc>
          <w:tcPr>
            <w:tcW w:w="100" w:type="dxa"/>
            <w:vAlign w:val="bottom"/>
          </w:tcPr>
          <w:p>
            <w:pPr>
              <w:spacing w:after="0"/>
              <w:rPr>
                <w:sz w:val="16"/>
                <w:szCs w:val="16"/>
                <w:color w:val="auto"/>
              </w:rPr>
            </w:pPr>
          </w:p>
        </w:tc>
        <w:tc>
          <w:tcPr>
            <w:tcW w:w="1040" w:type="dxa"/>
            <w:vAlign w:val="bottom"/>
            <w:tcBorders>
              <w:bottom w:val="single" w:sz="8" w:color="auto"/>
            </w:tcBorders>
          </w:tcPr>
          <w:p>
            <w:pPr>
              <w:jc w:val="right"/>
              <w:ind w:right="308"/>
              <w:spacing w:after="0"/>
              <w:rPr>
                <w:sz w:val="20"/>
                <w:szCs w:val="20"/>
                <w:color w:val="auto"/>
              </w:rPr>
            </w:pPr>
            <w:r>
              <w:rPr>
                <w:rFonts w:ascii="Arial" w:cs="Arial" w:eastAsia="Arial" w:hAnsi="Arial"/>
                <w:sz w:val="14"/>
                <w:szCs w:val="14"/>
                <w:color w:val="auto"/>
              </w:rPr>
              <w:t>2021</w:t>
            </w:r>
          </w:p>
        </w:tc>
        <w:tc>
          <w:tcPr>
            <w:tcW w:w="80" w:type="dxa"/>
            <w:vAlign w:val="bottom"/>
          </w:tcPr>
          <w:p>
            <w:pPr>
              <w:spacing w:after="0"/>
              <w:rPr>
                <w:sz w:val="16"/>
                <w:szCs w:val="16"/>
                <w:color w:val="auto"/>
              </w:rPr>
            </w:pPr>
          </w:p>
        </w:tc>
      </w:tr>
      <w:tr>
        <w:trPr>
          <w:trHeight w:val="216"/>
        </w:trPr>
        <w:tc>
          <w:tcPr>
            <w:tcW w:w="20" w:type="dxa"/>
            <w:vAlign w:val="bottom"/>
          </w:tcPr>
          <w:p>
            <w:pPr>
              <w:spacing w:after="0"/>
              <w:rPr>
                <w:sz w:val="18"/>
                <w:szCs w:val="18"/>
                <w:color w:val="auto"/>
              </w:rPr>
            </w:pPr>
          </w:p>
        </w:tc>
        <w:tc>
          <w:tcPr>
            <w:tcW w:w="3220" w:type="dxa"/>
            <w:vAlign w:val="bottom"/>
            <w:gridSpan w:val="2"/>
          </w:tcPr>
          <w:p>
            <w:pPr>
              <w:spacing w:after="0"/>
              <w:rPr>
                <w:sz w:val="20"/>
                <w:szCs w:val="20"/>
                <w:color w:val="auto"/>
              </w:rPr>
            </w:pPr>
            <w:r>
              <w:rPr>
                <w:rFonts w:ascii="Arial" w:cs="Arial" w:eastAsia="Arial" w:hAnsi="Arial"/>
                <w:sz w:val="14"/>
                <w:szCs w:val="14"/>
                <w:i w:val="1"/>
                <w:iCs w:val="1"/>
                <w:color w:val="auto"/>
              </w:rPr>
              <w:t>(in millions)</w:t>
            </w:r>
          </w:p>
        </w:tc>
        <w:tc>
          <w:tcPr>
            <w:tcW w:w="1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60" w:type="dxa"/>
            <w:vAlign w:val="bottom"/>
            <w:gridSpan w:val="2"/>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17"/>
        </w:trPr>
        <w:tc>
          <w:tcPr>
            <w:tcW w:w="20" w:type="dxa"/>
            <w:vAlign w:val="bottom"/>
          </w:tcPr>
          <w:p>
            <w:pPr>
              <w:spacing w:after="0"/>
              <w:rPr>
                <w:sz w:val="18"/>
                <w:szCs w:val="18"/>
                <w:color w:val="auto"/>
              </w:rPr>
            </w:pPr>
          </w:p>
        </w:tc>
        <w:tc>
          <w:tcPr>
            <w:tcW w:w="3220" w:type="dxa"/>
            <w:vAlign w:val="bottom"/>
            <w:gridSpan w:val="2"/>
          </w:tcPr>
          <w:p>
            <w:pPr>
              <w:spacing w:after="0"/>
              <w:rPr>
                <w:sz w:val="20"/>
                <w:szCs w:val="20"/>
                <w:color w:val="auto"/>
              </w:rPr>
            </w:pPr>
            <w:r>
              <w:rPr>
                <w:rFonts w:ascii="Arial" w:cs="Arial" w:eastAsia="Arial" w:hAnsi="Arial"/>
                <w:sz w:val="14"/>
                <w:szCs w:val="14"/>
                <w:color w:val="auto"/>
              </w:rPr>
              <w:t>Net income (loss) (GAAP basis)</w:t>
            </w:r>
          </w:p>
        </w:tc>
        <w:tc>
          <w:tcPr>
            <w:tcW w:w="180" w:type="dxa"/>
            <w:vAlign w:val="bottom"/>
          </w:tcPr>
          <w:p>
            <w:pPr>
              <w:jc w:val="right"/>
              <w:ind w:right="28"/>
              <w:spacing w:after="0"/>
              <w:rPr>
                <w:sz w:val="20"/>
                <w:szCs w:val="20"/>
                <w:color w:val="auto"/>
              </w:rPr>
            </w:pPr>
            <w:r>
              <w:rPr>
                <w:rFonts w:ascii="Arial" w:cs="Arial" w:eastAsia="Arial" w:hAnsi="Arial"/>
                <w:sz w:val="14"/>
                <w:szCs w:val="14"/>
                <w:color w:val="auto"/>
                <w:w w:val="76"/>
              </w:rPr>
              <w:t>$</w:t>
            </w:r>
          </w:p>
        </w:tc>
        <w:tc>
          <w:tcPr>
            <w:tcW w:w="640" w:type="dxa"/>
            <w:vAlign w:val="bottom"/>
          </w:tcPr>
          <w:p>
            <w:pPr>
              <w:jc w:val="right"/>
              <w:spacing w:after="0"/>
              <w:rPr>
                <w:sz w:val="20"/>
                <w:szCs w:val="20"/>
                <w:color w:val="auto"/>
              </w:rPr>
            </w:pPr>
            <w:r>
              <w:rPr>
                <w:rFonts w:ascii="Arial" w:cs="Arial" w:eastAsia="Arial" w:hAnsi="Arial"/>
                <w:sz w:val="14"/>
                <w:szCs w:val="14"/>
                <w:color w:val="auto"/>
              </w:rPr>
              <w:t>13.7</w:t>
            </w:r>
          </w:p>
        </w:tc>
        <w:tc>
          <w:tcPr>
            <w:tcW w:w="340" w:type="dxa"/>
            <w:vAlign w:val="bottom"/>
          </w:tcPr>
          <w:p>
            <w:pPr>
              <w:spacing w:after="0"/>
              <w:rPr>
                <w:sz w:val="18"/>
                <w:szCs w:val="18"/>
                <w:color w:val="auto"/>
              </w:rPr>
            </w:pP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900" w:type="dxa"/>
            <w:vAlign w:val="bottom"/>
            <w:gridSpan w:val="2"/>
          </w:tcPr>
          <w:p>
            <w:pPr>
              <w:jc w:val="right"/>
              <w:ind w:right="180"/>
              <w:spacing w:after="0"/>
              <w:rPr>
                <w:sz w:val="20"/>
                <w:szCs w:val="20"/>
                <w:color w:val="auto"/>
              </w:rPr>
            </w:pPr>
            <w:r>
              <w:rPr>
                <w:rFonts w:ascii="Arial" w:cs="Arial" w:eastAsia="Arial" w:hAnsi="Arial"/>
                <w:sz w:val="14"/>
                <w:szCs w:val="14"/>
                <w:color w:val="auto"/>
              </w:rPr>
              <w:t>(7.0 )</w:t>
            </w:r>
          </w:p>
        </w:tc>
        <w:tc>
          <w:tcPr>
            <w:tcW w:w="160" w:type="dxa"/>
            <w:vAlign w:val="bottom"/>
          </w:tcPr>
          <w:p>
            <w:pPr>
              <w:spacing w:after="0"/>
              <w:rPr>
                <w:sz w:val="20"/>
                <w:szCs w:val="20"/>
                <w:color w:val="auto"/>
              </w:rPr>
            </w:pPr>
            <w:r>
              <w:rPr>
                <w:rFonts w:ascii="Arial" w:cs="Arial" w:eastAsia="Arial" w:hAnsi="Arial"/>
                <w:sz w:val="14"/>
                <w:szCs w:val="14"/>
                <w:color w:val="auto"/>
              </w:rPr>
              <w:t>$</w:t>
            </w:r>
          </w:p>
        </w:tc>
        <w:tc>
          <w:tcPr>
            <w:tcW w:w="960" w:type="dxa"/>
            <w:vAlign w:val="bottom"/>
            <w:gridSpan w:val="2"/>
          </w:tcPr>
          <w:p>
            <w:pPr>
              <w:jc w:val="right"/>
              <w:ind w:right="280"/>
              <w:spacing w:after="0"/>
              <w:rPr>
                <w:sz w:val="20"/>
                <w:szCs w:val="20"/>
                <w:color w:val="auto"/>
              </w:rPr>
            </w:pPr>
            <w:r>
              <w:rPr>
                <w:rFonts w:ascii="Arial" w:cs="Arial" w:eastAsia="Arial" w:hAnsi="Arial"/>
                <w:sz w:val="14"/>
                <w:szCs w:val="14"/>
                <w:color w:val="auto"/>
              </w:rPr>
              <w:t>(7.2 )</w:t>
            </w:r>
          </w:p>
        </w:tc>
        <w:tc>
          <w:tcPr>
            <w:tcW w:w="540" w:type="dxa"/>
            <w:vAlign w:val="bottom"/>
            <w:gridSpan w:val="2"/>
          </w:tcPr>
          <w:p>
            <w:pPr>
              <w:jc w:val="right"/>
              <w:ind w:right="28"/>
              <w:spacing w:after="0"/>
              <w:rPr>
                <w:sz w:val="20"/>
                <w:szCs w:val="20"/>
                <w:color w:val="auto"/>
              </w:rPr>
            </w:pPr>
            <w:r>
              <w:rPr>
                <w:rFonts w:ascii="Arial" w:cs="Arial" w:eastAsia="Arial" w:hAnsi="Arial"/>
                <w:sz w:val="14"/>
                <w:szCs w:val="14"/>
                <w:color w:val="auto"/>
              </w:rPr>
              <w:t>$</w:t>
            </w:r>
          </w:p>
        </w:tc>
        <w:tc>
          <w:tcPr>
            <w:tcW w:w="620" w:type="dxa"/>
            <w:vAlign w:val="bottom"/>
          </w:tcPr>
          <w:p>
            <w:pPr>
              <w:jc w:val="right"/>
              <w:spacing w:after="0"/>
              <w:rPr>
                <w:sz w:val="20"/>
                <w:szCs w:val="20"/>
                <w:color w:val="auto"/>
              </w:rPr>
            </w:pPr>
            <w:r>
              <w:rPr>
                <w:rFonts w:ascii="Arial" w:cs="Arial" w:eastAsia="Arial" w:hAnsi="Arial"/>
                <w:sz w:val="14"/>
                <w:szCs w:val="14"/>
                <w:color w:val="auto"/>
              </w:rPr>
              <w:t>46.8</w:t>
            </w:r>
          </w:p>
        </w:tc>
        <w:tc>
          <w:tcPr>
            <w:tcW w:w="220" w:type="dxa"/>
            <w:vAlign w:val="bottom"/>
          </w:tcPr>
          <w:p>
            <w:pPr>
              <w:spacing w:after="0"/>
              <w:rPr>
                <w:sz w:val="18"/>
                <w:szCs w:val="18"/>
                <w:color w:val="auto"/>
              </w:rPr>
            </w:pPr>
          </w:p>
        </w:tc>
        <w:tc>
          <w:tcPr>
            <w:tcW w:w="160" w:type="dxa"/>
            <w:vAlign w:val="bottom"/>
          </w:tcPr>
          <w:p>
            <w:pPr>
              <w:jc w:val="right"/>
              <w:ind w:right="8"/>
              <w:spacing w:after="0"/>
              <w:rPr>
                <w:sz w:val="20"/>
                <w:szCs w:val="20"/>
                <w:color w:val="auto"/>
              </w:rPr>
            </w:pPr>
            <w:r>
              <w:rPr>
                <w:rFonts w:ascii="Arial" w:cs="Arial" w:eastAsia="Arial" w:hAnsi="Arial"/>
                <w:sz w:val="14"/>
                <w:szCs w:val="14"/>
                <w:color w:val="auto"/>
                <w:w w:val="76"/>
              </w:rPr>
              <w:t>$</w:t>
            </w:r>
          </w:p>
        </w:tc>
        <w:tc>
          <w:tcPr>
            <w:tcW w:w="840" w:type="dxa"/>
            <w:vAlign w:val="bottom"/>
            <w:gridSpan w:val="2"/>
          </w:tcPr>
          <w:p>
            <w:pPr>
              <w:jc w:val="right"/>
              <w:ind w:right="140"/>
              <w:spacing w:after="0"/>
              <w:rPr>
                <w:sz w:val="20"/>
                <w:szCs w:val="20"/>
                <w:color w:val="auto"/>
              </w:rPr>
            </w:pPr>
            <w:r>
              <w:rPr>
                <w:rFonts w:ascii="Arial" w:cs="Arial" w:eastAsia="Arial" w:hAnsi="Arial"/>
                <w:sz w:val="14"/>
                <w:szCs w:val="14"/>
                <w:color w:val="auto"/>
              </w:rPr>
              <w:t>(59.5 )</w:t>
            </w: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1040" w:type="dxa"/>
            <w:vAlign w:val="bottom"/>
            <w:gridSpan w:val="2"/>
          </w:tcPr>
          <w:p>
            <w:pPr>
              <w:jc w:val="right"/>
              <w:ind w:right="40"/>
              <w:spacing w:after="0"/>
              <w:rPr>
                <w:sz w:val="20"/>
                <w:szCs w:val="20"/>
                <w:color w:val="auto"/>
              </w:rPr>
            </w:pPr>
            <w:r>
              <w:rPr>
                <w:rFonts w:ascii="Arial" w:cs="Arial" w:eastAsia="Arial" w:hAnsi="Arial"/>
                <w:sz w:val="14"/>
                <w:szCs w:val="14"/>
                <w:color w:val="auto"/>
              </w:rPr>
              <w:t>(10.2 )</w:t>
            </w:r>
          </w:p>
        </w:tc>
        <w:tc>
          <w:tcPr>
            <w:tcW w:w="1040" w:type="dxa"/>
            <w:vAlign w:val="bottom"/>
          </w:tcPr>
          <w:p>
            <w:pPr>
              <w:jc w:val="right"/>
              <w:spacing w:after="0"/>
              <w:rPr>
                <w:sz w:val="20"/>
                <w:szCs w:val="20"/>
                <w:color w:val="auto"/>
              </w:rPr>
            </w:pPr>
            <w:r>
              <w:rPr>
                <w:rFonts w:ascii="Arial" w:cs="Arial" w:eastAsia="Arial" w:hAnsi="Arial"/>
                <w:sz w:val="14"/>
                <w:szCs w:val="14"/>
                <w:color w:val="auto"/>
              </w:rPr>
              <w:t>$49.2- $54.9</w:t>
            </w:r>
          </w:p>
        </w:tc>
        <w:tc>
          <w:tcPr>
            <w:tcW w:w="80" w:type="dxa"/>
            <w:vAlign w:val="bottom"/>
          </w:tcPr>
          <w:p>
            <w:pPr>
              <w:spacing w:after="0"/>
              <w:rPr>
                <w:sz w:val="18"/>
                <w:szCs w:val="18"/>
                <w:color w:val="auto"/>
              </w:rPr>
            </w:pPr>
          </w:p>
        </w:tc>
      </w:tr>
      <w:tr>
        <w:trPr>
          <w:trHeight w:val="209"/>
        </w:trPr>
        <w:tc>
          <w:tcPr>
            <w:tcW w:w="20" w:type="dxa"/>
            <w:vAlign w:val="bottom"/>
            <w:shd w:val="clear" w:color="auto" w:fill="CFF0FC"/>
          </w:tcPr>
          <w:p>
            <w:pPr>
              <w:spacing w:after="0"/>
              <w:rPr>
                <w:sz w:val="18"/>
                <w:szCs w:val="18"/>
                <w:color w:val="auto"/>
              </w:rPr>
            </w:pPr>
          </w:p>
        </w:tc>
        <w:tc>
          <w:tcPr>
            <w:tcW w:w="3220" w:type="dxa"/>
            <w:vAlign w:val="bottom"/>
            <w:gridSpan w:val="2"/>
            <w:shd w:val="clear" w:color="auto" w:fill="CFF0FC"/>
          </w:tcPr>
          <w:p>
            <w:pPr>
              <w:spacing w:after="0"/>
              <w:rPr>
                <w:sz w:val="20"/>
                <w:szCs w:val="20"/>
                <w:color w:val="auto"/>
              </w:rPr>
            </w:pPr>
            <w:r>
              <w:rPr>
                <w:rFonts w:ascii="Arial" w:cs="Arial" w:eastAsia="Arial" w:hAnsi="Arial"/>
                <w:sz w:val="14"/>
                <w:szCs w:val="14"/>
                <w:color w:val="auto"/>
              </w:rPr>
              <w:t>Add back:</w:t>
            </w:r>
          </w:p>
        </w:tc>
        <w:tc>
          <w:tcPr>
            <w:tcW w:w="180" w:type="dxa"/>
            <w:vAlign w:val="bottom"/>
            <w:shd w:val="clear" w:color="auto" w:fill="CFF0FC"/>
          </w:tcPr>
          <w:p>
            <w:pPr>
              <w:spacing w:after="0"/>
              <w:rPr>
                <w:sz w:val="18"/>
                <w:szCs w:val="18"/>
                <w:color w:val="auto"/>
              </w:rPr>
            </w:pPr>
          </w:p>
        </w:tc>
        <w:tc>
          <w:tcPr>
            <w:tcW w:w="64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r>
      <w:tr>
        <w:trPr>
          <w:trHeight w:val="196"/>
        </w:trPr>
        <w:tc>
          <w:tcPr>
            <w:tcW w:w="20" w:type="dxa"/>
            <w:vAlign w:val="bottom"/>
          </w:tcPr>
          <w:p>
            <w:pPr>
              <w:spacing w:after="0"/>
              <w:rPr>
                <w:sz w:val="17"/>
                <w:szCs w:val="17"/>
                <w:color w:val="auto"/>
              </w:rPr>
            </w:pPr>
          </w:p>
        </w:tc>
        <w:tc>
          <w:tcPr>
            <w:tcW w:w="3220" w:type="dxa"/>
            <w:vAlign w:val="bottom"/>
            <w:gridSpan w:val="2"/>
          </w:tcPr>
          <w:p>
            <w:pPr>
              <w:spacing w:after="0"/>
              <w:rPr>
                <w:sz w:val="20"/>
                <w:szCs w:val="20"/>
                <w:color w:val="auto"/>
              </w:rPr>
            </w:pPr>
            <w:r>
              <w:rPr>
                <w:rFonts w:ascii="Arial" w:cs="Arial" w:eastAsia="Arial" w:hAnsi="Arial"/>
                <w:sz w:val="14"/>
                <w:szCs w:val="14"/>
                <w:color w:val="auto"/>
              </w:rPr>
              <w:t>Impairment of assets</w:t>
            </w:r>
          </w:p>
        </w:tc>
        <w:tc>
          <w:tcPr>
            <w:tcW w:w="180" w:type="dxa"/>
            <w:vAlign w:val="bottom"/>
          </w:tcPr>
          <w:p>
            <w:pPr>
              <w:spacing w:after="0"/>
              <w:rPr>
                <w:sz w:val="17"/>
                <w:szCs w:val="17"/>
                <w:color w:val="auto"/>
              </w:rPr>
            </w:pPr>
          </w:p>
        </w:tc>
        <w:tc>
          <w:tcPr>
            <w:tcW w:w="980" w:type="dxa"/>
            <w:vAlign w:val="bottom"/>
            <w:gridSpan w:val="2"/>
          </w:tcPr>
          <w:p>
            <w:pPr>
              <w:jc w:val="right"/>
              <w:ind w:right="280"/>
              <w:spacing w:after="0"/>
              <w:rPr>
                <w:sz w:val="20"/>
                <w:szCs w:val="20"/>
                <w:color w:val="auto"/>
              </w:rPr>
            </w:pPr>
            <w:r>
              <w:rPr>
                <w:rFonts w:ascii="Arial" w:cs="Arial" w:eastAsia="Arial" w:hAnsi="Arial"/>
                <w:sz w:val="14"/>
                <w:szCs w:val="14"/>
                <w:color w:val="auto"/>
              </w:rPr>
              <w:t>(1.1 )</w:t>
            </w:r>
          </w:p>
        </w:tc>
        <w:tc>
          <w:tcPr>
            <w:tcW w:w="180" w:type="dxa"/>
            <w:vAlign w:val="bottom"/>
          </w:tcPr>
          <w:p>
            <w:pPr>
              <w:spacing w:after="0"/>
              <w:rPr>
                <w:sz w:val="17"/>
                <w:szCs w:val="17"/>
                <w:color w:val="auto"/>
              </w:rPr>
            </w:pPr>
          </w:p>
        </w:tc>
        <w:tc>
          <w:tcPr>
            <w:tcW w:w="900" w:type="dxa"/>
            <w:vAlign w:val="bottom"/>
            <w:gridSpan w:val="2"/>
          </w:tcPr>
          <w:p>
            <w:pPr>
              <w:jc w:val="right"/>
              <w:ind w:right="180"/>
              <w:spacing w:after="0"/>
              <w:rPr>
                <w:sz w:val="20"/>
                <w:szCs w:val="20"/>
                <w:color w:val="auto"/>
              </w:rPr>
            </w:pPr>
            <w:r>
              <w:rPr>
                <w:rFonts w:ascii="Arial" w:cs="Arial" w:eastAsia="Arial" w:hAnsi="Arial"/>
                <w:sz w:val="14"/>
                <w:szCs w:val="14"/>
                <w:color w:val="auto"/>
              </w:rPr>
              <w:t>(1.1 )</w:t>
            </w:r>
          </w:p>
        </w:tc>
        <w:tc>
          <w:tcPr>
            <w:tcW w:w="16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17"/>
                <w:szCs w:val="17"/>
                <w:color w:val="auto"/>
              </w:rPr>
            </w:pPr>
          </w:p>
        </w:tc>
        <w:tc>
          <w:tcPr>
            <w:tcW w:w="360" w:type="dxa"/>
            <w:vAlign w:val="bottom"/>
          </w:tcPr>
          <w:p>
            <w:pPr>
              <w:jc w:val="right"/>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7"/>
                <w:szCs w:val="17"/>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4"/>
                <w:szCs w:val="14"/>
                <w:color w:val="auto"/>
              </w:rPr>
              <w:t>(2.1 )</w:t>
            </w:r>
          </w:p>
        </w:tc>
        <w:tc>
          <w:tcPr>
            <w:tcW w:w="16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15.2</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7"/>
                <w:szCs w:val="17"/>
                <w:color w:val="auto"/>
              </w:rPr>
            </w:pPr>
          </w:p>
        </w:tc>
        <w:tc>
          <w:tcPr>
            <w:tcW w:w="1120" w:type="dxa"/>
            <w:vAlign w:val="bottom"/>
            <w:gridSpan w:val="2"/>
          </w:tcPr>
          <w:p>
            <w:pPr>
              <w:jc w:val="right"/>
              <w:ind w:right="20"/>
              <w:spacing w:after="0"/>
              <w:rPr>
                <w:sz w:val="20"/>
                <w:szCs w:val="20"/>
                <w:color w:val="auto"/>
              </w:rPr>
            </w:pPr>
            <w:r>
              <w:rPr>
                <w:rFonts w:ascii="Arial" w:cs="Arial" w:eastAsia="Arial" w:hAnsi="Arial"/>
                <w:sz w:val="14"/>
                <w:szCs w:val="14"/>
                <w:color w:val="auto"/>
              </w:rPr>
              <w:t>(2.1 )</w:t>
            </w:r>
          </w:p>
        </w:tc>
      </w:tr>
      <w:tr>
        <w:trPr>
          <w:trHeight w:val="209"/>
        </w:trPr>
        <w:tc>
          <w:tcPr>
            <w:tcW w:w="20" w:type="dxa"/>
            <w:vAlign w:val="bottom"/>
            <w:shd w:val="clear" w:color="auto" w:fill="CFF0FC"/>
          </w:tcPr>
          <w:p>
            <w:pPr>
              <w:spacing w:after="0"/>
              <w:rPr>
                <w:sz w:val="18"/>
                <w:szCs w:val="18"/>
                <w:color w:val="auto"/>
              </w:rPr>
            </w:pPr>
          </w:p>
        </w:tc>
        <w:tc>
          <w:tcPr>
            <w:tcW w:w="3220" w:type="dxa"/>
            <w:vAlign w:val="bottom"/>
            <w:gridSpan w:val="2"/>
            <w:shd w:val="clear" w:color="auto" w:fill="CFF0FC"/>
          </w:tcPr>
          <w:p>
            <w:pPr>
              <w:spacing w:after="0"/>
              <w:rPr>
                <w:sz w:val="20"/>
                <w:szCs w:val="20"/>
                <w:color w:val="auto"/>
              </w:rPr>
            </w:pPr>
            <w:r>
              <w:rPr>
                <w:rFonts w:ascii="Arial" w:cs="Arial" w:eastAsia="Arial" w:hAnsi="Arial"/>
                <w:sz w:val="14"/>
                <w:szCs w:val="14"/>
                <w:color w:val="auto"/>
              </w:rPr>
              <w:t>CEO transition costs</w:t>
            </w:r>
          </w:p>
        </w:tc>
        <w:tc>
          <w:tcPr>
            <w:tcW w:w="180" w:type="dxa"/>
            <w:vAlign w:val="bottom"/>
            <w:shd w:val="clear" w:color="auto" w:fill="CFF0FC"/>
          </w:tcPr>
          <w:p>
            <w:pPr>
              <w:spacing w:after="0"/>
              <w:rPr>
                <w:sz w:val="18"/>
                <w:szCs w:val="18"/>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3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34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0.7</w:t>
            </w:r>
          </w:p>
        </w:tc>
        <w:tc>
          <w:tcPr>
            <w:tcW w:w="10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80" w:type="dxa"/>
            <w:vAlign w:val="bottom"/>
            <w:shd w:val="clear" w:color="auto" w:fill="CFF0FC"/>
          </w:tcPr>
          <w:p>
            <w:pPr>
              <w:spacing w:after="0"/>
              <w:rPr>
                <w:sz w:val="18"/>
                <w:szCs w:val="18"/>
                <w:color w:val="auto"/>
              </w:rPr>
            </w:pPr>
          </w:p>
        </w:tc>
      </w:tr>
      <w:tr>
        <w:trPr>
          <w:trHeight w:val="196"/>
        </w:trPr>
        <w:tc>
          <w:tcPr>
            <w:tcW w:w="20" w:type="dxa"/>
            <w:vAlign w:val="bottom"/>
          </w:tcPr>
          <w:p>
            <w:pPr>
              <w:spacing w:after="0"/>
              <w:rPr>
                <w:sz w:val="17"/>
                <w:szCs w:val="17"/>
                <w:color w:val="auto"/>
              </w:rPr>
            </w:pPr>
          </w:p>
        </w:tc>
        <w:tc>
          <w:tcPr>
            <w:tcW w:w="3220" w:type="dxa"/>
            <w:vAlign w:val="bottom"/>
            <w:gridSpan w:val="2"/>
          </w:tcPr>
          <w:p>
            <w:pPr>
              <w:spacing w:after="0"/>
              <w:rPr>
                <w:sz w:val="20"/>
                <w:szCs w:val="20"/>
                <w:color w:val="auto"/>
              </w:rPr>
            </w:pPr>
            <w:r>
              <w:rPr>
                <w:rFonts w:ascii="Arial" w:cs="Arial" w:eastAsia="Arial" w:hAnsi="Arial"/>
                <w:sz w:val="14"/>
                <w:szCs w:val="14"/>
                <w:color w:val="auto"/>
              </w:rPr>
              <w:t>Exit costs associated with London operations</w:t>
            </w:r>
          </w:p>
        </w:tc>
        <w:tc>
          <w:tcPr>
            <w:tcW w:w="18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1.7</w:t>
            </w:r>
          </w:p>
        </w:tc>
        <w:tc>
          <w:tcPr>
            <w:tcW w:w="3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1.7</w:t>
            </w:r>
          </w:p>
        </w:tc>
        <w:tc>
          <w:tcPr>
            <w:tcW w:w="10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7"/>
                <w:szCs w:val="17"/>
                <w:color w:val="auto"/>
              </w:rPr>
            </w:pPr>
          </w:p>
        </w:tc>
      </w:tr>
      <w:tr>
        <w:trPr>
          <w:trHeight w:val="208"/>
        </w:trPr>
        <w:tc>
          <w:tcPr>
            <w:tcW w:w="20" w:type="dxa"/>
            <w:vAlign w:val="bottom"/>
            <w:shd w:val="clear" w:color="auto" w:fill="CFF0FC"/>
          </w:tcPr>
          <w:p>
            <w:pPr>
              <w:spacing w:after="0"/>
              <w:rPr>
                <w:sz w:val="18"/>
                <w:szCs w:val="18"/>
                <w:color w:val="auto"/>
              </w:rPr>
            </w:pPr>
          </w:p>
        </w:tc>
        <w:tc>
          <w:tcPr>
            <w:tcW w:w="3220" w:type="dxa"/>
            <w:vAlign w:val="bottom"/>
            <w:gridSpan w:val="2"/>
            <w:shd w:val="clear" w:color="auto" w:fill="CFF0FC"/>
          </w:tcPr>
          <w:p>
            <w:pPr>
              <w:spacing w:after="0"/>
              <w:rPr>
                <w:sz w:val="20"/>
                <w:szCs w:val="20"/>
                <w:color w:val="auto"/>
              </w:rPr>
            </w:pPr>
            <w:r>
              <w:rPr>
                <w:rFonts w:ascii="Arial" w:cs="Arial" w:eastAsia="Arial" w:hAnsi="Arial"/>
                <w:sz w:val="14"/>
                <w:szCs w:val="14"/>
                <w:color w:val="auto"/>
              </w:rPr>
              <w:t>Provision (benefit) for income taxes</w:t>
            </w:r>
          </w:p>
        </w:tc>
        <w:tc>
          <w:tcPr>
            <w:tcW w:w="180" w:type="dxa"/>
            <w:vAlign w:val="bottom"/>
            <w:shd w:val="clear" w:color="auto" w:fill="CFF0FC"/>
          </w:tcPr>
          <w:p>
            <w:pPr>
              <w:spacing w:after="0"/>
              <w:rPr>
                <w:sz w:val="18"/>
                <w:szCs w:val="18"/>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0.1</w:t>
            </w:r>
          </w:p>
        </w:tc>
        <w:tc>
          <w:tcPr>
            <w:tcW w:w="3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34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0.5</w:t>
            </w:r>
          </w:p>
        </w:tc>
        <w:tc>
          <w:tcPr>
            <w:tcW w:w="2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0.1</w:t>
            </w:r>
          </w:p>
        </w:tc>
        <w:tc>
          <w:tcPr>
            <w:tcW w:w="2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40" w:type="dxa"/>
            <w:vAlign w:val="bottom"/>
            <w:gridSpan w:val="2"/>
            <w:shd w:val="clear" w:color="auto" w:fill="CFF0FC"/>
          </w:tcPr>
          <w:p>
            <w:pPr>
              <w:jc w:val="right"/>
              <w:ind w:right="40"/>
              <w:spacing w:after="0"/>
              <w:rPr>
                <w:sz w:val="20"/>
                <w:szCs w:val="20"/>
                <w:color w:val="auto"/>
              </w:rPr>
            </w:pPr>
            <w:r>
              <w:rPr>
                <w:rFonts w:ascii="Arial" w:cs="Arial" w:eastAsia="Arial" w:hAnsi="Arial"/>
                <w:sz w:val="14"/>
                <w:szCs w:val="14"/>
                <w:color w:val="auto"/>
              </w:rPr>
              <w:t>(0.1 )</w:t>
            </w:r>
          </w:p>
        </w:tc>
        <w:tc>
          <w:tcPr>
            <w:tcW w:w="10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0.5-0.8</w:t>
            </w:r>
          </w:p>
        </w:tc>
        <w:tc>
          <w:tcPr>
            <w:tcW w:w="80" w:type="dxa"/>
            <w:vAlign w:val="bottom"/>
            <w:shd w:val="clear" w:color="auto" w:fill="CFF0FC"/>
          </w:tcPr>
          <w:p>
            <w:pPr>
              <w:spacing w:after="0"/>
              <w:rPr>
                <w:sz w:val="18"/>
                <w:szCs w:val="18"/>
                <w:color w:val="auto"/>
              </w:rPr>
            </w:pPr>
          </w:p>
        </w:tc>
      </w:tr>
      <w:tr>
        <w:trPr>
          <w:trHeight w:val="197"/>
        </w:trPr>
        <w:tc>
          <w:tcPr>
            <w:tcW w:w="20" w:type="dxa"/>
            <w:vAlign w:val="bottom"/>
          </w:tcPr>
          <w:p>
            <w:pPr>
              <w:spacing w:after="0"/>
              <w:rPr>
                <w:sz w:val="17"/>
                <w:szCs w:val="17"/>
                <w:color w:val="auto"/>
              </w:rPr>
            </w:pPr>
          </w:p>
        </w:tc>
        <w:tc>
          <w:tcPr>
            <w:tcW w:w="3220" w:type="dxa"/>
            <w:vAlign w:val="bottom"/>
            <w:gridSpan w:val="2"/>
          </w:tcPr>
          <w:p>
            <w:pPr>
              <w:spacing w:after="0"/>
              <w:rPr>
                <w:sz w:val="20"/>
                <w:szCs w:val="20"/>
                <w:color w:val="auto"/>
              </w:rPr>
            </w:pPr>
            <w:r>
              <w:rPr>
                <w:rFonts w:ascii="Arial" w:cs="Arial" w:eastAsia="Arial" w:hAnsi="Arial"/>
                <w:sz w:val="14"/>
                <w:szCs w:val="14"/>
                <w:color w:val="auto"/>
              </w:rPr>
              <w:t>Interest expense</w:t>
            </w:r>
          </w:p>
        </w:tc>
        <w:tc>
          <w:tcPr>
            <w:tcW w:w="18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2.2</w:t>
            </w:r>
          </w:p>
        </w:tc>
        <w:tc>
          <w:tcPr>
            <w:tcW w:w="3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1.1</w:t>
            </w: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0.9</w:t>
            </w:r>
          </w:p>
        </w:tc>
        <w:tc>
          <w:tcPr>
            <w:tcW w:w="3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4.3</w:t>
            </w: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2.9</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2.6</w:t>
            </w:r>
          </w:p>
        </w:tc>
        <w:tc>
          <w:tcPr>
            <w:tcW w:w="10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4.6-4.8</w:t>
            </w:r>
          </w:p>
        </w:tc>
        <w:tc>
          <w:tcPr>
            <w:tcW w:w="80" w:type="dxa"/>
            <w:vAlign w:val="bottom"/>
          </w:tcPr>
          <w:p>
            <w:pPr>
              <w:spacing w:after="0"/>
              <w:rPr>
                <w:sz w:val="17"/>
                <w:szCs w:val="17"/>
                <w:color w:val="auto"/>
              </w:rPr>
            </w:pPr>
          </w:p>
        </w:tc>
      </w:tr>
      <w:tr>
        <w:trPr>
          <w:trHeight w:val="203"/>
        </w:trPr>
        <w:tc>
          <w:tcPr>
            <w:tcW w:w="20" w:type="dxa"/>
            <w:vAlign w:val="bottom"/>
            <w:tcBorders>
              <w:bottom w:val="single" w:sz="8" w:color="CFF0FC"/>
            </w:tcBorders>
            <w:shd w:val="clear" w:color="auto" w:fill="CFF0FC"/>
          </w:tcPr>
          <w:p>
            <w:pPr>
              <w:spacing w:after="0"/>
              <w:rPr>
                <w:sz w:val="17"/>
                <w:szCs w:val="17"/>
                <w:color w:val="auto"/>
              </w:rPr>
            </w:pPr>
          </w:p>
        </w:tc>
        <w:tc>
          <w:tcPr>
            <w:tcW w:w="3220" w:type="dxa"/>
            <w:vAlign w:val="bottom"/>
            <w:tcBorders>
              <w:bottom w:val="single" w:sz="8" w:color="CFF0FC"/>
            </w:tcBorders>
            <w:gridSpan w:val="2"/>
            <w:shd w:val="clear" w:color="auto" w:fill="CFF0FC"/>
          </w:tcPr>
          <w:p>
            <w:pPr>
              <w:spacing w:after="0"/>
              <w:rPr>
                <w:sz w:val="20"/>
                <w:szCs w:val="20"/>
                <w:color w:val="auto"/>
              </w:rPr>
            </w:pPr>
            <w:r>
              <w:rPr>
                <w:rFonts w:ascii="Arial" w:cs="Arial" w:eastAsia="Arial" w:hAnsi="Arial"/>
                <w:sz w:val="14"/>
                <w:szCs w:val="14"/>
                <w:color w:val="auto"/>
              </w:rPr>
              <w:t>Depreciation and amortization</w:t>
            </w:r>
          </w:p>
        </w:tc>
        <w:tc>
          <w:tcPr>
            <w:tcW w:w="180" w:type="dxa"/>
            <w:vAlign w:val="bottom"/>
            <w:tcBorders>
              <w:bottom w:val="single" w:sz="8" w:color="auto"/>
            </w:tcBorders>
            <w:shd w:val="clear" w:color="auto" w:fill="CFF0FC"/>
          </w:tcPr>
          <w:p>
            <w:pPr>
              <w:spacing w:after="0"/>
              <w:rPr>
                <w:sz w:val="17"/>
                <w:szCs w:val="17"/>
                <w:color w:val="auto"/>
              </w:rPr>
            </w:pPr>
          </w:p>
        </w:tc>
        <w:tc>
          <w:tcPr>
            <w:tcW w:w="6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4.1</w:t>
            </w:r>
          </w:p>
        </w:tc>
        <w:tc>
          <w:tcPr>
            <w:tcW w:w="340" w:type="dxa"/>
            <w:vAlign w:val="bottom"/>
            <w:tcBorders>
              <w:bottom w:val="single" w:sz="8" w:color="CFF0FC"/>
            </w:tcBorders>
            <w:shd w:val="clear" w:color="auto" w:fill="CFF0FC"/>
          </w:tcPr>
          <w:p>
            <w:pPr>
              <w:spacing w:after="0"/>
              <w:rPr>
                <w:sz w:val="17"/>
                <w:szCs w:val="17"/>
                <w:color w:val="auto"/>
              </w:rPr>
            </w:pPr>
          </w:p>
        </w:tc>
        <w:tc>
          <w:tcPr>
            <w:tcW w:w="180" w:type="dxa"/>
            <w:vAlign w:val="bottom"/>
            <w:tcBorders>
              <w:bottom w:val="single" w:sz="8" w:color="auto"/>
            </w:tcBorders>
            <w:shd w:val="clear" w:color="auto" w:fill="CFF0FC"/>
          </w:tcPr>
          <w:p>
            <w:pPr>
              <w:spacing w:after="0"/>
              <w:rPr>
                <w:sz w:val="17"/>
                <w:szCs w:val="17"/>
                <w:color w:val="auto"/>
              </w:rPr>
            </w:pPr>
          </w:p>
        </w:tc>
        <w:tc>
          <w:tcPr>
            <w:tcW w:w="6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5.3</w:t>
            </w:r>
          </w:p>
        </w:tc>
        <w:tc>
          <w:tcPr>
            <w:tcW w:w="240" w:type="dxa"/>
            <w:vAlign w:val="bottom"/>
            <w:tcBorders>
              <w:bottom w:val="single" w:sz="8" w:color="CFF0FC"/>
            </w:tcBorders>
            <w:shd w:val="clear" w:color="auto" w:fill="CFF0FC"/>
          </w:tcPr>
          <w:p>
            <w:pPr>
              <w:spacing w:after="0"/>
              <w:rPr>
                <w:sz w:val="17"/>
                <w:szCs w:val="17"/>
                <w:color w:val="auto"/>
              </w:rPr>
            </w:pPr>
          </w:p>
        </w:tc>
        <w:tc>
          <w:tcPr>
            <w:tcW w:w="160" w:type="dxa"/>
            <w:vAlign w:val="bottom"/>
            <w:tcBorders>
              <w:bottom w:val="single" w:sz="8" w:color="auto"/>
            </w:tcBorders>
            <w:shd w:val="clear" w:color="auto" w:fill="CFF0FC"/>
          </w:tcPr>
          <w:p>
            <w:pPr>
              <w:spacing w:after="0"/>
              <w:rPr>
                <w:sz w:val="17"/>
                <w:szCs w:val="17"/>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6.3</w:t>
            </w:r>
          </w:p>
        </w:tc>
        <w:tc>
          <w:tcPr>
            <w:tcW w:w="340" w:type="dxa"/>
            <w:vAlign w:val="bottom"/>
            <w:tcBorders>
              <w:bottom w:val="single" w:sz="8" w:color="CFF0FC"/>
            </w:tcBorders>
            <w:shd w:val="clear" w:color="auto" w:fill="CFF0FC"/>
          </w:tcPr>
          <w:p>
            <w:pPr>
              <w:spacing w:after="0"/>
              <w:rPr>
                <w:sz w:val="17"/>
                <w:szCs w:val="17"/>
                <w:color w:val="auto"/>
              </w:rPr>
            </w:pPr>
          </w:p>
        </w:tc>
        <w:tc>
          <w:tcPr>
            <w:tcW w:w="360" w:type="dxa"/>
            <w:vAlign w:val="bottom"/>
            <w:tcBorders>
              <w:bottom w:val="single" w:sz="8" w:color="CFF0FC"/>
            </w:tcBorders>
            <w:shd w:val="clear" w:color="auto" w:fill="CFF0FC"/>
          </w:tcPr>
          <w:p>
            <w:pPr>
              <w:spacing w:after="0"/>
              <w:rPr>
                <w:sz w:val="17"/>
                <w:szCs w:val="17"/>
                <w:color w:val="auto"/>
              </w:rPr>
            </w:pPr>
          </w:p>
        </w:tc>
        <w:tc>
          <w:tcPr>
            <w:tcW w:w="180" w:type="dxa"/>
            <w:vAlign w:val="bottom"/>
            <w:tcBorders>
              <w:bottom w:val="single" w:sz="8" w:color="auto"/>
            </w:tcBorders>
            <w:shd w:val="clear" w:color="auto" w:fill="CFF0FC"/>
          </w:tcPr>
          <w:p>
            <w:pPr>
              <w:spacing w:after="0"/>
              <w:rPr>
                <w:sz w:val="17"/>
                <w:szCs w:val="17"/>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13.0</w:t>
            </w:r>
          </w:p>
        </w:tc>
        <w:tc>
          <w:tcPr>
            <w:tcW w:w="220" w:type="dxa"/>
            <w:vAlign w:val="bottom"/>
            <w:tcBorders>
              <w:bottom w:val="single" w:sz="8" w:color="CFF0FC"/>
            </w:tcBorders>
            <w:shd w:val="clear" w:color="auto" w:fill="CFF0FC"/>
          </w:tcPr>
          <w:p>
            <w:pPr>
              <w:spacing w:after="0"/>
              <w:rPr>
                <w:sz w:val="17"/>
                <w:szCs w:val="17"/>
                <w:color w:val="auto"/>
              </w:rPr>
            </w:pPr>
          </w:p>
        </w:tc>
        <w:tc>
          <w:tcPr>
            <w:tcW w:w="160" w:type="dxa"/>
            <w:vAlign w:val="bottom"/>
            <w:tcBorders>
              <w:bottom w:val="single" w:sz="8" w:color="auto"/>
            </w:tcBorders>
            <w:shd w:val="clear" w:color="auto" w:fill="CFF0FC"/>
          </w:tcPr>
          <w:p>
            <w:pPr>
              <w:spacing w:after="0"/>
              <w:rPr>
                <w:sz w:val="17"/>
                <w:szCs w:val="17"/>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16.4</w:t>
            </w:r>
          </w:p>
        </w:tc>
        <w:tc>
          <w:tcPr>
            <w:tcW w:w="220" w:type="dxa"/>
            <w:vAlign w:val="bottom"/>
            <w:tcBorders>
              <w:bottom w:val="single" w:sz="8" w:color="CFF0FC"/>
            </w:tcBorders>
            <w:shd w:val="clear" w:color="auto" w:fill="CFF0FC"/>
          </w:tcPr>
          <w:p>
            <w:pPr>
              <w:spacing w:after="0"/>
              <w:rPr>
                <w:sz w:val="17"/>
                <w:szCs w:val="17"/>
                <w:color w:val="auto"/>
              </w:rPr>
            </w:pPr>
          </w:p>
        </w:tc>
        <w:tc>
          <w:tcPr>
            <w:tcW w:w="100" w:type="dxa"/>
            <w:vAlign w:val="bottom"/>
            <w:tcBorders>
              <w:bottom w:val="single" w:sz="8" w:color="auto"/>
            </w:tcBorders>
            <w:shd w:val="clear" w:color="auto" w:fill="CFF0FC"/>
          </w:tcPr>
          <w:p>
            <w:pPr>
              <w:spacing w:after="0"/>
              <w:rPr>
                <w:sz w:val="17"/>
                <w:szCs w:val="17"/>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18.9</w:t>
            </w:r>
          </w:p>
        </w:tc>
        <w:tc>
          <w:tcPr>
            <w:tcW w:w="100" w:type="dxa"/>
            <w:vAlign w:val="bottom"/>
            <w:tcBorders>
              <w:bottom w:val="single" w:sz="8" w:color="CFF0FC"/>
            </w:tcBorders>
            <w:shd w:val="clear" w:color="auto" w:fill="CFF0FC"/>
          </w:tcPr>
          <w:p>
            <w:pPr>
              <w:spacing w:after="0"/>
              <w:rPr>
                <w:sz w:val="17"/>
                <w:szCs w:val="17"/>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17.1-17.3</w:t>
            </w:r>
          </w:p>
        </w:tc>
        <w:tc>
          <w:tcPr>
            <w:tcW w:w="80" w:type="dxa"/>
            <w:vAlign w:val="bottom"/>
            <w:tcBorders>
              <w:bottom w:val="single" w:sz="8" w:color="CFF0FC"/>
            </w:tcBorders>
            <w:shd w:val="clear" w:color="auto" w:fill="CFF0FC"/>
          </w:tcPr>
          <w:p>
            <w:pPr>
              <w:spacing w:after="0"/>
              <w:rPr>
                <w:sz w:val="17"/>
                <w:szCs w:val="17"/>
                <w:color w:val="auto"/>
              </w:rPr>
            </w:pPr>
          </w:p>
        </w:tc>
      </w:tr>
      <w:tr>
        <w:trPr>
          <w:trHeight w:val="202"/>
        </w:trPr>
        <w:tc>
          <w:tcPr>
            <w:tcW w:w="20" w:type="dxa"/>
            <w:vAlign w:val="bottom"/>
          </w:tcPr>
          <w:p>
            <w:pPr>
              <w:spacing w:after="0"/>
              <w:rPr>
                <w:sz w:val="17"/>
                <w:szCs w:val="17"/>
                <w:color w:val="auto"/>
              </w:rPr>
            </w:pPr>
          </w:p>
        </w:tc>
        <w:tc>
          <w:tcPr>
            <w:tcW w:w="3220" w:type="dxa"/>
            <w:vAlign w:val="bottom"/>
            <w:gridSpan w:val="2"/>
          </w:tcPr>
          <w:p>
            <w:pPr>
              <w:spacing w:after="0"/>
              <w:rPr>
                <w:sz w:val="20"/>
                <w:szCs w:val="20"/>
                <w:color w:val="auto"/>
              </w:rPr>
            </w:pPr>
            <w:r>
              <w:rPr>
                <w:rFonts w:ascii="Arial" w:cs="Arial" w:eastAsia="Arial" w:hAnsi="Arial"/>
                <w:sz w:val="14"/>
                <w:szCs w:val="14"/>
                <w:color w:val="auto"/>
              </w:rPr>
              <w:t>Adjusted EBITDA (non-GAAP basis)</w:t>
            </w:r>
          </w:p>
        </w:tc>
        <w:tc>
          <w:tcPr>
            <w:tcW w:w="180" w:type="dxa"/>
            <w:vAlign w:val="bottom"/>
          </w:tcPr>
          <w:p>
            <w:pPr>
              <w:jc w:val="right"/>
              <w:ind w:right="28"/>
              <w:spacing w:after="0"/>
              <w:rPr>
                <w:sz w:val="20"/>
                <w:szCs w:val="20"/>
                <w:color w:val="auto"/>
              </w:rPr>
            </w:pPr>
            <w:r>
              <w:rPr>
                <w:rFonts w:ascii="Arial" w:cs="Arial" w:eastAsia="Arial" w:hAnsi="Arial"/>
                <w:sz w:val="14"/>
                <w:szCs w:val="14"/>
                <w:color w:val="auto"/>
                <w:w w:val="76"/>
              </w:rPr>
              <w:t>$</w:t>
            </w:r>
          </w:p>
        </w:tc>
        <w:tc>
          <w:tcPr>
            <w:tcW w:w="640" w:type="dxa"/>
            <w:vAlign w:val="bottom"/>
          </w:tcPr>
          <w:p>
            <w:pPr>
              <w:jc w:val="right"/>
              <w:spacing w:after="0"/>
              <w:rPr>
                <w:sz w:val="20"/>
                <w:szCs w:val="20"/>
                <w:color w:val="auto"/>
              </w:rPr>
            </w:pPr>
            <w:r>
              <w:rPr>
                <w:rFonts w:ascii="Arial" w:cs="Arial" w:eastAsia="Arial" w:hAnsi="Arial"/>
                <w:sz w:val="14"/>
                <w:szCs w:val="14"/>
                <w:color w:val="auto"/>
              </w:rPr>
              <w:t>19.0</w:t>
            </w:r>
          </w:p>
        </w:tc>
        <w:tc>
          <w:tcPr>
            <w:tcW w:w="340" w:type="dxa"/>
            <w:vAlign w:val="bottom"/>
          </w:tcPr>
          <w:p>
            <w:pPr>
              <w:spacing w:after="0"/>
              <w:rPr>
                <w:sz w:val="17"/>
                <w:szCs w:val="17"/>
                <w:color w:val="auto"/>
              </w:rPr>
            </w:pP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900" w:type="dxa"/>
            <w:vAlign w:val="bottom"/>
            <w:gridSpan w:val="2"/>
          </w:tcPr>
          <w:p>
            <w:pPr>
              <w:jc w:val="right"/>
              <w:ind w:right="180"/>
              <w:spacing w:after="0"/>
              <w:rPr>
                <w:sz w:val="20"/>
                <w:szCs w:val="20"/>
                <w:color w:val="auto"/>
              </w:rPr>
            </w:pPr>
            <w:r>
              <w:rPr>
                <w:rFonts w:ascii="Arial" w:cs="Arial" w:eastAsia="Arial" w:hAnsi="Arial"/>
                <w:sz w:val="14"/>
                <w:szCs w:val="14"/>
                <w:color w:val="auto"/>
              </w:rPr>
              <w:t>(1.7 )</w:t>
            </w:r>
          </w:p>
        </w:tc>
        <w:tc>
          <w:tcPr>
            <w:tcW w:w="160" w:type="dxa"/>
            <w:vAlign w:val="bottom"/>
          </w:tcPr>
          <w:p>
            <w:pPr>
              <w:spacing w:after="0"/>
              <w:rPr>
                <w:sz w:val="20"/>
                <w:szCs w:val="20"/>
                <w:color w:val="auto"/>
              </w:rPr>
            </w:pPr>
            <w:r>
              <w:rPr>
                <w:rFonts w:ascii="Arial" w:cs="Arial" w:eastAsia="Arial" w:hAnsi="Arial"/>
                <w:sz w:val="14"/>
                <w:szCs w:val="14"/>
                <w:color w:val="auto"/>
              </w:rPr>
              <w:t>$</w:t>
            </w:r>
          </w:p>
        </w:tc>
        <w:tc>
          <w:tcPr>
            <w:tcW w:w="620" w:type="dxa"/>
            <w:vAlign w:val="bottom"/>
          </w:tcPr>
          <w:p>
            <w:pPr>
              <w:jc w:val="right"/>
              <w:spacing w:after="0"/>
              <w:rPr>
                <w:sz w:val="20"/>
                <w:szCs w:val="20"/>
                <w:color w:val="auto"/>
              </w:rPr>
            </w:pPr>
            <w:r>
              <w:rPr>
                <w:rFonts w:ascii="Arial" w:cs="Arial" w:eastAsia="Arial" w:hAnsi="Arial"/>
                <w:sz w:val="14"/>
                <w:szCs w:val="14"/>
                <w:color w:val="auto"/>
              </w:rPr>
              <w:t>1.7</w:t>
            </w:r>
          </w:p>
        </w:tc>
        <w:tc>
          <w:tcPr>
            <w:tcW w:w="340" w:type="dxa"/>
            <w:vAlign w:val="bottom"/>
          </w:tcPr>
          <w:p>
            <w:pPr>
              <w:spacing w:after="0"/>
              <w:rPr>
                <w:sz w:val="17"/>
                <w:szCs w:val="17"/>
                <w:color w:val="auto"/>
              </w:rPr>
            </w:pPr>
          </w:p>
        </w:tc>
        <w:tc>
          <w:tcPr>
            <w:tcW w:w="540" w:type="dxa"/>
            <w:vAlign w:val="bottom"/>
            <w:gridSpan w:val="2"/>
          </w:tcPr>
          <w:p>
            <w:pPr>
              <w:jc w:val="right"/>
              <w:ind w:right="28"/>
              <w:spacing w:after="0"/>
              <w:rPr>
                <w:sz w:val="20"/>
                <w:szCs w:val="20"/>
                <w:color w:val="auto"/>
              </w:rPr>
            </w:pPr>
            <w:r>
              <w:rPr>
                <w:rFonts w:ascii="Arial" w:cs="Arial" w:eastAsia="Arial" w:hAnsi="Arial"/>
                <w:sz w:val="14"/>
                <w:szCs w:val="14"/>
                <w:color w:val="auto"/>
              </w:rPr>
              <w:t>$</w:t>
            </w:r>
          </w:p>
        </w:tc>
        <w:tc>
          <w:tcPr>
            <w:tcW w:w="620" w:type="dxa"/>
            <w:vAlign w:val="bottom"/>
          </w:tcPr>
          <w:p>
            <w:pPr>
              <w:jc w:val="right"/>
              <w:spacing w:after="0"/>
              <w:rPr>
                <w:sz w:val="20"/>
                <w:szCs w:val="20"/>
                <w:color w:val="auto"/>
              </w:rPr>
            </w:pPr>
            <w:r>
              <w:rPr>
                <w:rFonts w:ascii="Arial" w:cs="Arial" w:eastAsia="Arial" w:hAnsi="Arial"/>
                <w:sz w:val="14"/>
                <w:szCs w:val="14"/>
                <w:color w:val="auto"/>
              </w:rPr>
              <w:t>62.5</w:t>
            </w:r>
          </w:p>
        </w:tc>
        <w:tc>
          <w:tcPr>
            <w:tcW w:w="220" w:type="dxa"/>
            <w:vAlign w:val="bottom"/>
          </w:tcPr>
          <w:p>
            <w:pPr>
              <w:spacing w:after="0"/>
              <w:rPr>
                <w:sz w:val="17"/>
                <w:szCs w:val="17"/>
                <w:color w:val="auto"/>
              </w:rPr>
            </w:pPr>
          </w:p>
        </w:tc>
        <w:tc>
          <w:tcPr>
            <w:tcW w:w="160" w:type="dxa"/>
            <w:vAlign w:val="bottom"/>
          </w:tcPr>
          <w:p>
            <w:pPr>
              <w:jc w:val="right"/>
              <w:ind w:right="8"/>
              <w:spacing w:after="0"/>
              <w:rPr>
                <w:sz w:val="20"/>
                <w:szCs w:val="20"/>
                <w:color w:val="auto"/>
              </w:rPr>
            </w:pPr>
            <w:r>
              <w:rPr>
                <w:rFonts w:ascii="Arial" w:cs="Arial" w:eastAsia="Arial" w:hAnsi="Arial"/>
                <w:sz w:val="14"/>
                <w:szCs w:val="14"/>
                <w:color w:val="auto"/>
                <w:w w:val="76"/>
              </w:rPr>
              <w:t>$</w:t>
            </w:r>
          </w:p>
        </w:tc>
        <w:tc>
          <w:tcPr>
            <w:tcW w:w="840" w:type="dxa"/>
            <w:vAlign w:val="bottom"/>
            <w:gridSpan w:val="2"/>
          </w:tcPr>
          <w:p>
            <w:pPr>
              <w:jc w:val="right"/>
              <w:ind w:right="140"/>
              <w:spacing w:after="0"/>
              <w:rPr>
                <w:sz w:val="20"/>
                <w:szCs w:val="20"/>
                <w:color w:val="auto"/>
              </w:rPr>
            </w:pPr>
            <w:r>
              <w:rPr>
                <w:rFonts w:ascii="Arial" w:cs="Arial" w:eastAsia="Arial" w:hAnsi="Arial"/>
                <w:sz w:val="14"/>
                <w:szCs w:val="14"/>
                <w:color w:val="auto"/>
              </w:rPr>
              <w:t>(24.9 )</w:t>
            </w: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940" w:type="dxa"/>
            <w:vAlign w:val="bottom"/>
          </w:tcPr>
          <w:p>
            <w:pPr>
              <w:jc w:val="right"/>
              <w:spacing w:after="0"/>
              <w:rPr>
                <w:sz w:val="20"/>
                <w:szCs w:val="20"/>
                <w:color w:val="auto"/>
              </w:rPr>
            </w:pPr>
            <w:r>
              <w:rPr>
                <w:rFonts w:ascii="Arial" w:cs="Arial" w:eastAsia="Arial" w:hAnsi="Arial"/>
                <w:sz w:val="14"/>
                <w:szCs w:val="14"/>
                <w:color w:val="auto"/>
              </w:rPr>
              <w:t>13.6</w:t>
            </w:r>
          </w:p>
        </w:tc>
        <w:tc>
          <w:tcPr>
            <w:tcW w:w="100" w:type="dxa"/>
            <w:vAlign w:val="bottom"/>
          </w:tcPr>
          <w:p>
            <w:pPr>
              <w:spacing w:after="0"/>
              <w:rPr>
                <w:sz w:val="17"/>
                <w:szCs w:val="17"/>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4"/>
                <w:szCs w:val="14"/>
                <w:color w:val="auto"/>
              </w:rPr>
              <w:t>$70.0 to $75.0</w:t>
            </w:r>
          </w:p>
        </w:tc>
      </w:tr>
      <w:tr>
        <w:trPr>
          <w:trHeight w:val="20"/>
        </w:trPr>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2576830</wp:posOffset>
            </wp:positionH>
            <wp:positionV relativeFrom="paragraph">
              <wp:posOffset>-159385</wp:posOffset>
            </wp:positionV>
            <wp:extent cx="222885" cy="571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222885" cy="5715"/>
                    </a:xfrm>
                    <a:prstGeom prst="rect">
                      <a:avLst/>
                    </a:prstGeom>
                    <a:noFill/>
                  </pic:spPr>
                </pic:pic>
              </a:graphicData>
            </a:graphic>
          </wp:anchor>
        </w:drawing>
        <w:drawing>
          <wp:anchor simplePos="0" relativeHeight="251657728" behindDoc="1" locked="0" layoutInCell="0" allowOverlap="1">
            <wp:simplePos x="0" y="0"/>
            <wp:positionH relativeFrom="column">
              <wp:posOffset>3322320</wp:posOffset>
            </wp:positionH>
            <wp:positionV relativeFrom="paragraph">
              <wp:posOffset>-159385</wp:posOffset>
            </wp:positionV>
            <wp:extent cx="154305" cy="571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154305" cy="5715"/>
                    </a:xfrm>
                    <a:prstGeom prst="rect">
                      <a:avLst/>
                    </a:prstGeom>
                    <a:noFill/>
                  </pic:spPr>
                </pic:pic>
              </a:graphicData>
            </a:graphic>
          </wp:anchor>
        </w:drawing>
        <w:drawing>
          <wp:anchor simplePos="0" relativeHeight="251657728" behindDoc="1" locked="0" layoutInCell="0" allowOverlap="1">
            <wp:simplePos x="0" y="0"/>
            <wp:positionH relativeFrom="column">
              <wp:posOffset>3973830</wp:posOffset>
            </wp:positionH>
            <wp:positionV relativeFrom="paragraph">
              <wp:posOffset>-159385</wp:posOffset>
            </wp:positionV>
            <wp:extent cx="403225" cy="571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403225" cy="5715"/>
                    </a:xfrm>
                    <a:prstGeom prst="rect">
                      <a:avLst/>
                    </a:prstGeom>
                    <a:noFill/>
                  </pic:spPr>
                </pic:pic>
              </a:graphicData>
            </a:graphic>
          </wp:anchor>
        </w:drawing>
        <w:drawing>
          <wp:anchor simplePos="0" relativeHeight="251657728" behindDoc="1" locked="0" layoutInCell="0" allowOverlap="1">
            <wp:simplePos x="0" y="0"/>
            <wp:positionH relativeFrom="column">
              <wp:posOffset>4925695</wp:posOffset>
            </wp:positionH>
            <wp:positionV relativeFrom="paragraph">
              <wp:posOffset>-159385</wp:posOffset>
            </wp:positionV>
            <wp:extent cx="137160" cy="571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137160" cy="5715"/>
                    </a:xfrm>
                    <a:prstGeom prst="rect">
                      <a:avLst/>
                    </a:prstGeom>
                    <a:noFill/>
                  </pic:spPr>
                </pic:pic>
              </a:graphicData>
            </a:graphic>
          </wp:anchor>
        </w:drawing>
        <w:drawing>
          <wp:anchor simplePos="0" relativeHeight="251657728" behindDoc="1" locked="0" layoutInCell="0" allowOverlap="1">
            <wp:simplePos x="0" y="0"/>
            <wp:positionH relativeFrom="column">
              <wp:posOffset>5568315</wp:posOffset>
            </wp:positionH>
            <wp:positionV relativeFrom="paragraph">
              <wp:posOffset>-159385</wp:posOffset>
            </wp:positionV>
            <wp:extent cx="137160" cy="571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137160" cy="5715"/>
                    </a:xfrm>
                    <a:prstGeom prst="rect">
                      <a:avLst/>
                    </a:prstGeom>
                    <a:noFill/>
                  </pic:spPr>
                </pic:pic>
              </a:graphicData>
            </a:graphic>
          </wp:anchor>
        </w:drawing>
        <w:drawing>
          <wp:anchor simplePos="0" relativeHeight="251657728" behindDoc="1" locked="0" layoutInCell="0" allowOverlap="1">
            <wp:simplePos x="0" y="0"/>
            <wp:positionH relativeFrom="column">
              <wp:posOffset>6356985</wp:posOffset>
            </wp:positionH>
            <wp:positionV relativeFrom="paragraph">
              <wp:posOffset>-159385</wp:posOffset>
            </wp:positionV>
            <wp:extent cx="68580" cy="571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7085965</wp:posOffset>
            </wp:positionH>
            <wp:positionV relativeFrom="paragraph">
              <wp:posOffset>-159385</wp:posOffset>
            </wp:positionV>
            <wp:extent cx="51435" cy="571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51435" cy="5715"/>
                    </a:xfrm>
                    <a:prstGeom prst="rect">
                      <a:avLst/>
                    </a:prstGeom>
                    <a:noFill/>
                  </pic:spPr>
                </pic:pic>
              </a:graphicData>
            </a:graphic>
          </wp:anchor>
        </w:drawing>
      </w:r>
    </w:p>
    <w:p>
      <w:pPr>
        <w:spacing w:after="0" w:line="200" w:lineRule="exact"/>
        <w:rPr>
          <w:sz w:val="20"/>
          <w:szCs w:val="20"/>
          <w:color w:val="auto"/>
        </w:rPr>
      </w:pPr>
    </w:p>
    <w:p>
      <w:pPr>
        <w:spacing w:after="0" w:line="28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GAAP TO NON-GAAP RECONCILIATION OF FREE CASH FLOW</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42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20" w:type="dxa"/>
            <w:vAlign w:val="bottom"/>
            <w:gridSpan w:val="2"/>
          </w:tcPr>
          <w:p>
            <w:pPr>
              <w:jc w:val="right"/>
              <w:ind w:right="240"/>
              <w:spacing w:after="0"/>
              <w:rPr>
                <w:sz w:val="20"/>
                <w:szCs w:val="20"/>
                <w:color w:val="auto"/>
              </w:rPr>
            </w:pPr>
            <w:r>
              <w:rPr>
                <w:rFonts w:ascii="Arial" w:cs="Arial" w:eastAsia="Arial" w:hAnsi="Arial"/>
                <w:sz w:val="14"/>
                <w:szCs w:val="14"/>
                <w:color w:val="auto"/>
                <w:w w:val="93"/>
              </w:rPr>
              <w:t>For the nine months ended</w:t>
            </w:r>
          </w:p>
        </w:tc>
        <w:tc>
          <w:tcPr>
            <w:tcW w:w="20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60" w:type="dxa"/>
            <w:vAlign w:val="bottom"/>
          </w:tcPr>
          <w:p>
            <w:pPr>
              <w:jc w:val="right"/>
              <w:ind w:right="368"/>
              <w:spacing w:after="0"/>
              <w:rPr>
                <w:sz w:val="20"/>
                <w:szCs w:val="20"/>
                <w:color w:val="auto"/>
              </w:rPr>
            </w:pPr>
            <w:r>
              <w:rPr>
                <w:rFonts w:ascii="Arial" w:cs="Arial" w:eastAsia="Arial" w:hAnsi="Arial"/>
                <w:sz w:val="14"/>
                <w:szCs w:val="14"/>
                <w:color w:val="auto"/>
              </w:rPr>
              <w:t>Projected</w:t>
            </w:r>
          </w:p>
        </w:tc>
      </w:tr>
      <w:tr>
        <w:trPr>
          <w:trHeight w:val="296"/>
        </w:trPr>
        <w:tc>
          <w:tcPr>
            <w:tcW w:w="4240" w:type="dxa"/>
            <w:vAlign w:val="bottom"/>
          </w:tcPr>
          <w:p>
            <w:pPr>
              <w:ind w:left="20"/>
              <w:spacing w:after="0"/>
              <w:rPr>
                <w:sz w:val="20"/>
                <w:szCs w:val="20"/>
                <w:color w:val="auto"/>
              </w:rPr>
            </w:pPr>
            <w:r>
              <w:rPr>
                <w:rFonts w:ascii="Arial" w:cs="Arial" w:eastAsia="Arial" w:hAnsi="Arial"/>
                <w:sz w:val="14"/>
                <w:szCs w:val="14"/>
                <w:i w:val="1"/>
                <w:iCs w:val="1"/>
                <w:color w:val="auto"/>
              </w:rPr>
              <w:t>(in millions)</w:t>
            </w:r>
          </w:p>
        </w:tc>
        <w:tc>
          <w:tcPr>
            <w:tcW w:w="16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color w:val="auto"/>
                <w:w w:val="97"/>
              </w:rPr>
              <w:t>October 30, 2021</w:t>
            </w:r>
          </w:p>
        </w:tc>
        <w:tc>
          <w:tcPr>
            <w:tcW w:w="28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560" w:type="dxa"/>
            <w:vAlign w:val="bottom"/>
            <w:tcBorders>
              <w:bottom w:val="single" w:sz="8" w:color="auto"/>
            </w:tcBorders>
          </w:tcPr>
          <w:p>
            <w:pPr>
              <w:ind w:left="220"/>
              <w:spacing w:after="0"/>
              <w:rPr>
                <w:sz w:val="20"/>
                <w:szCs w:val="20"/>
                <w:color w:val="auto"/>
              </w:rPr>
            </w:pPr>
            <w:r>
              <w:rPr>
                <w:rFonts w:ascii="Arial" w:cs="Arial" w:eastAsia="Arial" w:hAnsi="Arial"/>
                <w:sz w:val="14"/>
                <w:szCs w:val="14"/>
                <w:color w:val="auto"/>
              </w:rPr>
              <w:t>October 31, 2020</w:t>
            </w:r>
          </w:p>
        </w:tc>
        <w:tc>
          <w:tcPr>
            <w:tcW w:w="26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480" w:type="dxa"/>
            <w:vAlign w:val="bottom"/>
            <w:tcBorders>
              <w:bottom w:val="single" w:sz="8" w:color="auto"/>
            </w:tcBorders>
          </w:tcPr>
          <w:p>
            <w:pPr>
              <w:ind w:left="100"/>
              <w:spacing w:after="0"/>
              <w:rPr>
                <w:sz w:val="20"/>
                <w:szCs w:val="20"/>
                <w:color w:val="auto"/>
              </w:rPr>
            </w:pPr>
            <w:r>
              <w:rPr>
                <w:rFonts w:ascii="Arial" w:cs="Arial" w:eastAsia="Arial" w:hAnsi="Arial"/>
                <w:sz w:val="14"/>
                <w:szCs w:val="14"/>
                <w:color w:val="auto"/>
              </w:rPr>
              <w:t>November 2, 2019</w:t>
            </w:r>
          </w:p>
        </w:tc>
        <w:tc>
          <w:tcPr>
            <w:tcW w:w="22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ind w:right="288"/>
              <w:spacing w:after="0"/>
              <w:rPr>
                <w:sz w:val="20"/>
                <w:szCs w:val="20"/>
                <w:color w:val="auto"/>
              </w:rPr>
            </w:pPr>
            <w:r>
              <w:rPr>
                <w:rFonts w:ascii="Arial" w:cs="Arial" w:eastAsia="Arial" w:hAnsi="Arial"/>
                <w:sz w:val="14"/>
                <w:szCs w:val="14"/>
                <w:color w:val="auto"/>
                <w:w w:val="94"/>
              </w:rPr>
              <w:t>Fiscal 2021</w:t>
            </w:r>
          </w:p>
        </w:tc>
      </w:tr>
      <w:tr>
        <w:trPr>
          <w:trHeight w:val="271"/>
        </w:trPr>
        <w:tc>
          <w:tcPr>
            <w:tcW w:w="4240" w:type="dxa"/>
            <w:vAlign w:val="bottom"/>
          </w:tcPr>
          <w:p>
            <w:pPr>
              <w:ind w:left="20"/>
              <w:spacing w:after="0"/>
              <w:rPr>
                <w:sz w:val="20"/>
                <w:szCs w:val="20"/>
                <w:color w:val="auto"/>
              </w:rPr>
            </w:pPr>
            <w:r>
              <w:rPr>
                <w:rFonts w:ascii="Arial" w:cs="Arial" w:eastAsia="Arial" w:hAnsi="Arial"/>
                <w:sz w:val="14"/>
                <w:szCs w:val="14"/>
                <w:color w:val="auto"/>
              </w:rPr>
              <w:t>Cash flow from operating activities (GAAP basis)</w:t>
            </w:r>
          </w:p>
        </w:tc>
        <w:tc>
          <w:tcPr>
            <w:tcW w:w="160" w:type="dxa"/>
            <w:vAlign w:val="bottom"/>
          </w:tcPr>
          <w:p>
            <w:pPr>
              <w:jc w:val="right"/>
              <w:ind w:right="8"/>
              <w:spacing w:after="0"/>
              <w:rPr>
                <w:sz w:val="20"/>
                <w:szCs w:val="20"/>
                <w:color w:val="auto"/>
              </w:rPr>
            </w:pPr>
            <w:r>
              <w:rPr>
                <w:rFonts w:ascii="Arial" w:cs="Arial" w:eastAsia="Arial" w:hAnsi="Arial"/>
                <w:sz w:val="14"/>
                <w:szCs w:val="14"/>
                <w:color w:val="auto"/>
                <w:w w:val="76"/>
              </w:rPr>
              <w:t>$</w:t>
            </w:r>
          </w:p>
        </w:tc>
        <w:tc>
          <w:tcPr>
            <w:tcW w:w="1320" w:type="dxa"/>
            <w:vAlign w:val="bottom"/>
          </w:tcPr>
          <w:p>
            <w:pPr>
              <w:jc w:val="right"/>
              <w:spacing w:after="0"/>
              <w:rPr>
                <w:sz w:val="20"/>
                <w:szCs w:val="20"/>
                <w:color w:val="auto"/>
              </w:rPr>
            </w:pPr>
            <w:r>
              <w:rPr>
                <w:rFonts w:ascii="Arial" w:cs="Arial" w:eastAsia="Arial" w:hAnsi="Arial"/>
                <w:sz w:val="14"/>
                <w:szCs w:val="14"/>
                <w:color w:val="auto"/>
              </w:rPr>
              <w:t>64.2</w:t>
            </w:r>
          </w:p>
        </w:tc>
        <w:tc>
          <w:tcPr>
            <w:tcW w:w="280" w:type="dxa"/>
            <w:vAlign w:val="bottom"/>
          </w:tcPr>
          <w:p>
            <w:pPr>
              <w:spacing w:after="0"/>
              <w:rPr>
                <w:sz w:val="23"/>
                <w:szCs w:val="23"/>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820" w:type="dxa"/>
            <w:vAlign w:val="bottom"/>
            <w:gridSpan w:val="2"/>
          </w:tcPr>
          <w:p>
            <w:pPr>
              <w:jc w:val="right"/>
              <w:ind w:right="200"/>
              <w:spacing w:after="0"/>
              <w:rPr>
                <w:sz w:val="20"/>
                <w:szCs w:val="20"/>
                <w:color w:val="auto"/>
              </w:rPr>
            </w:pPr>
            <w:r>
              <w:rPr>
                <w:rFonts w:ascii="Arial" w:cs="Arial" w:eastAsia="Arial" w:hAnsi="Arial"/>
                <w:sz w:val="14"/>
                <w:szCs w:val="14"/>
                <w:color w:val="auto"/>
              </w:rPr>
              <w:t>(8.6 )</w:t>
            </w:r>
          </w:p>
        </w:tc>
        <w:tc>
          <w:tcPr>
            <w:tcW w:w="2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700" w:type="dxa"/>
            <w:vAlign w:val="bottom"/>
            <w:gridSpan w:val="2"/>
          </w:tcPr>
          <w:p>
            <w:pPr>
              <w:jc w:val="right"/>
              <w:ind w:right="160"/>
              <w:spacing w:after="0"/>
              <w:rPr>
                <w:sz w:val="20"/>
                <w:szCs w:val="20"/>
                <w:color w:val="auto"/>
              </w:rPr>
            </w:pPr>
            <w:r>
              <w:rPr>
                <w:rFonts w:ascii="Arial" w:cs="Arial" w:eastAsia="Arial" w:hAnsi="Arial"/>
                <w:sz w:val="14"/>
                <w:szCs w:val="14"/>
                <w:color w:val="auto"/>
              </w:rPr>
              <w:t>(14.4 )</w:t>
            </w:r>
          </w:p>
        </w:tc>
        <w:tc>
          <w:tcPr>
            <w:tcW w:w="340" w:type="dxa"/>
            <w:vAlign w:val="bottom"/>
          </w:tcPr>
          <w:p>
            <w:pPr>
              <w:jc w:val="right"/>
              <w:spacing w:after="0"/>
              <w:rPr>
                <w:sz w:val="20"/>
                <w:szCs w:val="20"/>
                <w:color w:val="auto"/>
              </w:rPr>
            </w:pPr>
            <w:r>
              <w:rPr>
                <w:rFonts w:ascii="Arial" w:cs="Arial" w:eastAsia="Arial" w:hAnsi="Arial"/>
                <w:sz w:val="14"/>
                <w:szCs w:val="14"/>
                <w:color w:val="auto"/>
              </w:rPr>
              <w:t>$</w:t>
            </w:r>
          </w:p>
        </w:tc>
        <w:tc>
          <w:tcPr>
            <w:tcW w:w="1060" w:type="dxa"/>
            <w:vAlign w:val="bottom"/>
          </w:tcPr>
          <w:p>
            <w:pPr>
              <w:jc w:val="right"/>
              <w:spacing w:after="0"/>
              <w:rPr>
                <w:sz w:val="20"/>
                <w:szCs w:val="20"/>
                <w:color w:val="auto"/>
              </w:rPr>
            </w:pPr>
            <w:r>
              <w:rPr>
                <w:rFonts w:ascii="Arial" w:cs="Arial" w:eastAsia="Arial" w:hAnsi="Arial"/>
                <w:sz w:val="14"/>
                <w:szCs w:val="14"/>
                <w:color w:val="auto"/>
              </w:rPr>
              <w:t>&gt; 59.3</w:t>
            </w:r>
          </w:p>
        </w:tc>
      </w:tr>
      <w:tr>
        <w:trPr>
          <w:trHeight w:val="235"/>
        </w:trPr>
        <w:tc>
          <w:tcPr>
            <w:tcW w:w="4240" w:type="dxa"/>
            <w:vAlign w:val="bottom"/>
            <w:shd w:val="clear" w:color="auto" w:fill="CFF0FC"/>
          </w:tcPr>
          <w:p>
            <w:pPr>
              <w:ind w:left="20"/>
              <w:spacing w:after="0"/>
              <w:rPr>
                <w:sz w:val="20"/>
                <w:szCs w:val="20"/>
                <w:color w:val="auto"/>
              </w:rPr>
            </w:pPr>
            <w:r>
              <w:rPr>
                <w:rFonts w:ascii="Arial" w:cs="Arial" w:eastAsia="Arial" w:hAnsi="Arial"/>
                <w:sz w:val="14"/>
                <w:szCs w:val="14"/>
                <w:color w:val="auto"/>
              </w:rPr>
              <w:t>Capital expenditures</w:t>
            </w:r>
          </w:p>
        </w:tc>
        <w:tc>
          <w:tcPr>
            <w:tcW w:w="160" w:type="dxa"/>
            <w:vAlign w:val="bottom"/>
            <w:shd w:val="clear" w:color="auto" w:fill="CFF0FC"/>
          </w:tcPr>
          <w:p>
            <w:pPr>
              <w:spacing w:after="0"/>
              <w:rPr>
                <w:sz w:val="20"/>
                <w:szCs w:val="20"/>
                <w:color w:val="auto"/>
              </w:rPr>
            </w:pPr>
          </w:p>
        </w:tc>
        <w:tc>
          <w:tcPr>
            <w:tcW w:w="1600" w:type="dxa"/>
            <w:vAlign w:val="bottom"/>
            <w:gridSpan w:val="2"/>
            <w:shd w:val="clear" w:color="auto" w:fill="CFF0FC"/>
          </w:tcPr>
          <w:p>
            <w:pPr>
              <w:jc w:val="right"/>
              <w:ind w:right="220"/>
              <w:spacing w:after="0"/>
              <w:rPr>
                <w:sz w:val="20"/>
                <w:szCs w:val="20"/>
                <w:color w:val="auto"/>
              </w:rPr>
            </w:pPr>
            <w:r>
              <w:rPr>
                <w:rFonts w:ascii="Arial" w:cs="Arial" w:eastAsia="Arial" w:hAnsi="Arial"/>
                <w:sz w:val="14"/>
                <w:szCs w:val="14"/>
                <w:color w:val="auto"/>
              </w:rPr>
              <w:t>(2.8 )</w:t>
            </w:r>
          </w:p>
        </w:tc>
        <w:tc>
          <w:tcPr>
            <w:tcW w:w="120" w:type="dxa"/>
            <w:vAlign w:val="bottom"/>
            <w:shd w:val="clear" w:color="auto" w:fill="CFF0FC"/>
          </w:tcPr>
          <w:p>
            <w:pPr>
              <w:spacing w:after="0"/>
              <w:rPr>
                <w:sz w:val="20"/>
                <w:szCs w:val="20"/>
                <w:color w:val="auto"/>
              </w:rPr>
            </w:pPr>
          </w:p>
        </w:tc>
        <w:tc>
          <w:tcPr>
            <w:tcW w:w="1820" w:type="dxa"/>
            <w:vAlign w:val="bottom"/>
            <w:gridSpan w:val="2"/>
            <w:shd w:val="clear" w:color="auto" w:fill="CFF0FC"/>
          </w:tcPr>
          <w:p>
            <w:pPr>
              <w:jc w:val="right"/>
              <w:ind w:right="200"/>
              <w:spacing w:after="0"/>
              <w:rPr>
                <w:sz w:val="20"/>
                <w:szCs w:val="20"/>
                <w:color w:val="auto"/>
              </w:rPr>
            </w:pPr>
            <w:r>
              <w:rPr>
                <w:rFonts w:ascii="Arial" w:cs="Arial" w:eastAsia="Arial" w:hAnsi="Arial"/>
                <w:sz w:val="14"/>
                <w:szCs w:val="14"/>
                <w:color w:val="auto"/>
              </w:rPr>
              <w:t>(2.9 )</w:t>
            </w:r>
          </w:p>
        </w:tc>
        <w:tc>
          <w:tcPr>
            <w:tcW w:w="200" w:type="dxa"/>
            <w:vAlign w:val="bottom"/>
            <w:shd w:val="clear" w:color="auto" w:fill="CFF0FC"/>
          </w:tcPr>
          <w:p>
            <w:pPr>
              <w:spacing w:after="0"/>
              <w:rPr>
                <w:sz w:val="20"/>
                <w:szCs w:val="20"/>
                <w:color w:val="auto"/>
              </w:rPr>
            </w:pPr>
          </w:p>
        </w:tc>
        <w:tc>
          <w:tcPr>
            <w:tcW w:w="1700" w:type="dxa"/>
            <w:vAlign w:val="bottom"/>
            <w:gridSpan w:val="2"/>
            <w:shd w:val="clear" w:color="auto" w:fill="CFF0FC"/>
          </w:tcPr>
          <w:p>
            <w:pPr>
              <w:jc w:val="right"/>
              <w:ind w:right="160"/>
              <w:spacing w:after="0"/>
              <w:rPr>
                <w:sz w:val="20"/>
                <w:szCs w:val="20"/>
                <w:color w:val="auto"/>
              </w:rPr>
            </w:pPr>
            <w:r>
              <w:rPr>
                <w:rFonts w:ascii="Arial" w:cs="Arial" w:eastAsia="Arial" w:hAnsi="Arial"/>
                <w:sz w:val="14"/>
                <w:szCs w:val="14"/>
                <w:color w:val="auto"/>
              </w:rPr>
              <w:t>(11.0 )</w:t>
            </w:r>
          </w:p>
        </w:tc>
        <w:tc>
          <w:tcPr>
            <w:tcW w:w="340" w:type="dxa"/>
            <w:vAlign w:val="bottom"/>
            <w:shd w:val="clear" w:color="auto" w:fill="CFF0FC"/>
          </w:tcPr>
          <w:p>
            <w:pPr>
              <w:spacing w:after="0"/>
              <w:rPr>
                <w:sz w:val="20"/>
                <w:szCs w:val="20"/>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(4.3)</w:t>
            </w:r>
          </w:p>
        </w:tc>
      </w:tr>
      <w:tr>
        <w:trPr>
          <w:trHeight w:val="20"/>
        </w:trPr>
        <w:tc>
          <w:tcPr>
            <w:tcW w:w="424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56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48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r>
      <w:tr>
        <w:trPr>
          <w:trHeight w:val="277"/>
        </w:trPr>
        <w:tc>
          <w:tcPr>
            <w:tcW w:w="4240" w:type="dxa"/>
            <w:vAlign w:val="bottom"/>
          </w:tcPr>
          <w:p>
            <w:pPr>
              <w:ind w:left="120"/>
              <w:spacing w:after="0"/>
              <w:rPr>
                <w:sz w:val="20"/>
                <w:szCs w:val="20"/>
                <w:color w:val="auto"/>
              </w:rPr>
            </w:pPr>
            <w:r>
              <w:rPr>
                <w:rFonts w:ascii="Arial" w:cs="Arial" w:eastAsia="Arial" w:hAnsi="Arial"/>
                <w:sz w:val="14"/>
                <w:szCs w:val="14"/>
                <w:color w:val="auto"/>
              </w:rPr>
              <w:t>Free Cash Flow (non-GAAP basis)</w:t>
            </w:r>
          </w:p>
        </w:tc>
        <w:tc>
          <w:tcPr>
            <w:tcW w:w="160" w:type="dxa"/>
            <w:vAlign w:val="bottom"/>
          </w:tcPr>
          <w:p>
            <w:pPr>
              <w:jc w:val="right"/>
              <w:ind w:right="8"/>
              <w:spacing w:after="0"/>
              <w:rPr>
                <w:sz w:val="20"/>
                <w:szCs w:val="20"/>
                <w:color w:val="auto"/>
              </w:rPr>
            </w:pPr>
            <w:r>
              <w:rPr>
                <w:rFonts w:ascii="Arial" w:cs="Arial" w:eastAsia="Arial" w:hAnsi="Arial"/>
                <w:sz w:val="14"/>
                <w:szCs w:val="14"/>
                <w:color w:val="auto"/>
                <w:w w:val="76"/>
              </w:rPr>
              <w:t>$</w:t>
            </w:r>
          </w:p>
        </w:tc>
        <w:tc>
          <w:tcPr>
            <w:tcW w:w="1320" w:type="dxa"/>
            <w:vAlign w:val="bottom"/>
          </w:tcPr>
          <w:p>
            <w:pPr>
              <w:jc w:val="right"/>
              <w:spacing w:after="0"/>
              <w:rPr>
                <w:sz w:val="20"/>
                <w:szCs w:val="20"/>
                <w:color w:val="auto"/>
              </w:rPr>
            </w:pPr>
            <w:r>
              <w:rPr>
                <w:rFonts w:ascii="Arial" w:cs="Arial" w:eastAsia="Arial" w:hAnsi="Arial"/>
                <w:sz w:val="14"/>
                <w:szCs w:val="14"/>
                <w:color w:val="auto"/>
              </w:rPr>
              <w:t>61.3</w:t>
            </w:r>
          </w:p>
        </w:tc>
        <w:tc>
          <w:tcPr>
            <w:tcW w:w="280" w:type="dxa"/>
            <w:vAlign w:val="bottom"/>
          </w:tcPr>
          <w:p>
            <w:pPr>
              <w:spacing w:after="0"/>
              <w:rPr>
                <w:sz w:val="24"/>
                <w:szCs w:val="24"/>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820" w:type="dxa"/>
            <w:vAlign w:val="bottom"/>
            <w:gridSpan w:val="2"/>
          </w:tcPr>
          <w:p>
            <w:pPr>
              <w:jc w:val="right"/>
              <w:ind w:right="200"/>
              <w:spacing w:after="0"/>
              <w:rPr>
                <w:sz w:val="20"/>
                <w:szCs w:val="20"/>
                <w:color w:val="auto"/>
              </w:rPr>
            </w:pPr>
            <w:r>
              <w:rPr>
                <w:rFonts w:ascii="Arial" w:cs="Arial" w:eastAsia="Arial" w:hAnsi="Arial"/>
                <w:sz w:val="14"/>
                <w:szCs w:val="14"/>
                <w:color w:val="auto"/>
              </w:rPr>
              <w:t>(11.6 )</w:t>
            </w:r>
          </w:p>
        </w:tc>
        <w:tc>
          <w:tcPr>
            <w:tcW w:w="2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700" w:type="dxa"/>
            <w:vAlign w:val="bottom"/>
            <w:gridSpan w:val="2"/>
          </w:tcPr>
          <w:p>
            <w:pPr>
              <w:jc w:val="right"/>
              <w:ind w:right="160"/>
              <w:spacing w:after="0"/>
              <w:rPr>
                <w:sz w:val="20"/>
                <w:szCs w:val="20"/>
                <w:color w:val="auto"/>
              </w:rPr>
            </w:pPr>
            <w:r>
              <w:rPr>
                <w:rFonts w:ascii="Arial" w:cs="Arial" w:eastAsia="Arial" w:hAnsi="Arial"/>
                <w:sz w:val="14"/>
                <w:szCs w:val="14"/>
                <w:color w:val="auto"/>
              </w:rPr>
              <w:t>(25.4 )</w:t>
            </w:r>
          </w:p>
        </w:tc>
        <w:tc>
          <w:tcPr>
            <w:tcW w:w="340" w:type="dxa"/>
            <w:vAlign w:val="bottom"/>
          </w:tcPr>
          <w:p>
            <w:pPr>
              <w:jc w:val="right"/>
              <w:spacing w:after="0"/>
              <w:rPr>
                <w:sz w:val="20"/>
                <w:szCs w:val="20"/>
                <w:color w:val="auto"/>
              </w:rPr>
            </w:pPr>
            <w:r>
              <w:rPr>
                <w:rFonts w:ascii="Arial" w:cs="Arial" w:eastAsia="Arial" w:hAnsi="Arial"/>
                <w:sz w:val="14"/>
                <w:szCs w:val="14"/>
                <w:color w:val="auto"/>
              </w:rPr>
              <w:t>$</w:t>
            </w:r>
          </w:p>
        </w:tc>
        <w:tc>
          <w:tcPr>
            <w:tcW w:w="1060" w:type="dxa"/>
            <w:vAlign w:val="bottom"/>
          </w:tcPr>
          <w:p>
            <w:pPr>
              <w:jc w:val="right"/>
              <w:spacing w:after="0"/>
              <w:rPr>
                <w:sz w:val="20"/>
                <w:szCs w:val="20"/>
                <w:color w:val="auto"/>
              </w:rPr>
            </w:pPr>
            <w:r>
              <w:rPr>
                <w:rFonts w:ascii="Arial" w:cs="Arial" w:eastAsia="Arial" w:hAnsi="Arial"/>
                <w:sz w:val="14"/>
                <w:szCs w:val="14"/>
                <w:color w:val="auto"/>
              </w:rPr>
              <w:t>&gt; 55.0</w:t>
            </w:r>
          </w:p>
        </w:tc>
      </w:tr>
      <w:tr>
        <w:trPr>
          <w:trHeight w:val="20"/>
        </w:trPr>
        <w:tc>
          <w:tcPr>
            <w:tcW w:w="42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5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3630930</wp:posOffset>
            </wp:positionH>
            <wp:positionV relativeFrom="paragraph">
              <wp:posOffset>-210820</wp:posOffset>
            </wp:positionV>
            <wp:extent cx="180340" cy="571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180340" cy="5715"/>
                    </a:xfrm>
                    <a:prstGeom prst="rect">
                      <a:avLst/>
                    </a:prstGeom>
                    <a:noFill/>
                  </pic:spPr>
                </pic:pic>
              </a:graphicData>
            </a:graphic>
          </wp:anchor>
        </w:drawing>
        <w:drawing>
          <wp:anchor simplePos="0" relativeHeight="251657728" behindDoc="1" locked="0" layoutInCell="0" allowOverlap="1">
            <wp:simplePos x="0" y="0"/>
            <wp:positionH relativeFrom="column">
              <wp:posOffset>4874260</wp:posOffset>
            </wp:positionH>
            <wp:positionV relativeFrom="paragraph">
              <wp:posOffset>-210820</wp:posOffset>
            </wp:positionV>
            <wp:extent cx="171450" cy="571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171450" cy="5715"/>
                    </a:xfrm>
                    <a:prstGeom prst="rect">
                      <a:avLst/>
                    </a:prstGeom>
                    <a:noFill/>
                  </pic:spPr>
                </pic:pic>
              </a:graphicData>
            </a:graphic>
          </wp:anchor>
        </w:drawing>
        <w:drawing>
          <wp:anchor simplePos="0" relativeHeight="251657728" behindDoc="1" locked="0" layoutInCell="0" allowOverlap="1">
            <wp:simplePos x="0" y="0"/>
            <wp:positionH relativeFrom="column">
              <wp:posOffset>6108700</wp:posOffset>
            </wp:positionH>
            <wp:positionV relativeFrom="paragraph">
              <wp:posOffset>-210820</wp:posOffset>
            </wp:positionV>
            <wp:extent cx="137160" cy="571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137160" cy="5715"/>
                    </a:xfrm>
                    <a:prstGeom prst="rect">
                      <a:avLst/>
                    </a:prstGeom>
                    <a:noFill/>
                  </pic:spPr>
                </pic:pic>
              </a:graphicData>
            </a:graphic>
          </wp:anchor>
        </w:drawing>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237490</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9" w:right="339" w:bottom="1440" w:gutter="0" w:footer="0" w:header="0"/>
        </w:sectPr>
      </w:pPr>
    </w:p>
    <w:bookmarkStart w:id="12" w:name="page13"/>
    <w:bookmarkEnd w:id="12"/>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2021-11-17T16:08:15Z</dcterms:created>
  <dcterms:modified xsi:type="dcterms:W3CDTF">2021-11-17T16:08:15Z</dcterms:modified>
</cp:coreProperties>
</file>