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377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37718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I.R.S. Identification Nos. of above persons (entities only).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RBC Global Asset Management (U.S.) Inc.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2"/>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300"/>
              <w:spacing w:after="0"/>
              <w:rPr>
                <w:sz w:val="20"/>
                <w:szCs w:val="20"/>
                <w:color w:val="auto"/>
              </w:rPr>
            </w:pPr>
            <w:r>
              <w:rPr>
                <w:rFonts w:ascii="Arial" w:cs="Arial" w:eastAsia="Arial" w:hAnsi="Arial"/>
                <w:sz w:val="22"/>
                <w:szCs w:val="22"/>
                <w:color w:val="auto"/>
              </w:rPr>
              <w:t>Minnesota</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00" w:type="dxa"/>
            <w:vAlign w:val="bottom"/>
            <w:tcBorders>
              <w:right w:val="single" w:sz="8" w:color="auto"/>
            </w:tcBorders>
            <w:vMerge w:val="continue"/>
          </w:tcPr>
          <w:p>
            <w:pPr>
              <w:spacing w:after="0"/>
              <w:rPr>
                <w:sz w:val="15"/>
                <w:szCs w:val="15"/>
                <w:color w:val="auto"/>
              </w:rPr>
            </w:pPr>
          </w:p>
        </w:tc>
        <w:tc>
          <w:tcPr>
            <w:tcW w:w="10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10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10000" w:type="dxa"/>
            <w:vAlign w:val="bottom"/>
            <w:vMerge w:val="restart"/>
          </w:tcPr>
          <w:p>
            <w:pPr>
              <w:ind w:left="320"/>
              <w:spacing w:after="0"/>
              <w:rPr>
                <w:sz w:val="20"/>
                <w:szCs w:val="20"/>
                <w:color w:val="auto"/>
              </w:rPr>
            </w:pPr>
            <w:r>
              <w:rPr>
                <w:rFonts w:ascii="Arial" w:cs="Arial" w:eastAsia="Arial" w:hAnsi="Arial"/>
                <w:sz w:val="22"/>
                <w:szCs w:val="22"/>
                <w:color w:val="auto"/>
              </w:rPr>
              <w:t>5,675,817</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0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300" w:type="dxa"/>
            <w:vAlign w:val="bottom"/>
            <w:tcBorders>
              <w:right w:val="single" w:sz="8" w:color="auto"/>
            </w:tcBorders>
          </w:tcPr>
          <w:p>
            <w:pPr>
              <w:spacing w:after="0"/>
              <w:rPr>
                <w:sz w:val="20"/>
                <w:szCs w:val="20"/>
                <w:color w:val="auto"/>
              </w:rPr>
            </w:pPr>
          </w:p>
        </w:tc>
        <w:tc>
          <w:tcPr>
            <w:tcW w:w="10000" w:type="dxa"/>
            <w:vAlign w:val="bottom"/>
          </w:tcPr>
          <w:p>
            <w:pPr>
              <w:ind w:left="3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97"/>
              </w:rPr>
              <w:t>With:</w:t>
            </w:r>
          </w:p>
        </w:tc>
        <w:tc>
          <w:tcPr>
            <w:tcW w:w="300" w:type="dxa"/>
            <w:vAlign w:val="bottom"/>
            <w:tcBorders>
              <w:bottom w:val="single" w:sz="8" w:color="auto"/>
              <w:right w:val="single" w:sz="8" w:color="auto"/>
            </w:tcBorders>
          </w:tcPr>
          <w:p>
            <w:pPr>
              <w:spacing w:after="0"/>
              <w:rPr>
                <w:sz w:val="6"/>
                <w:szCs w:val="6"/>
                <w:color w:val="auto"/>
              </w:rPr>
            </w:pPr>
          </w:p>
        </w:tc>
        <w:tc>
          <w:tcPr>
            <w:tcW w:w="10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740" w:type="dxa"/>
            <w:vAlign w:val="bottom"/>
            <w:tcBorders>
              <w:right w:val="single" w:sz="8" w:color="auto"/>
            </w:tcBorders>
            <w:gridSpan w:val="2"/>
            <w:vMerge w:val="continue"/>
          </w:tcPr>
          <w:p>
            <w:pPr>
              <w:spacing w:after="0"/>
              <w:rPr>
                <w:sz w:val="11"/>
                <w:szCs w:val="11"/>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10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6,371,430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300"/>
              <w:spacing w:after="0"/>
              <w:rPr>
                <w:sz w:val="20"/>
                <w:szCs w:val="20"/>
                <w:color w:val="auto"/>
              </w:rPr>
            </w:pPr>
            <w:r>
              <w:rPr>
                <w:rFonts w:ascii="Arial" w:cs="Arial" w:eastAsia="Arial" w:hAnsi="Arial"/>
                <w:sz w:val="22"/>
                <w:szCs w:val="22"/>
                <w:color w:val="auto"/>
              </w:rPr>
              <w:t>6,371,430</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bottom w:val="single" w:sz="8" w:color="auto"/>
              <w:right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12.5%</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IA</w:t>
            </w:r>
          </w:p>
        </w:tc>
        <w:tc>
          <w:tcPr>
            <w:tcW w:w="3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5"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Destination XL Group, Inc.</w:t>
      </w:r>
    </w:p>
    <w:p>
      <w:pPr>
        <w:spacing w:after="0" w:line="116" w:lineRule="exact"/>
        <w:rPr>
          <w:sz w:val="20"/>
          <w:szCs w:val="20"/>
          <w:color w:val="auto"/>
        </w:rPr>
      </w:pPr>
    </w:p>
    <w:p>
      <w:pPr>
        <w:ind w:left="920" w:right="6800" w:hanging="466"/>
        <w:spacing w:after="0" w:line="258" w:lineRule="auto"/>
        <w:tabs>
          <w:tab w:leader="none" w:pos="898"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 555 Turnpike Street</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Canton, Massachusetts 02021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RBC Global Asset Management (U.S.) Inc.</w:t>
      </w:r>
    </w:p>
    <w:p>
      <w:pPr>
        <w:spacing w:after="0" w:line="116" w:lineRule="exact"/>
        <w:rPr>
          <w:sz w:val="20"/>
          <w:szCs w:val="20"/>
          <w:color w:val="auto"/>
        </w:rPr>
      </w:pPr>
    </w:p>
    <w:p>
      <w:pPr>
        <w:ind w:left="920" w:right="5940" w:hanging="466"/>
        <w:spacing w:after="0" w:line="258" w:lineRule="auto"/>
        <w:tabs>
          <w:tab w:leader="none" w:pos="898"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50 South Sixth Street</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Suite 2350</w:t>
      </w:r>
    </w:p>
    <w:p>
      <w:pPr>
        <w:spacing w:after="0" w:line="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Minneapolis, Minnesota 55402</w:t>
      </w:r>
    </w:p>
    <w:p>
      <w:pPr>
        <w:spacing w:after="0" w:line="116"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RBC Global Asset Management (U.S.) Inc. is incorporated under the laws of Minnesota</w:t>
      </w:r>
    </w:p>
    <w:p>
      <w:pPr>
        <w:spacing w:after="0" w:line="116" w:lineRule="exact"/>
        <w:rPr>
          <w:sz w:val="20"/>
          <w:szCs w:val="20"/>
          <w:color w:val="auto"/>
        </w:rPr>
      </w:pPr>
    </w:p>
    <w:p>
      <w:pPr>
        <w:ind w:left="920" w:right="8300" w:hanging="466"/>
        <w:spacing w:after="0" w:line="342" w:lineRule="auto"/>
        <w:tabs>
          <w:tab w:leader="none" w:pos="898"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920" w:right="9080" w:hanging="466"/>
        <w:spacing w:after="0" w:line="342" w:lineRule="auto"/>
        <w:tabs>
          <w:tab w:leader="none" w:pos="898"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25065K104</w:t>
      </w: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4" w:lineRule="exact"/>
        <w:rPr>
          <w:sz w:val="20"/>
          <w:szCs w:val="20"/>
          <w:color w:val="auto"/>
        </w:rPr>
      </w:pPr>
    </w:p>
    <w:p>
      <w:pPr>
        <w:ind w:left="1120" w:hanging="653"/>
        <w:spacing w:after="0" w:line="207" w:lineRule="exact"/>
        <w:tabs>
          <w:tab w:leader="none" w:pos="11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120" w:hanging="653"/>
        <w:spacing w:after="0" w:line="207" w:lineRule="exact"/>
        <w:tabs>
          <w:tab w:leader="none" w:pos="11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120" w:hanging="653"/>
        <w:spacing w:after="0" w:line="207" w:lineRule="exact"/>
        <w:tabs>
          <w:tab w:leader="none" w:pos="11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120" w:hanging="653"/>
        <w:spacing w:after="0" w:line="207" w:lineRule="exact"/>
        <w:tabs>
          <w:tab w:leader="none" w:pos="11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120" w:hanging="653"/>
        <w:spacing w:after="0" w:line="207" w:lineRule="exact"/>
        <w:tabs>
          <w:tab w:leader="none" w:pos="11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120" w:hanging="653"/>
        <w:spacing w:after="0" w:line="207" w:lineRule="exact"/>
        <w:tabs>
          <w:tab w:leader="none" w:pos="11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120" w:hanging="653"/>
        <w:spacing w:after="0" w:line="207" w:lineRule="exact"/>
        <w:tabs>
          <w:tab w:leader="none" w:pos="11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120" w:hanging="653"/>
        <w:spacing w:after="0" w:line="207" w:lineRule="exact"/>
        <w:tabs>
          <w:tab w:leader="none" w:pos="11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380" w:hanging="913"/>
        <w:spacing w:after="0" w:line="239" w:lineRule="exact"/>
        <w:tabs>
          <w:tab w:leader="none" w:pos="111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120" w:hanging="653"/>
        <w:spacing w:after="0" w:line="207" w:lineRule="exact"/>
        <w:tabs>
          <w:tab w:leader="none" w:pos="11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117" w:lineRule="exact"/>
        <w:rPr>
          <w:rFonts w:ascii="Arial" w:cs="Arial" w:eastAsia="Arial" w:hAnsi="Arial"/>
          <w:sz w:val="18"/>
          <w:szCs w:val="18"/>
          <w:color w:val="auto"/>
        </w:rPr>
      </w:pPr>
    </w:p>
    <w:p>
      <w:pPr>
        <w:ind w:left="1120" w:hanging="653"/>
        <w:spacing w:after="0" w:line="207" w:lineRule="exact"/>
        <w:tabs>
          <w:tab w:leader="none" w:pos="11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ectPr>
          <w:pgSz w:w="11900" w:h="16838" w:orient="portrait"/>
          <w:cols w:equalWidth="0" w:num="1">
            <w:col w:w="11120"/>
          </w:cols>
          <w:pgMar w:left="240" w:top="270" w:right="53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4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See Item 9 of the Cover Page.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See Item 11 of the Cover Page.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500" w:right="7140" w:hanging="587"/>
        <w:spacing w:after="0" w:line="308" w:lineRule="auto"/>
        <w:tabs>
          <w:tab w:leader="none" w:pos="1489" w:val="left"/>
        </w:tabs>
        <w:numPr>
          <w:ilvl w:val="1"/>
          <w:numId w:val="9"/>
        </w:numPr>
        <w:rPr>
          <w:rFonts w:ascii="Arial" w:cs="Arial" w:eastAsia="Arial" w:hAnsi="Arial"/>
          <w:sz w:val="17"/>
          <w:szCs w:val="17"/>
          <w:color w:val="auto"/>
        </w:rPr>
      </w:pPr>
      <w:r>
        <w:rPr>
          <w:rFonts w:ascii="Arial" w:cs="Arial" w:eastAsia="Arial" w:hAnsi="Arial"/>
          <w:sz w:val="17"/>
          <w:szCs w:val="17"/>
          <w:color w:val="auto"/>
        </w:rPr>
        <w:t>Sole power to vote or to direct the vote See Item 5 of the Cover Page.</w:t>
      </w:r>
    </w:p>
    <w:p>
      <w:pPr>
        <w:spacing w:after="0" w:line="51" w:lineRule="exact"/>
        <w:rPr>
          <w:rFonts w:ascii="Arial" w:cs="Arial" w:eastAsia="Arial" w:hAnsi="Arial"/>
          <w:sz w:val="17"/>
          <w:szCs w:val="17"/>
          <w:color w:val="auto"/>
        </w:rPr>
      </w:pPr>
    </w:p>
    <w:p>
      <w:pPr>
        <w:ind w:left="1500" w:right="6960" w:hanging="587"/>
        <w:spacing w:after="0" w:line="277" w:lineRule="auto"/>
        <w:tabs>
          <w:tab w:leader="none" w:pos="1489"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the Cover Page.</w:t>
      </w:r>
    </w:p>
    <w:p>
      <w:pPr>
        <w:spacing w:after="0" w:line="75" w:lineRule="exact"/>
        <w:rPr>
          <w:rFonts w:ascii="Arial" w:cs="Arial" w:eastAsia="Arial" w:hAnsi="Arial"/>
          <w:sz w:val="18"/>
          <w:szCs w:val="18"/>
          <w:color w:val="auto"/>
        </w:rPr>
      </w:pPr>
    </w:p>
    <w:p>
      <w:pPr>
        <w:ind w:left="1500" w:right="6220" w:hanging="587"/>
        <w:spacing w:after="0" w:line="277" w:lineRule="auto"/>
        <w:tabs>
          <w:tab w:leader="none" w:pos="1489"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the Cover Page.</w:t>
      </w:r>
    </w:p>
    <w:p>
      <w:pPr>
        <w:spacing w:after="0" w:line="75" w:lineRule="exact"/>
        <w:rPr>
          <w:rFonts w:ascii="Arial" w:cs="Arial" w:eastAsia="Arial" w:hAnsi="Arial"/>
          <w:sz w:val="18"/>
          <w:szCs w:val="18"/>
          <w:color w:val="auto"/>
        </w:rPr>
      </w:pPr>
    </w:p>
    <w:p>
      <w:pPr>
        <w:ind w:left="1500" w:right="6040" w:hanging="587"/>
        <w:spacing w:after="0" w:line="277" w:lineRule="auto"/>
        <w:tabs>
          <w:tab w:leader="none" w:pos="1489"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the Cover Page.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92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70" w:right="239" w:bottom="1440" w:gutter="0" w:footer="0" w:header="0"/>
        </w:sectPr>
      </w:pPr>
    </w:p>
    <w:bookmarkStart w:id="4" w:name="page5"/>
    <w:bookmarkEnd w:id="4"/>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RBC GLOBAL ASSET MANAGEMENT (U.S.)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Michael T. Lee / Chief Executive Officer, President &amp; Chief</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200"/>
      </w:cols>
      <w:pgMar w:left="2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4"/>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2019-12-20T22:57:44Z</dcterms:created>
  <dcterms:modified xsi:type="dcterms:W3CDTF">2019-12-20T22:57:44Z</dcterms:modified>
</cp:coreProperties>
</file>