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13G/A</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May 14, 2015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Glenhill Advisors,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7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8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6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4,626,761</w:t>
            </w:r>
          </w:p>
        </w:tc>
        <w:tc>
          <w:tcPr>
            <w:tcW w:w="0" w:type="dxa"/>
            <w:vAlign w:val="bottom"/>
          </w:tcPr>
          <w:p>
            <w:pPr>
              <w:spacing w:after="0"/>
              <w:rPr>
                <w:sz w:val="1"/>
                <w:szCs w:val="1"/>
                <w:color w:val="auto"/>
              </w:rPr>
            </w:pPr>
          </w:p>
        </w:tc>
      </w:tr>
      <w:tr>
        <w:trPr>
          <w:trHeight w:val="48"/>
        </w:trPr>
        <w:tc>
          <w:tcPr>
            <w:tcW w:w="1160" w:type="dxa"/>
            <w:vAlign w:val="bottom"/>
            <w:tcBorders>
              <w:right w:val="single" w:sz="8" w:color="auto"/>
            </w:tcBorders>
            <w:gridSpan w:val="2"/>
            <w:vMerge w:val="continue"/>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4"/>
                <w:szCs w:val="4"/>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5"/>
              </w:rPr>
              <w:t>shares</w:t>
            </w:r>
          </w:p>
        </w:tc>
        <w:tc>
          <w:tcPr>
            <w:tcW w:w="18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vMerge w:val="restart"/>
          </w:tcPr>
          <w:p>
            <w:pPr>
              <w:ind w:left="300"/>
              <w:spacing w:after="0"/>
              <w:rPr>
                <w:sz w:val="20"/>
                <w:szCs w:val="20"/>
                <w:color w:val="auto"/>
              </w:rPr>
            </w:pPr>
            <w:r>
              <w:rPr>
                <w:rFonts w:ascii="Arial" w:cs="Arial" w:eastAsia="Arial" w:hAnsi="Arial"/>
                <w:sz w:val="22"/>
                <w:szCs w:val="22"/>
                <w:color w:val="auto"/>
              </w:rPr>
              <w:t>554,759</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owned by</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40" w:type="dxa"/>
            <w:vAlign w:val="bottom"/>
            <w:tcBorders>
              <w:right w:val="single" w:sz="8" w:color="auto"/>
            </w:tcBorders>
          </w:tcPr>
          <w:p>
            <w:pPr>
              <w:jc w:val="center"/>
              <w:ind w:right="185"/>
              <w:spacing w:after="0" w:line="182" w:lineRule="exact"/>
              <w:rPr>
                <w:sz w:val="20"/>
                <w:szCs w:val="20"/>
                <w:color w:val="auto"/>
              </w:rPr>
            </w:pPr>
            <w:r>
              <w:rPr>
                <w:rFonts w:ascii="Arial" w:cs="Arial" w:eastAsia="Arial" w:hAnsi="Arial"/>
                <w:sz w:val="18"/>
                <w:szCs w:val="18"/>
                <w:color w:val="auto"/>
                <w:w w:val="86"/>
              </w:rPr>
              <w:t>each</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740" w:type="dxa"/>
            <w:vAlign w:val="bottom"/>
            <w:tcBorders>
              <w:right w:val="single" w:sz="8" w:color="auto"/>
            </w:tcBorders>
          </w:tcPr>
          <w:p>
            <w:pPr>
              <w:jc w:val="center"/>
              <w:ind w:right="165"/>
              <w:spacing w:after="0"/>
              <w:rPr>
                <w:sz w:val="20"/>
                <w:szCs w:val="20"/>
                <w:color w:val="auto"/>
              </w:rPr>
            </w:pPr>
            <w:r>
              <w:rPr>
                <w:rFonts w:ascii="Arial" w:cs="Arial" w:eastAsia="Arial" w:hAnsi="Arial"/>
                <w:sz w:val="18"/>
                <w:szCs w:val="18"/>
                <w:color w:val="auto"/>
                <w:w w:val="87"/>
              </w:rPr>
              <w:t>person</w:t>
            </w:r>
          </w:p>
        </w:tc>
        <w:tc>
          <w:tcPr>
            <w:tcW w:w="1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10040" w:type="dxa"/>
            <w:vAlign w:val="bottom"/>
          </w:tcPr>
          <w:p>
            <w:pPr>
              <w:ind w:left="300"/>
              <w:spacing w:after="0" w:line="244" w:lineRule="exact"/>
              <w:rPr>
                <w:sz w:val="20"/>
                <w:szCs w:val="20"/>
                <w:color w:val="auto"/>
              </w:rPr>
            </w:pPr>
            <w:r>
              <w:rPr>
                <w:rFonts w:ascii="Arial" w:cs="Arial" w:eastAsia="Arial" w:hAnsi="Arial"/>
                <w:sz w:val="22"/>
                <w:szCs w:val="22"/>
                <w:color w:val="auto"/>
              </w:rPr>
              <w:t>5,181,520</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rPr>
              <w:t>with:</w:t>
            </w: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0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0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5,181,520</w:t>
            </w: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2"/>
              </w:rPr>
              <w:t>10.2%</w:t>
            </w: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IA,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Glenn J. Krevlin</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7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8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6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4,626,761</w:t>
            </w:r>
          </w:p>
        </w:tc>
        <w:tc>
          <w:tcPr>
            <w:tcW w:w="0" w:type="dxa"/>
            <w:vAlign w:val="bottom"/>
          </w:tcPr>
          <w:p>
            <w:pPr>
              <w:spacing w:after="0"/>
              <w:rPr>
                <w:sz w:val="1"/>
                <w:szCs w:val="1"/>
                <w:color w:val="auto"/>
              </w:rPr>
            </w:pPr>
          </w:p>
        </w:tc>
      </w:tr>
      <w:tr>
        <w:trPr>
          <w:trHeight w:val="48"/>
        </w:trPr>
        <w:tc>
          <w:tcPr>
            <w:tcW w:w="1160" w:type="dxa"/>
            <w:vAlign w:val="bottom"/>
            <w:tcBorders>
              <w:right w:val="single" w:sz="8" w:color="auto"/>
            </w:tcBorders>
            <w:gridSpan w:val="2"/>
            <w:vMerge w:val="continue"/>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4"/>
                <w:szCs w:val="4"/>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5"/>
              </w:rPr>
              <w:t>shares</w:t>
            </w:r>
          </w:p>
        </w:tc>
        <w:tc>
          <w:tcPr>
            <w:tcW w:w="18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vMerge w:val="restart"/>
          </w:tcPr>
          <w:p>
            <w:pPr>
              <w:ind w:left="300"/>
              <w:spacing w:after="0"/>
              <w:rPr>
                <w:sz w:val="20"/>
                <w:szCs w:val="20"/>
                <w:color w:val="auto"/>
              </w:rPr>
            </w:pPr>
            <w:r>
              <w:rPr>
                <w:rFonts w:ascii="Arial" w:cs="Arial" w:eastAsia="Arial" w:hAnsi="Arial"/>
                <w:sz w:val="22"/>
                <w:szCs w:val="22"/>
                <w:color w:val="auto"/>
              </w:rPr>
              <w:t>554,759</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owned by</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40" w:type="dxa"/>
            <w:vAlign w:val="bottom"/>
            <w:tcBorders>
              <w:right w:val="single" w:sz="8" w:color="auto"/>
            </w:tcBorders>
          </w:tcPr>
          <w:p>
            <w:pPr>
              <w:jc w:val="center"/>
              <w:ind w:right="185"/>
              <w:spacing w:after="0" w:line="182" w:lineRule="exact"/>
              <w:rPr>
                <w:sz w:val="20"/>
                <w:szCs w:val="20"/>
                <w:color w:val="auto"/>
              </w:rPr>
            </w:pPr>
            <w:r>
              <w:rPr>
                <w:rFonts w:ascii="Arial" w:cs="Arial" w:eastAsia="Arial" w:hAnsi="Arial"/>
                <w:sz w:val="18"/>
                <w:szCs w:val="18"/>
                <w:color w:val="auto"/>
                <w:w w:val="86"/>
              </w:rPr>
              <w:t>each</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740" w:type="dxa"/>
            <w:vAlign w:val="bottom"/>
            <w:tcBorders>
              <w:right w:val="single" w:sz="8" w:color="auto"/>
            </w:tcBorders>
          </w:tcPr>
          <w:p>
            <w:pPr>
              <w:jc w:val="center"/>
              <w:ind w:right="165"/>
              <w:spacing w:after="0"/>
              <w:rPr>
                <w:sz w:val="20"/>
                <w:szCs w:val="20"/>
                <w:color w:val="auto"/>
              </w:rPr>
            </w:pPr>
            <w:r>
              <w:rPr>
                <w:rFonts w:ascii="Arial" w:cs="Arial" w:eastAsia="Arial" w:hAnsi="Arial"/>
                <w:sz w:val="18"/>
                <w:szCs w:val="18"/>
                <w:color w:val="auto"/>
                <w:w w:val="87"/>
              </w:rPr>
              <w:t>person</w:t>
            </w:r>
          </w:p>
        </w:tc>
        <w:tc>
          <w:tcPr>
            <w:tcW w:w="18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10040" w:type="dxa"/>
            <w:vAlign w:val="bottom"/>
          </w:tcPr>
          <w:p>
            <w:pPr>
              <w:ind w:left="300"/>
              <w:spacing w:after="0" w:line="244" w:lineRule="exact"/>
              <w:rPr>
                <w:sz w:val="20"/>
                <w:szCs w:val="20"/>
                <w:color w:val="auto"/>
              </w:rPr>
            </w:pPr>
            <w:r>
              <w:rPr>
                <w:rFonts w:ascii="Arial" w:cs="Arial" w:eastAsia="Arial" w:hAnsi="Arial"/>
                <w:sz w:val="22"/>
                <w:szCs w:val="22"/>
                <w:color w:val="auto"/>
              </w:rPr>
              <w:t>5,181,520</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rPr>
              <w:t>with:</w:t>
            </w: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10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2"/>
                <w:szCs w:val="12"/>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10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5,181,520</w:t>
            </w: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2"/>
              </w:rPr>
              <w:t>10.2%</w:t>
            </w: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IN,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Glenhill Capital Advisors,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7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8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6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60" w:type="dxa"/>
            <w:vAlign w:val="bottom"/>
            <w:tcBorders>
              <w:right w:val="single" w:sz="8" w:color="auto"/>
            </w:tcBorders>
            <w:gridSpan w:val="2"/>
            <w:vMerge w:val="continue"/>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4"/>
                <w:szCs w:val="4"/>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5"/>
              </w:rPr>
              <w:t>shares</w:t>
            </w:r>
          </w:p>
        </w:tc>
        <w:tc>
          <w:tcPr>
            <w:tcW w:w="18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vMerge w:val="restart"/>
          </w:tcPr>
          <w:p>
            <w:pPr>
              <w:ind w:left="300"/>
              <w:spacing w:after="0"/>
              <w:rPr>
                <w:sz w:val="20"/>
                <w:szCs w:val="20"/>
                <w:color w:val="auto"/>
              </w:rPr>
            </w:pPr>
            <w:r>
              <w:rPr>
                <w:rFonts w:ascii="Arial" w:cs="Arial" w:eastAsia="Arial" w:hAnsi="Arial"/>
                <w:sz w:val="22"/>
                <w:szCs w:val="22"/>
                <w:color w:val="auto"/>
              </w:rPr>
              <w:t>5,181,520</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owned by</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40" w:type="dxa"/>
            <w:vAlign w:val="bottom"/>
            <w:tcBorders>
              <w:right w:val="single" w:sz="8" w:color="auto"/>
            </w:tcBorders>
          </w:tcPr>
          <w:p>
            <w:pPr>
              <w:jc w:val="center"/>
              <w:ind w:right="185"/>
              <w:spacing w:after="0" w:line="182" w:lineRule="exact"/>
              <w:rPr>
                <w:sz w:val="20"/>
                <w:szCs w:val="20"/>
                <w:color w:val="auto"/>
              </w:rPr>
            </w:pPr>
            <w:r>
              <w:rPr>
                <w:rFonts w:ascii="Arial" w:cs="Arial" w:eastAsia="Arial" w:hAnsi="Arial"/>
                <w:sz w:val="18"/>
                <w:szCs w:val="18"/>
                <w:color w:val="auto"/>
                <w:w w:val="86"/>
              </w:rPr>
              <w:t>each</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1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40" w:type="dxa"/>
            <w:vAlign w:val="bottom"/>
            <w:tcBorders>
              <w:right w:val="single" w:sz="8" w:color="auto"/>
            </w:tcBorders>
          </w:tcPr>
          <w:p>
            <w:pPr>
              <w:jc w:val="center"/>
              <w:ind w:right="165"/>
              <w:spacing w:after="0"/>
              <w:rPr>
                <w:sz w:val="20"/>
                <w:szCs w:val="20"/>
                <w:color w:val="auto"/>
              </w:rPr>
            </w:pPr>
            <w:r>
              <w:rPr>
                <w:rFonts w:ascii="Arial" w:cs="Arial" w:eastAsia="Arial" w:hAnsi="Arial"/>
                <w:sz w:val="18"/>
                <w:szCs w:val="18"/>
                <w:color w:val="auto"/>
                <w:w w:val="87"/>
              </w:rPr>
              <w:t>person</w:t>
            </w:r>
          </w:p>
        </w:tc>
        <w:tc>
          <w:tcPr>
            <w:tcW w:w="1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040" w:type="dxa"/>
            <w:vAlign w:val="bottom"/>
          </w:tcPr>
          <w:p>
            <w:pPr>
              <w:ind w:left="3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rPr>
              <w:t>with:</w:t>
            </w:r>
          </w:p>
        </w:tc>
        <w:tc>
          <w:tcPr>
            <w:tcW w:w="18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10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1"/>
                <w:szCs w:val="11"/>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8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5,181,520</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Aggregate</w:t>
            </w:r>
          </w:p>
        </w:tc>
        <w:tc>
          <w:tcPr>
            <w:tcW w:w="100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5,181,520</w:t>
            </w: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2"/>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2"/>
              </w:rPr>
              <w:t>10.2%</w:t>
            </w: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4"/>
          </w:tcPr>
          <w:p>
            <w:pPr>
              <w:ind w:left="320"/>
              <w:spacing w:after="0"/>
              <w:rPr>
                <w:sz w:val="20"/>
                <w:szCs w:val="20"/>
                <w:color w:val="auto"/>
              </w:rPr>
            </w:pPr>
            <w:r>
              <w:rPr>
                <w:rFonts w:ascii="Arial" w:cs="Arial" w:eastAsia="Arial" w:hAnsi="Arial"/>
                <w:sz w:val="22"/>
                <w:szCs w:val="22"/>
                <w:color w:val="auto"/>
              </w:rPr>
              <w:t>IA,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Management, LLC</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6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6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Borders>
              <w:right w:val="single" w:sz="8" w:color="auto"/>
            </w:tcBorders>
          </w:tcPr>
          <w:p>
            <w:pPr>
              <w:spacing w:after="0"/>
              <w:rPr>
                <w:sz w:val="4"/>
                <w:szCs w:val="4"/>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5"/>
              </w:rPr>
              <w:t>shares</w:t>
            </w: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vMerge w:val="restart"/>
          </w:tcPr>
          <w:p>
            <w:pPr>
              <w:ind w:left="300"/>
              <w:spacing w:after="0"/>
              <w:rPr>
                <w:sz w:val="20"/>
                <w:szCs w:val="20"/>
                <w:color w:val="auto"/>
              </w:rPr>
            </w:pPr>
            <w:r>
              <w:rPr>
                <w:rFonts w:ascii="Arial" w:cs="Arial" w:eastAsia="Arial" w:hAnsi="Arial"/>
                <w:sz w:val="22"/>
                <w:szCs w:val="22"/>
                <w:color w:val="auto"/>
              </w:rPr>
              <w:t>4,626,761</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owned by</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40" w:type="dxa"/>
            <w:vAlign w:val="bottom"/>
            <w:tcBorders>
              <w:right w:val="single" w:sz="8" w:color="auto"/>
            </w:tcBorders>
          </w:tcPr>
          <w:p>
            <w:pPr>
              <w:jc w:val="center"/>
              <w:ind w:right="185"/>
              <w:spacing w:after="0" w:line="182" w:lineRule="exact"/>
              <w:rPr>
                <w:sz w:val="20"/>
                <w:szCs w:val="20"/>
                <w:color w:val="auto"/>
              </w:rPr>
            </w:pPr>
            <w:r>
              <w:rPr>
                <w:rFonts w:ascii="Arial" w:cs="Arial" w:eastAsia="Arial" w:hAnsi="Arial"/>
                <w:sz w:val="18"/>
                <w:szCs w:val="18"/>
                <w:color w:val="auto"/>
                <w:w w:val="86"/>
              </w:rPr>
              <w:t>each</w:t>
            </w:r>
          </w:p>
        </w:tc>
        <w:tc>
          <w:tcPr>
            <w:tcW w:w="6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40" w:type="dxa"/>
            <w:vAlign w:val="bottom"/>
            <w:tcBorders>
              <w:right w:val="single" w:sz="8" w:color="auto"/>
            </w:tcBorders>
          </w:tcPr>
          <w:p>
            <w:pPr>
              <w:jc w:val="center"/>
              <w:ind w:right="165"/>
              <w:spacing w:after="0"/>
              <w:rPr>
                <w:sz w:val="20"/>
                <w:szCs w:val="20"/>
                <w:color w:val="auto"/>
              </w:rPr>
            </w:pPr>
            <w:r>
              <w:rPr>
                <w:rFonts w:ascii="Arial" w:cs="Arial" w:eastAsia="Arial" w:hAnsi="Arial"/>
                <w:sz w:val="18"/>
                <w:szCs w:val="18"/>
                <w:color w:val="auto"/>
                <w:w w:val="87"/>
              </w:rPr>
              <w:t>person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040" w:type="dxa"/>
            <w:vAlign w:val="bottom"/>
          </w:tcPr>
          <w:p>
            <w:pPr>
              <w:ind w:left="3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10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Borders>
              <w:right w:val="single" w:sz="8" w:color="auto"/>
            </w:tcBorders>
          </w:tcPr>
          <w:p>
            <w:pPr>
              <w:spacing w:after="0"/>
              <w:rPr>
                <w:sz w:val="11"/>
                <w:szCs w:val="11"/>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4,626,761</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4"/>
          </w:tcPr>
          <w:p>
            <w:pPr>
              <w:ind w:left="100"/>
              <w:spacing w:after="0"/>
              <w:rPr>
                <w:sz w:val="20"/>
                <w:szCs w:val="20"/>
                <w:color w:val="auto"/>
              </w:rPr>
            </w:pPr>
            <w:r>
              <w:rPr>
                <w:rFonts w:ascii="Arial" w:cs="Arial" w:eastAsia="Arial" w:hAnsi="Arial"/>
                <w:sz w:val="18"/>
                <w:szCs w:val="18"/>
                <w:color w:val="auto"/>
              </w:rPr>
              <w:t>Aggregate</w:t>
            </w:r>
          </w:p>
        </w:tc>
        <w:tc>
          <w:tcPr>
            <w:tcW w:w="100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4,626,761</w:t>
            </w: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3"/>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1"/>
              </w:rPr>
              <w:t>9.1%</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IA, HC</w:t>
            </w: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p>
    <w:p>
      <w:pPr>
        <w:spacing w:after="0" w:line="14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24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100"/>
              <w:spacing w:after="0"/>
              <w:rPr>
                <w:sz w:val="20"/>
                <w:szCs w:val="20"/>
                <w:color w:val="auto"/>
              </w:rPr>
            </w:pPr>
            <w:r>
              <w:rPr>
                <w:rFonts w:ascii="Arial" w:cs="Arial" w:eastAsia="Arial" w:hAnsi="Arial"/>
                <w:sz w:val="22"/>
                <w:szCs w:val="22"/>
                <w:color w:val="auto"/>
              </w:rPr>
              <w:t>Glenhill Capital Overseas Master Fund, LP</w:t>
            </w:r>
          </w:p>
        </w:tc>
        <w:tc>
          <w:tcPr>
            <w:tcW w:w="0" w:type="dxa"/>
            <w:vAlign w:val="bottom"/>
          </w:tcPr>
          <w:p>
            <w:pPr>
              <w:spacing w:after="0"/>
              <w:rPr>
                <w:sz w:val="1"/>
                <w:szCs w:val="1"/>
                <w:color w:val="auto"/>
              </w:rPr>
            </w:pPr>
          </w:p>
        </w:tc>
      </w:tr>
      <w:tr>
        <w:trPr>
          <w:trHeight w:val="164"/>
        </w:trPr>
        <w:tc>
          <w:tcPr>
            <w:tcW w:w="4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1020" w:type="dxa"/>
            <w:vAlign w:val="bottom"/>
            <w:gridSpan w:val="5"/>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80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20" w:type="dxa"/>
            <w:vAlign w:val="bottom"/>
          </w:tcPr>
          <w:p>
            <w:pPr>
              <w:spacing w:after="0"/>
              <w:rPr>
                <w:sz w:val="24"/>
                <w:szCs w:val="24"/>
                <w:color w:val="auto"/>
              </w:rPr>
            </w:pPr>
          </w:p>
        </w:tc>
        <w:tc>
          <w:tcPr>
            <w:tcW w:w="1010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11020" w:type="dxa"/>
            <w:vAlign w:val="bottom"/>
            <w:tcBorders>
              <w:bottom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tcBorders>
          </w:tcPr>
          <w:p>
            <w:pPr>
              <w:spacing w:after="0"/>
              <w:rPr>
                <w:sz w:val="21"/>
                <w:szCs w:val="21"/>
                <w:color w:val="auto"/>
              </w:rPr>
            </w:pPr>
          </w:p>
        </w:tc>
        <w:tc>
          <w:tcPr>
            <w:tcW w:w="1102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Cayman</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Borders>
              <w:right w:val="single" w:sz="8" w:color="auto"/>
            </w:tcBorders>
          </w:tcPr>
          <w:p>
            <w:pPr>
              <w:spacing w:after="0"/>
              <w:rPr>
                <w:sz w:val="19"/>
                <w:szCs w:val="19"/>
                <w:color w:val="auto"/>
              </w:rPr>
            </w:pPr>
          </w:p>
        </w:tc>
        <w:tc>
          <w:tcPr>
            <w:tcW w:w="100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16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16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Borders>
              <w:right w:val="single" w:sz="8" w:color="auto"/>
            </w:tcBorders>
          </w:tcPr>
          <w:p>
            <w:pPr>
              <w:spacing w:after="0"/>
              <w:rPr>
                <w:sz w:val="4"/>
                <w:szCs w:val="4"/>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w w:val="85"/>
              </w:rPr>
              <w:t>shares</w:t>
            </w:r>
          </w:p>
        </w:tc>
        <w:tc>
          <w:tcPr>
            <w:tcW w:w="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10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4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10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vMerge w:val="restart"/>
          </w:tcPr>
          <w:p>
            <w:pPr>
              <w:ind w:left="300"/>
              <w:spacing w:after="0"/>
              <w:rPr>
                <w:sz w:val="20"/>
                <w:szCs w:val="20"/>
                <w:color w:val="auto"/>
              </w:rPr>
            </w:pPr>
            <w:r>
              <w:rPr>
                <w:rFonts w:ascii="Arial" w:cs="Arial" w:eastAsia="Arial" w:hAnsi="Arial"/>
                <w:sz w:val="22"/>
                <w:szCs w:val="22"/>
                <w:color w:val="auto"/>
              </w:rPr>
              <w:t>2,908,936</w:t>
            </w:r>
          </w:p>
        </w:tc>
        <w:tc>
          <w:tcPr>
            <w:tcW w:w="0" w:type="dxa"/>
            <w:vAlign w:val="bottom"/>
          </w:tcPr>
          <w:p>
            <w:pPr>
              <w:spacing w:after="0"/>
              <w:rPr>
                <w:sz w:val="1"/>
                <w:szCs w:val="1"/>
                <w:color w:val="auto"/>
              </w:rPr>
            </w:pPr>
          </w:p>
        </w:tc>
      </w:tr>
      <w:tr>
        <w:trPr>
          <w:trHeight w:val="230"/>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owned by</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10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40" w:type="dxa"/>
            <w:vAlign w:val="bottom"/>
            <w:tcBorders>
              <w:right w:val="single" w:sz="8" w:color="auto"/>
            </w:tcBorders>
          </w:tcPr>
          <w:p>
            <w:pPr>
              <w:jc w:val="center"/>
              <w:ind w:right="185"/>
              <w:spacing w:after="0" w:line="182" w:lineRule="exact"/>
              <w:rPr>
                <w:sz w:val="20"/>
                <w:szCs w:val="20"/>
                <w:color w:val="auto"/>
              </w:rPr>
            </w:pPr>
            <w:r>
              <w:rPr>
                <w:rFonts w:ascii="Arial" w:cs="Arial" w:eastAsia="Arial" w:hAnsi="Arial"/>
                <w:sz w:val="18"/>
                <w:szCs w:val="18"/>
                <w:color w:val="auto"/>
                <w:w w:val="86"/>
              </w:rPr>
              <w:t>each</w:t>
            </w:r>
          </w:p>
        </w:tc>
        <w:tc>
          <w:tcPr>
            <w:tcW w:w="60" w:type="dxa"/>
            <w:vAlign w:val="bottom"/>
          </w:tcPr>
          <w:p>
            <w:pPr>
              <w:spacing w:after="0"/>
              <w:rPr>
                <w:sz w:val="15"/>
                <w:szCs w:val="15"/>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Borders>
              <w:right w:val="single" w:sz="8" w:color="auto"/>
            </w:tcBorders>
          </w:tcPr>
          <w:p>
            <w:pPr>
              <w:spacing w:after="0"/>
              <w:rPr>
                <w:sz w:val="15"/>
                <w:szCs w:val="15"/>
                <w:color w:val="auto"/>
              </w:rPr>
            </w:pPr>
          </w:p>
        </w:tc>
        <w:tc>
          <w:tcPr>
            <w:tcW w:w="10040" w:type="dxa"/>
            <w:vAlign w:val="bottom"/>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10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740" w:type="dxa"/>
            <w:vAlign w:val="bottom"/>
            <w:tcBorders>
              <w:right w:val="single" w:sz="8" w:color="auto"/>
            </w:tcBorders>
          </w:tcPr>
          <w:p>
            <w:pPr>
              <w:jc w:val="center"/>
              <w:ind w:right="165"/>
              <w:spacing w:after="0"/>
              <w:rPr>
                <w:sz w:val="20"/>
                <w:szCs w:val="20"/>
                <w:color w:val="auto"/>
              </w:rPr>
            </w:pPr>
            <w:r>
              <w:rPr>
                <w:rFonts w:ascii="Arial" w:cs="Arial" w:eastAsia="Arial" w:hAnsi="Arial"/>
                <w:sz w:val="18"/>
                <w:szCs w:val="18"/>
                <w:color w:val="auto"/>
                <w:w w:val="87"/>
              </w:rPr>
              <w:t>person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10040" w:type="dxa"/>
            <w:vAlign w:val="bottom"/>
          </w:tcPr>
          <w:p>
            <w:pPr>
              <w:ind w:left="3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740" w:type="dxa"/>
            <w:vAlign w:val="bottom"/>
            <w:tcBorders>
              <w:right w:val="single" w:sz="8" w:color="auto"/>
            </w:tcBorders>
            <w:vMerge w:val="restart"/>
          </w:tcPr>
          <w:p>
            <w:pPr>
              <w:jc w:val="center"/>
              <w:ind w:right="185"/>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10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74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Borders>
              <w:right w:val="single" w:sz="8" w:color="auto"/>
            </w:tcBorders>
          </w:tcPr>
          <w:p>
            <w:pPr>
              <w:spacing w:after="0"/>
              <w:rPr>
                <w:sz w:val="11"/>
                <w:szCs w:val="11"/>
                <w:color w:val="auto"/>
              </w:rPr>
            </w:pPr>
          </w:p>
        </w:tc>
        <w:tc>
          <w:tcPr>
            <w:tcW w:w="1004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10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00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2,908,936</w:t>
            </w: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4"/>
          </w:tcPr>
          <w:p>
            <w:pPr>
              <w:ind w:left="100"/>
              <w:spacing w:after="0"/>
              <w:rPr>
                <w:sz w:val="20"/>
                <w:szCs w:val="20"/>
                <w:color w:val="auto"/>
              </w:rPr>
            </w:pPr>
            <w:r>
              <w:rPr>
                <w:rFonts w:ascii="Arial" w:cs="Arial" w:eastAsia="Arial" w:hAnsi="Arial"/>
                <w:sz w:val="18"/>
                <w:szCs w:val="18"/>
                <w:color w:val="auto"/>
              </w:rPr>
              <w:t>Aggregate</w:t>
            </w:r>
          </w:p>
        </w:tc>
        <w:tc>
          <w:tcPr>
            <w:tcW w:w="100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11020" w:type="dxa"/>
            <w:vAlign w:val="bottom"/>
            <w:tcBorders>
              <w:bottom w:val="single" w:sz="8" w:color="auto"/>
            </w:tcBorders>
            <w:gridSpan w:val="5"/>
          </w:tcPr>
          <w:p>
            <w:pPr>
              <w:ind w:left="320"/>
              <w:spacing w:after="0"/>
              <w:rPr>
                <w:sz w:val="20"/>
                <w:szCs w:val="20"/>
                <w:color w:val="auto"/>
              </w:rPr>
            </w:pPr>
            <w:r>
              <w:rPr>
                <w:rFonts w:ascii="Arial" w:cs="Arial" w:eastAsia="Arial" w:hAnsi="Arial"/>
                <w:sz w:val="22"/>
                <w:szCs w:val="22"/>
                <w:color w:val="auto"/>
              </w:rPr>
              <w:t>2,908,936</w:t>
            </w:r>
          </w:p>
        </w:tc>
        <w:tc>
          <w:tcPr>
            <w:tcW w:w="0" w:type="dxa"/>
            <w:vAlign w:val="bottom"/>
          </w:tcPr>
          <w:p>
            <w:pPr>
              <w:spacing w:after="0"/>
              <w:rPr>
                <w:sz w:val="1"/>
                <w:szCs w:val="1"/>
                <w:color w:val="auto"/>
              </w:rPr>
            </w:pPr>
          </w:p>
        </w:tc>
      </w:tr>
      <w:tr>
        <w:trPr>
          <w:trHeight w:val="278"/>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1020" w:type="dxa"/>
            <w:vAlign w:val="bottom"/>
            <w:gridSpan w:val="5"/>
          </w:tcPr>
          <w:p>
            <w:pPr>
              <w:ind w:left="100"/>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gridSpan w:val="3"/>
          </w:tcPr>
          <w:p>
            <w:pPr>
              <w:spacing w:after="0"/>
              <w:rPr>
                <w:sz w:val="16"/>
                <w:szCs w:val="16"/>
                <w:color w:val="auto"/>
              </w:rPr>
            </w:pPr>
          </w:p>
        </w:tc>
        <w:tc>
          <w:tcPr>
            <w:tcW w:w="10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w w:val="91"/>
              </w:rPr>
              <w:t>5.7%</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102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ind w:left="320"/>
              <w:spacing w:after="0"/>
              <w:rPr>
                <w:sz w:val="20"/>
                <w:szCs w:val="20"/>
                <w:color w:val="auto"/>
              </w:rPr>
            </w:pPr>
            <w:r>
              <w:rPr>
                <w:rFonts w:ascii="Arial" w:cs="Arial" w:eastAsia="Arial" w:hAnsi="Arial"/>
                <w:sz w:val="22"/>
                <w:szCs w:val="22"/>
                <w:color w:val="auto"/>
              </w:rPr>
              <w:t>PN</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6" w:name="page7"/>
    <w:bookmarkEnd w:id="6"/>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Destination XL Group, Inc.</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555 Turnpike Street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Canton, MA 02021</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Glenhill Advisors, LLC, Glenn J. Krevlin, Glenhill Capital Advisors, LLC, Glenhill Capital Management, LLC and Glenhill Capital Overseas Master Fund, LP.</w:t>
      </w:r>
    </w:p>
    <w:p>
      <w:pPr>
        <w:spacing w:after="0" w:line="62"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Glenn J. Krevlin is the managing member and control person of Glenhill Advisors, LLC, and is the sole shareholder of Krevlin Management, Inc. Krevlin Management, Inc. is the managing member of Glenhill Capital Advisors, LLC, which is the investment manager of Glenhill Capital Overseas Master Fund, LP, Glenhill Concentrated Long Master Fund, LLC, and Glenhill Long Fund, LP, each (along with Mr. Krevlin) a security holder of the Issuer. Glenhill Advisors, LLC is the managing member of Glenhill Capital Management, LLC. Glenhill Capital Management, LLC is the managing member of Glenhill Concentrated Long Master Fund, LLC, and Glenhill Long GP, LLC, and is sole shareholder of Glenhill Capital Overseas GP, Ltd. Glenhill Capital Overseas GP, Ltd. is general partner of Glenhill Capital Overseas Master Fund, LP. Glenhill Long GP, LLC is the general partner of Glenhill Long Fund, LP.</w:t>
      </w:r>
    </w:p>
    <w:p>
      <w:pPr>
        <w:spacing w:after="0" w:line="81"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Glenhill Capital Advisors, LLC is also the investment manager for certain third party accounts for which shares of the Issuer are held and managed by one or more of the Reporting Persons for the benefit of such third parties. Such Reporting Persons have dispositive power and share certain voting power with respect to such shares, and receive management fees and performance-related fees in connection therewith. As of the date of this filing, there are 554,759 shares of common stock of the Issuer held in such third party managed accounts, and the securities reported on the attached cover page(s) include such shares.</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600 Fifth Avenue, 11th Floor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10020</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response(s) to Item 4 on the attached cover page(s).</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1280"/>
          </w:cols>
          <w:pgMar w:left="240" w:top="270" w:right="379" w:bottom="1440" w:gutter="0" w:footer="0" w:header="0"/>
        </w:sectPr>
      </w:pPr>
    </w:p>
    <w:bookmarkStart w:id="7" w:name="page8"/>
    <w:bookmarkEnd w:id="7"/>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25065K104</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3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the response(s) to Item 9 on the attached cover page(s).</w:t>
      </w:r>
    </w:p>
    <w:p>
      <w:pPr>
        <w:spacing w:after="0" w:line="131"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See the response(s) to Item 11 on the attached cover page(s), which was determined by dividing the number of shares beneficially held by the Reporting Person by 50,698,965, the number of shares of common stock issued and outstanding as reported in the Issuer’s Form 10-K filed with the Securities and Exchange Commission on March 25, 2015.</w:t>
      </w:r>
    </w:p>
    <w:p>
      <w:pPr>
        <w:spacing w:after="0" w:line="8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117"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130" w:lineRule="exact"/>
        <w:rPr>
          <w:rFonts w:ascii="Arial" w:cs="Arial" w:eastAsia="Arial" w:hAnsi="Arial"/>
          <w:sz w:val="18"/>
          <w:szCs w:val="18"/>
          <w:color w:val="auto"/>
        </w:rPr>
      </w:pPr>
    </w:p>
    <w:p>
      <w:pPr>
        <w:ind w:left="1500" w:right="5540" w:hanging="587"/>
        <w:spacing w:after="0" w:line="483" w:lineRule="auto"/>
        <w:tabs>
          <w:tab w:leader="none" w:pos="1489" w:val="left"/>
        </w:tabs>
        <w:numPr>
          <w:ilvl w:val="1"/>
          <w:numId w:val="6"/>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1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140" w:right="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320"/>
          </w:cols>
          <w:pgMar w:left="240" w:top="270" w:right="339" w:bottom="1440" w:gutter="0" w:footer="0" w:header="0"/>
        </w:sectPr>
      </w:pPr>
    </w:p>
    <w:bookmarkStart w:id="8" w:name="page9"/>
    <w:bookmarkEnd w:id="8"/>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60"/>
          </w:cols>
          <w:pgMar w:left="240" w:top="270" w:right="39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27,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GLENHILL ADVISORS, LLC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 GLENN J. KREVLIN</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Glenn J. Krevlin</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GLENHILL CAPITAL ADVISORS, LLC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KREVLIN MANAGEMENT, INC.</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GLENHILL CAPITAL MANAGEMENT, LLC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GLENHILL ADVISORS, LLC</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GLENHILL CAPITAL OVERSEAS MASTER FUND, LP</w:t>
      </w:r>
    </w:p>
    <w:p>
      <w:pPr>
        <w:sectPr>
          <w:pgSz w:w="11900" w:h="16838" w:orient="portrait"/>
          <w:cols w:equalWidth="0" w:num="1">
            <w:col w:w="11360"/>
          </w:cols>
          <w:pgMar w:left="240" w:top="270" w:right="299" w:bottom="1440" w:gutter="0" w:footer="0" w:header="0"/>
        </w:sectPr>
      </w:pP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GLENHILL CAPITAL OVERSEAS GP, LTD.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7120" w:space="320"/>
            <w:col w:w="3920"/>
          </w:cols>
          <w:pgMar w:left="240" w:top="270" w:right="299" w:bottom="1440" w:gutter="0" w:footer="0" w:header="0"/>
          <w:type w:val="continuous"/>
        </w:sectPr>
      </w:pPr>
    </w:p>
    <w:p>
      <w:pPr>
        <w:spacing w:after="0" w:line="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ind w:right="460"/>
        <w:spacing w:after="0" w:line="277" w:lineRule="auto"/>
        <w:rPr>
          <w:sz w:val="20"/>
          <w:szCs w:val="20"/>
          <w:color w:val="auto"/>
        </w:rPr>
      </w:pPr>
      <w:r>
        <w:rPr>
          <w:rFonts w:ascii="Arial" w:cs="Arial" w:eastAsia="Arial" w:hAnsi="Arial"/>
          <w:sz w:val="18"/>
          <w:szCs w:val="18"/>
          <w:color w:val="auto"/>
        </w:rPr>
        <w:t>GLENHILL CAPITAL MANAGEMENT, LLC Sole Shareholder</w:t>
      </w:r>
    </w:p>
    <w:p>
      <w:pPr>
        <w:sectPr>
          <w:pgSz w:w="11900" w:h="16838" w:orient="portrait"/>
          <w:cols w:equalWidth="0" w:num="2">
            <w:col w:w="7120" w:space="320"/>
            <w:col w:w="3920"/>
          </w:cols>
          <w:pgMar w:left="240" w:top="270" w:right="299" w:bottom="1440" w:gutter="0" w:footer="0" w:header="0"/>
          <w:type w:val="continuous"/>
        </w:sectPr>
      </w:pPr>
    </w:p>
    <w:bookmarkStart w:id="10" w:name="page11"/>
    <w:bookmarkEnd w:id="10"/>
    <w:p>
      <w:pPr>
        <w:ind w:left="5660"/>
        <w:spacing w:after="0"/>
        <w:tabs>
          <w:tab w:leader="none" w:pos="622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w:t>
      </w:r>
      <w:r>
        <w:rPr>
          <w:sz w:val="20"/>
          <w:szCs w:val="20"/>
          <w:color w:val="auto"/>
        </w:rPr>
        <w:tab/>
      </w:r>
      <w:r>
        <w:rPr>
          <w:rFonts w:ascii="Arial" w:cs="Arial" w:eastAsia="Arial" w:hAnsi="Arial"/>
          <w:sz w:val="17"/>
          <w:szCs w:val="17"/>
          <w:color w:val="auto"/>
        </w:rPr>
        <w:t>GLENHILL ADVISORS, LLC</w:t>
      </w:r>
    </w:p>
    <w:p>
      <w:pPr>
        <w:spacing w:after="0" w:line="35"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GLENN J. KREVLIN</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Member</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2019-12-20T21:59:11Z</dcterms:created>
  <dcterms:modified xsi:type="dcterms:W3CDTF">2019-12-20T21:59:11Z</dcterms:modified>
</cp:coreProperties>
</file>