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720"/>
        <w:spacing w:after="0"/>
        <w:tabs>
          <w:tab w:leader="none" w:pos="7320" w:val="left"/>
        </w:tabs>
        <w:rPr>
          <w:sz w:val="20"/>
          <w:szCs w:val="20"/>
          <w:color w:val="auto"/>
        </w:rPr>
      </w:pPr>
      <w:r>
        <w:rPr>
          <w:rFonts w:ascii="Arial" w:cs="Arial" w:eastAsia="Arial" w:hAnsi="Arial"/>
          <w:sz w:val="18"/>
          <w:szCs w:val="18"/>
          <w:b w:val="1"/>
          <w:bCs w:val="1"/>
          <w:color w:val="auto"/>
        </w:rPr>
        <w:t>For the fiscal year ended January 28, 2006 (Fiscal 2005)</w:t>
      </w:r>
      <w:r>
        <w:rPr>
          <w:sz w:val="20"/>
          <w:szCs w:val="20"/>
          <w:color w:val="auto"/>
        </w:rPr>
        <w:tab/>
      </w:r>
      <w:r>
        <w:rPr>
          <w:rFonts w:ascii="Arial" w:cs="Arial" w:eastAsia="Arial" w:hAnsi="Arial"/>
          <w:sz w:val="15"/>
          <w:szCs w:val="15"/>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600" w:type="dxa"/>
        <w:tblCellMar>
          <w:top w:w="0" w:type="dxa"/>
          <w:left w:w="0" w:type="dxa"/>
          <w:bottom w:w="0" w:type="dxa"/>
          <w:right w:w="0" w:type="dxa"/>
        </w:tblCellMar>
      </w:tblPr>
      <w:tr>
        <w:trPr>
          <w:trHeight w:val="220"/>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20" w:type="dxa"/>
            <w:vAlign w:val="bottom"/>
          </w:tcPr>
          <w:p>
            <w:pPr>
              <w:jc w:val="right"/>
              <w:ind w:right="2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5020" w:type="dxa"/>
            <w:vAlign w:val="bottom"/>
          </w:tcPr>
          <w:p>
            <w:pPr>
              <w:jc w:val="center"/>
              <w:ind w:left="3904"/>
              <w:spacing w:after="0" w:line="149" w:lineRule="exact"/>
              <w:rPr>
                <w:sz w:val="20"/>
                <w:szCs w:val="20"/>
                <w:color w:val="auto"/>
              </w:rPr>
            </w:pPr>
            <w:r>
              <w:rPr>
                <w:rFonts w:ascii="Arial" w:cs="Arial" w:eastAsia="Arial" w:hAnsi="Arial"/>
                <w:sz w:val="14"/>
                <w:szCs w:val="14"/>
                <w:b w:val="1"/>
                <w:bCs w:val="1"/>
                <w:i w:val="1"/>
                <w:iCs w:val="1"/>
                <w:color w:val="auto"/>
                <w:w w:val="87"/>
              </w:rPr>
              <w:t>(IRS Employer</w:t>
            </w:r>
          </w:p>
        </w:tc>
      </w:tr>
      <w:tr>
        <w:trPr>
          <w:trHeight w:val="172"/>
        </w:trPr>
        <w:tc>
          <w:tcPr>
            <w:tcW w:w="2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5020" w:type="dxa"/>
            <w:vAlign w:val="bottom"/>
          </w:tcPr>
          <w:p>
            <w:pPr>
              <w:jc w:val="center"/>
              <w:ind w:left="3904"/>
              <w:spacing w:after="0"/>
              <w:rPr>
                <w:sz w:val="20"/>
                <w:szCs w:val="20"/>
                <w:color w:val="auto"/>
              </w:rPr>
            </w:pPr>
            <w:r>
              <w:rPr>
                <w:rFonts w:ascii="Arial" w:cs="Arial" w:eastAsia="Arial" w:hAnsi="Arial"/>
                <w:sz w:val="14"/>
                <w:szCs w:val="14"/>
                <w:b w:val="1"/>
                <w:bCs w:val="1"/>
                <w:i w:val="1"/>
                <w:iCs w:val="1"/>
                <w:color w:val="auto"/>
                <w:w w:val="87"/>
              </w:rPr>
              <w:t>Identification No.)</w:t>
            </w:r>
          </w:p>
        </w:tc>
      </w:tr>
      <w:tr>
        <w:trPr>
          <w:trHeight w:val="408"/>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2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72"/>
        </w:trPr>
        <w:tc>
          <w:tcPr>
            <w:tcW w:w="2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(Address of principal executive offices)</w:t>
            </w:r>
          </w:p>
        </w:tc>
        <w:tc>
          <w:tcPr>
            <w:tcW w:w="5020" w:type="dxa"/>
            <w:vAlign w:val="bottom"/>
          </w:tcPr>
          <w:p>
            <w:pPr>
              <w:jc w:val="center"/>
              <w:ind w:left="3904"/>
              <w:spacing w:after="0"/>
              <w:rPr>
                <w:sz w:val="20"/>
                <w:szCs w:val="20"/>
                <w:color w:val="auto"/>
              </w:rPr>
            </w:pPr>
            <w:r>
              <w:rPr>
                <w:rFonts w:ascii="Arial" w:cs="Arial" w:eastAsia="Arial" w:hAnsi="Arial"/>
                <w:sz w:val="14"/>
                <w:szCs w:val="14"/>
                <w:b w:val="1"/>
                <w:bCs w:val="1"/>
                <w:i w:val="1"/>
                <w:iCs w:val="1"/>
                <w:color w:val="auto"/>
                <w:w w:val="86"/>
              </w:rPr>
              <w:t>(Zip Code)</w:t>
            </w:r>
          </w:p>
        </w:tc>
      </w:tr>
      <w:tr>
        <w:trPr>
          <w:trHeight w:val="354"/>
        </w:trPr>
        <w:tc>
          <w:tcPr>
            <w:tcW w:w="2580" w:type="dxa"/>
            <w:vAlign w:val="bottom"/>
          </w:tcPr>
          <w:p>
            <w:pPr>
              <w:spacing w:after="0"/>
              <w:rPr>
                <w:sz w:val="24"/>
                <w:szCs w:val="24"/>
                <w:color w:val="auto"/>
              </w:rPr>
            </w:pPr>
          </w:p>
        </w:tc>
        <w:tc>
          <w:tcPr>
            <w:tcW w:w="5020" w:type="dxa"/>
            <w:vAlign w:val="bottom"/>
          </w:tcPr>
          <w:p>
            <w:pPr>
              <w:jc w:val="right"/>
              <w:ind w:right="2864"/>
              <w:spacing w:after="0"/>
              <w:rPr>
                <w:sz w:val="20"/>
                <w:szCs w:val="20"/>
                <w:color w:val="auto"/>
              </w:rPr>
            </w:pPr>
            <w:r>
              <w:rPr>
                <w:rFonts w:ascii="Arial" w:cs="Arial" w:eastAsia="Arial" w:hAnsi="Arial"/>
                <w:sz w:val="18"/>
                <w:szCs w:val="18"/>
                <w:b w:val="1"/>
                <w:bCs w:val="1"/>
                <w:color w:val="auto"/>
              </w:rPr>
              <w:t>(781) 828-9300</w:t>
            </w:r>
          </w:p>
        </w:tc>
      </w:tr>
      <w:tr>
        <w:trPr>
          <w:trHeight w:val="172"/>
        </w:trPr>
        <w:tc>
          <w:tcPr>
            <w:tcW w:w="2580" w:type="dxa"/>
            <w:vAlign w:val="bottom"/>
          </w:tcPr>
          <w:p>
            <w:pPr>
              <w:spacing w:after="0"/>
              <w:rPr>
                <w:sz w:val="14"/>
                <w:szCs w:val="14"/>
                <w:color w:val="auto"/>
              </w:rPr>
            </w:pPr>
          </w:p>
        </w:tc>
        <w:tc>
          <w:tcPr>
            <w:tcW w:w="5020" w:type="dxa"/>
            <w:vAlign w:val="bottom"/>
          </w:tcPr>
          <w:p>
            <w:pPr>
              <w:jc w:val="center"/>
              <w:ind w:right="1864"/>
              <w:spacing w:after="0"/>
              <w:rPr>
                <w:sz w:val="20"/>
                <w:szCs w:val="20"/>
                <w:color w:val="auto"/>
              </w:rPr>
            </w:pPr>
            <w:r>
              <w:rPr>
                <w:rFonts w:ascii="Arial" w:cs="Arial" w:eastAsia="Arial" w:hAnsi="Arial"/>
                <w:sz w:val="14"/>
                <w:szCs w:val="14"/>
                <w:b w:val="1"/>
                <w:bCs w:val="1"/>
                <w:i w:val="1"/>
                <w:iCs w:val="1"/>
                <w:color w:val="auto"/>
                <w:w w:val="8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3460"/>
        <w:spacing w:after="0" w:line="229"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560"/>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8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4"/>
          <w:szCs w:val="24"/>
          <w:color w:val="auto"/>
        </w:rPr>
      </w:pPr>
    </w:p>
    <w:p>
      <w:pPr>
        <w:spacing w:after="0" w:line="207" w:lineRule="exact"/>
        <w:tabs>
          <w:tab w:leader="none" w:pos="1980" w:val="left"/>
          <w:tab w:leader="none" w:pos="35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20"/>
        <w:spacing w:after="0" w:line="207" w:lineRule="exact"/>
        <w:tabs>
          <w:tab w:leader="none" w:pos="7400" w:val="left"/>
          <w:tab w:leader="none" w:pos="80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As of July 30, 2005, the aggregate market value of the Common Stock held by non-affiliates of the registrant was approximately $187.3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43" w:lineRule="exact"/>
        <w:rPr>
          <w:sz w:val="24"/>
          <w:szCs w:val="24"/>
          <w:color w:val="auto"/>
        </w:rPr>
      </w:pPr>
    </w:p>
    <w:p>
      <w:pPr>
        <w:ind w:left="20"/>
        <w:spacing w:after="0"/>
        <w:rPr>
          <w:sz w:val="20"/>
          <w:szCs w:val="20"/>
          <w:color w:val="auto"/>
        </w:rPr>
      </w:pPr>
      <w:r>
        <w:rPr>
          <w:rFonts w:ascii="Arial" w:cs="Arial" w:eastAsia="Arial" w:hAnsi="Arial"/>
          <w:sz w:val="18"/>
          <w:szCs w:val="18"/>
          <w:color w:val="auto"/>
        </w:rPr>
        <w:t>The registrant had 35,316,478 shares of Common Stock, $0.01 par value, outstanding as of May 10, 2006.</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355" w:right="299" w:bottom="695" w:gutter="0" w:footer="0" w:header="0"/>
        </w:sectPr>
      </w:pPr>
    </w:p>
    <w:bookmarkStart w:id="1" w:name="page2"/>
    <w:bookmarkEnd w:id="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registrant hereby amends its Annual Report on Form 10-K for the fiscal year ending January 28, 2006 by amending PART III thereof to read in its entirety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i w:val="1"/>
          <w:iCs w:val="1"/>
          <w:color w:val="auto"/>
        </w:rPr>
        <w:t>Directors and Executive Officers of the Registrant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information concerning the directors of the Company is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54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POSITION</w:t>
            </w:r>
          </w:p>
        </w:tc>
        <w:tc>
          <w:tcPr>
            <w:tcW w:w="3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DIRECTOR</w:t>
            </w:r>
          </w:p>
        </w:tc>
        <w:tc>
          <w:tcPr>
            <w:tcW w:w="0" w:type="dxa"/>
            <w:vAlign w:val="bottom"/>
          </w:tcPr>
          <w:p>
            <w:pPr>
              <w:spacing w:after="0"/>
              <w:rPr>
                <w:sz w:val="1"/>
                <w:szCs w:val="1"/>
                <w:color w:val="auto"/>
              </w:rPr>
            </w:pPr>
          </w:p>
        </w:tc>
      </w:tr>
      <w:tr>
        <w:trPr>
          <w:trHeight w:val="168"/>
        </w:trPr>
        <w:tc>
          <w:tcPr>
            <w:tcW w:w="488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8"/>
              </w:rPr>
              <w:t>AGE</w:t>
            </w:r>
          </w:p>
        </w:tc>
        <w:tc>
          <w:tcPr>
            <w:tcW w:w="32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5"/>
        </w:trPr>
        <w:tc>
          <w:tcPr>
            <w:tcW w:w="4880" w:type="dxa"/>
            <w:vAlign w:val="bottom"/>
          </w:tcPr>
          <w:p>
            <w:pPr>
              <w:spacing w:after="0" w:line="195" w:lineRule="exact"/>
              <w:rPr>
                <w:sz w:val="20"/>
                <w:szCs w:val="20"/>
                <w:color w:val="auto"/>
              </w:rPr>
            </w:pPr>
            <w:r>
              <w:rPr>
                <w:rFonts w:ascii="Arial" w:cs="Arial" w:eastAsia="Arial" w:hAnsi="Arial"/>
                <w:sz w:val="18"/>
                <w:szCs w:val="18"/>
                <w:color w:val="auto"/>
              </w:rPr>
              <w:t>Seymour Holtzman</w:t>
            </w:r>
          </w:p>
        </w:tc>
        <w:tc>
          <w:tcPr>
            <w:tcW w:w="320" w:type="dxa"/>
            <w:vAlign w:val="bottom"/>
          </w:tcPr>
          <w:p>
            <w:pPr>
              <w:spacing w:after="0"/>
              <w:rPr>
                <w:sz w:val="16"/>
                <w:szCs w:val="16"/>
                <w:color w:val="auto"/>
              </w:rPr>
            </w:pPr>
          </w:p>
        </w:tc>
        <w:tc>
          <w:tcPr>
            <w:tcW w:w="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70</w:t>
            </w:r>
          </w:p>
        </w:tc>
        <w:tc>
          <w:tcPr>
            <w:tcW w:w="32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and Director (2)</w:t>
            </w:r>
          </w:p>
        </w:tc>
        <w:tc>
          <w:tcPr>
            <w:tcW w:w="34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David A. Levin</w:t>
            </w:r>
          </w:p>
        </w:tc>
        <w:tc>
          <w:tcPr>
            <w:tcW w:w="6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55</w:t>
            </w:r>
          </w:p>
        </w:tc>
        <w:tc>
          <w:tcPr>
            <w:tcW w:w="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Alan S. Bernikow</w:t>
            </w:r>
          </w:p>
        </w:tc>
        <w:tc>
          <w:tcPr>
            <w:tcW w:w="6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65</w:t>
            </w:r>
          </w:p>
        </w:tc>
        <w:tc>
          <w:tcPr>
            <w:tcW w:w="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 (3),(4)</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Jesse Choper</w:t>
            </w:r>
          </w:p>
        </w:tc>
        <w:tc>
          <w:tcPr>
            <w:tcW w:w="6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70</w:t>
            </w:r>
          </w:p>
        </w:tc>
        <w:tc>
          <w:tcPr>
            <w:tcW w:w="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 (3),(4),(5)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James P. Frain (1)</w:t>
            </w:r>
          </w:p>
        </w:tc>
        <w:tc>
          <w:tcPr>
            <w:tcW w:w="6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57</w:t>
            </w:r>
          </w:p>
        </w:tc>
        <w:tc>
          <w:tcPr>
            <w:tcW w:w="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George T. Porter, Jr.</w:t>
            </w:r>
          </w:p>
        </w:tc>
        <w:tc>
          <w:tcPr>
            <w:tcW w:w="6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59</w:t>
            </w:r>
          </w:p>
        </w:tc>
        <w:tc>
          <w:tcPr>
            <w:tcW w:w="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 (3),(5)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Robert L. Sockolov</w:t>
            </w:r>
          </w:p>
        </w:tc>
        <w:tc>
          <w:tcPr>
            <w:tcW w:w="6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75</w:t>
            </w:r>
          </w:p>
        </w:tc>
        <w:tc>
          <w:tcPr>
            <w:tcW w:w="3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5"/>
              </w:rPr>
              <w:t>Director, Chief Executive Officer of the Rochester Big &amp; Tall</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division</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right="30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April 25, 2006, James Frain, whose term as a director expires on August 5, 2006, informed the Company that he would not stand for re-election as a director. His decision not to stand for re-election was not due to any disagreement on any matters relating to the Company’s operations, policies or practices.</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Investors Relations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of the Company since April 7, 2000 and Chairman of the Board since April 11, 2000. On May 25, 2001,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the Company hired Mr. Holtzman as an officer and an employee of the Company. Mr. Holtzman has been involved in the retail business for over 30 years. For many years, he has been the President and Chief Executive Officer of Jewelcor, Inc., a former New York Stock Exchange listed company that operated a chain of retail stores. From 1986 to 1988, Mr. Holtzman was Chairman of the Board and Chief Executive Officer of Gruen Marketing Corporation, an American Stock Exchange listed company involved in the nationwide distribution of watches. For at least the last five years, Mr. Holtzman has served as Chairman and Chief Executive Officer of each of Jewelcor Management, Inc., a company primarily involved in investment and management services; C.D. Peacock, Inc., a Chicago, Illinois retail jewelry establishment; and S.A. Peck &amp; Company, a retail and mail order jewelry company based in Chicago, Illinois. Mr. Holtzman is currently the Chief Executive Officer and Co-Chairman of the Board of George Foreman Enterprises, Inc. (OTCBB: “GFME.OB”), formerly MM Companies, Inc.; Chairman of the Board of Web.com, Inc. (NASDAQ: “WWWW”), formerly Interland, Inc.; and a member of the Board of Directors of Whitehall Jewellers, Inc. (OTC: “JWLR.PK”). Mr. Holtzman is a well-known shareholder activist who specializes in the banking industry and the retail industry.</w:t>
      </w:r>
    </w:p>
    <w:p>
      <w:pPr>
        <w:spacing w:after="0" w:line="123"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President and Chief Executive Officer of the Company since April 10, 2000 and a director of the Company since April 11, 2000.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1999 to 2000, he served as 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w:t>
      </w:r>
    </w:p>
    <w:p>
      <w:pPr>
        <w:sectPr>
          <w:pgSz w:w="11900" w:h="16838" w:orient="portrait"/>
          <w:cols w:equalWidth="0" w:num="1">
            <w:col w:w="11420"/>
          </w:cols>
          <w:pgMar w:left="240" w:top="280" w:right="239" w:bottom="1440" w:gutter="0" w:footer="0" w:header="0"/>
        </w:sectPr>
      </w:pPr>
    </w:p>
    <w:bookmarkStart w:id="2" w:name="page3"/>
    <w:bookmarkEnd w:id="2"/>
    <w:p>
      <w:pPr>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Alan S. Bernikow </w:t>
      </w:r>
      <w:r>
        <w:rPr>
          <w:rFonts w:ascii="Arial" w:cs="Arial" w:eastAsia="Arial" w:hAnsi="Arial"/>
          <w:sz w:val="16"/>
          <w:szCs w:val="16"/>
          <w:color w:val="auto"/>
        </w:rPr>
        <w:t>has been a director of the Company since June 29, 2003. From 1998 until his retirement in May 2003, Mr. Bernikow was the Deputy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at Deloitte &amp; Touche LLP where he was responsible for assisting the firm on special projects such as firm mergers and acquisitions, litigation matters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and Chairman of the Audit Committee of Revlon, Inc.; a member of the Board of Directors of Revlon Consumer Products Corporations; a member of the Board of Directors and Chairman of the Audit Committee of Mack-Cali; a member of the Board of Directors and Chairman of the Audit Committee of UBS Global Asset Management Inc., a wholly owned subsidiary of UBS AG; a member of the Board of Directors and Chairman of the Audit Committee of the FOJP Service Corporation; a member of the Board of Trustees for the Jewish Communal Fund; a member of the Board of Directors and Chairman of the Audit Committee of Saint Vincent Catholic Medical Centers; and a member of the Executive Board for The Sass Foundation Medical Research, Inc.</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Jesse Choper </w:t>
      </w:r>
      <w:r>
        <w:rPr>
          <w:rFonts w:ascii="Arial" w:cs="Arial" w:eastAsia="Arial" w:hAnsi="Arial"/>
          <w:sz w:val="16"/>
          <w:szCs w:val="16"/>
          <w:color w:val="auto"/>
        </w:rPr>
        <w:t>has been a director of the Company since October 8, 1999. Mr. Choper is the Earl Warren Professor of Public Law at the University of California at</w:t>
      </w:r>
      <w:r>
        <w:rPr>
          <w:rFonts w:ascii="Arial" w:cs="Arial" w:eastAsia="Arial" w:hAnsi="Arial"/>
          <w:sz w:val="16"/>
          <w:szCs w:val="16"/>
          <w:i w:val="1"/>
          <w:iCs w:val="1"/>
          <w:color w:val="auto"/>
        </w:rPr>
        <w:t xml:space="preserve"> </w:t>
      </w:r>
      <w:r>
        <w:rPr>
          <w:rFonts w:ascii="Arial" w:cs="Arial" w:eastAsia="Arial" w:hAnsi="Arial"/>
          <w:sz w:val="16"/>
          <w:szCs w:val="16"/>
          <w:color w:val="auto"/>
        </w:rPr>
        <w:t>Berkeley School of Law, where he has taught since 1965. From 1960 to 1961, Professor Choper was a law clerk for Supreme Court Chief Justice Earl Warren. Mr. Choper is a member of the Board of Directors of George Foreman Enterprises, Inc. (OTCBB: “GFME.OB”)</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James P. Frain </w:t>
      </w:r>
      <w:r>
        <w:rPr>
          <w:rFonts w:ascii="Arial" w:cs="Arial" w:eastAsia="Arial" w:hAnsi="Arial"/>
          <w:sz w:val="18"/>
          <w:szCs w:val="18"/>
          <w:color w:val="auto"/>
        </w:rPr>
        <w:t>has been a director of the Company since April 2, 2004. Since June 1999, Mr. Frain has been with Chico’s, a specialty retailer of women’s apparel.</w:t>
      </w:r>
      <w:r>
        <w:rPr>
          <w:rFonts w:ascii="Arial" w:cs="Arial" w:eastAsia="Arial" w:hAnsi="Arial"/>
          <w:sz w:val="18"/>
          <w:szCs w:val="18"/>
          <w:i w:val="1"/>
          <w:iCs w:val="1"/>
          <w:color w:val="auto"/>
        </w:rPr>
        <w:t xml:space="preserve"> </w:t>
      </w:r>
      <w:r>
        <w:rPr>
          <w:rFonts w:ascii="Arial" w:cs="Arial" w:eastAsia="Arial" w:hAnsi="Arial"/>
          <w:sz w:val="18"/>
          <w:szCs w:val="18"/>
          <w:color w:val="auto"/>
        </w:rPr>
        <w:t>Mr. Frain started with Chico’s as the Marketing Director and most recently Mr. Frain was promoted to Executive Vice President and Chief Marketing Officer for Chico’s.</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of the Company since October 28, 1999. Mr. Porter was President of Levi’s USA for Levi Strauss &amp; Co. from 1994 to</w:t>
      </w:r>
      <w:r>
        <w:rPr>
          <w:rFonts w:ascii="Arial" w:cs="Arial" w:eastAsia="Arial" w:hAnsi="Arial"/>
          <w:sz w:val="18"/>
          <w:szCs w:val="18"/>
          <w:i w:val="1"/>
          <w:iCs w:val="1"/>
          <w:color w:val="auto"/>
        </w:rPr>
        <w:t xml:space="preserve"> </w:t>
      </w: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to 1998.</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 xml:space="preserve">Robert L. Sockolov </w:t>
      </w:r>
      <w:r>
        <w:rPr>
          <w:rFonts w:ascii="Arial" w:cs="Arial" w:eastAsia="Arial" w:hAnsi="Arial"/>
          <w:sz w:val="16"/>
          <w:szCs w:val="16"/>
          <w:color w:val="auto"/>
        </w:rPr>
        <w:t>has been a director of the Company since October 27, 2004. In connection with the Company’s acquisition of Rochester Big &amp; Tall Clothing</w:t>
      </w:r>
      <w:r>
        <w:rPr>
          <w:rFonts w:ascii="Arial" w:cs="Arial" w:eastAsia="Arial" w:hAnsi="Arial"/>
          <w:sz w:val="16"/>
          <w:szCs w:val="16"/>
          <w:i w:val="1"/>
          <w:iCs w:val="1"/>
          <w:color w:val="auto"/>
        </w:rPr>
        <w:t xml:space="preserve"> </w:t>
      </w:r>
      <w:r>
        <w:rPr>
          <w:rFonts w:ascii="Arial" w:cs="Arial" w:eastAsia="Arial" w:hAnsi="Arial"/>
          <w:sz w:val="16"/>
          <w:szCs w:val="16"/>
          <w:color w:val="auto"/>
        </w:rPr>
        <w:t>(“Rochester”), Mr. Sockolov was appointed a director of the Company and also appointed Chief Executive Officer of the Rochester division. Prior to joining the Company, Mr. Sockolov had been with Rochester since 1951 and, since 1967, was Rochester’s President and Chief Executive Officer.</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Non-Director Executive Officers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Dennis R. Hernreich</w:t>
      </w:r>
      <w:r>
        <w:rPr>
          <w:rFonts w:ascii="Arial" w:cs="Arial" w:eastAsia="Arial" w:hAnsi="Arial"/>
          <w:sz w:val="16"/>
          <w:szCs w:val="16"/>
          <w:color w:val="auto"/>
        </w:rPr>
        <w:t>, 49, has been Executive Vice President, Chief Operating Officer and Chief Financial Officer of the Company since September 2002.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that, Mr. Hernreich served as the Senior Vice President, Chief Financial Officer and Treasurer upon joining the Company on September 5, 2000. Prior to joining the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Linda B. Carlo</w:t>
      </w:r>
      <w:r>
        <w:rPr>
          <w:rFonts w:ascii="Arial" w:cs="Arial" w:eastAsia="Arial" w:hAnsi="Arial"/>
          <w:sz w:val="16"/>
          <w:szCs w:val="16"/>
          <w:color w:val="auto"/>
        </w:rPr>
        <w:t>, 59, has been the Executive Vice President of Business Development &amp; Global Sourcing since June 2005. From August 2003 through June 2005,</w:t>
      </w:r>
      <w:r>
        <w:rPr>
          <w:rFonts w:ascii="Arial" w:cs="Arial" w:eastAsia="Arial" w:hAnsi="Arial"/>
          <w:sz w:val="16"/>
          <w:szCs w:val="16"/>
          <w:i w:val="1"/>
          <w:iCs w:val="1"/>
          <w:color w:val="auto"/>
        </w:rPr>
        <w:t xml:space="preserve"> </w:t>
      </w:r>
      <w:r>
        <w:rPr>
          <w:rFonts w:ascii="Arial" w:cs="Arial" w:eastAsia="Arial" w:hAnsi="Arial"/>
          <w:sz w:val="16"/>
          <w:szCs w:val="16"/>
          <w:color w:val="auto"/>
        </w:rPr>
        <w:t>Ms. Carlo was the Executive Vice President, General Merchandise Manager of the Casual Male division. Prior to joining the Company, from 2002 to 2003, Ms. Carlo served as the General Manager for the Jessica London Catalog, a division of Chadwick of Boston/Brylane. Prior to that, Ms. Carlo was the Vice President, Divisional Merchandise Manager at Lane Bryant, a division of The Limited, Inc. from 1998 to 2002.</w:t>
      </w:r>
    </w:p>
    <w:p>
      <w:pPr>
        <w:sectPr>
          <w:pgSz w:w="11900" w:h="16838" w:orient="portrait"/>
          <w:cols w:equalWidth="0" w:num="1">
            <w:col w:w="11400"/>
          </w:cols>
          <w:pgMar w:left="240" w:top="280" w:right="259" w:bottom="1440" w:gutter="0" w:footer="0" w:header="0"/>
        </w:sectPr>
      </w:pPr>
    </w:p>
    <w:bookmarkStart w:id="3" w:name="page4"/>
    <w:bookmarkEnd w:id="3"/>
    <w:p>
      <w:pPr>
        <w:ind w:right="20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Joseph H. Cornely III</w:t>
      </w:r>
      <w:r>
        <w:rPr>
          <w:rFonts w:ascii="Arial" w:cs="Arial" w:eastAsia="Arial" w:hAnsi="Arial"/>
          <w:sz w:val="18"/>
          <w:szCs w:val="18"/>
          <w:color w:val="auto"/>
        </w:rPr>
        <w:t>, 54, is currently the Company’s Executive Vice President and Director of Store Development. Mr. Cornely began his career with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Corp. in 1972 and joined the Company in May 2002 as part of the Company’s acquisition of Casual Male.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are no family relationships between any of the Company’s directors and executive officers.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Committee</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Company has a separately-designated standing Audit Committee established in accordance with section 3(a)(58)(A) of the Securities Exchange Act of 1934, as amended (the “Exchange Act”). The Audit Committee is currently comprised of Messrs. Choper, Bernikow and Porter. Each of the members of the Audit Committee is independent, as independence for audit committee members is defined under the rules of the Nasdaq National Market. In addition, the Board of Directors has determined that Mr. Bernikow is an “audit committee financial expert” under the rules of the Securities and Exchange Commission (the “SEC”).</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Section 16(a) Beneficial Ownership Reporting Compliance</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a registered class of the Company’s equity securities (collectively, the “Reporting Persons”), to file reports of ownership and changes in ownership with the SEC. The Reporting Persons are required to furnish the Company with copies of all Section 16(a) reports they file. Based solely upon a review of Forms 3, 4 and 5 and amendments thereto furnished to the Company during fiscal 2005, the Company believes that the current Reporting Persons complied with all applicable Section 16(a) reporting requirements and that all required reports were filed in a timely manner, with the exception of the following filings:</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Porter filed a late Form 4 in May 2005 with respect to shares he gifted to his wife in March 2005. Messrs. Porter and Choper each filed a late Form 4 in January 2006 for stock compensation received for a compensation committee meeting held in December 2005. Mr. Sockolov filed a late Form 4 in January 2006 for a stock option grant he received from the Company in December 2005.</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Company has adopted a Code of Ethics which applies to the Company’s directors, Chief Executive Officer and Chief Financial Officer, as well as the Company’s other senior financial officers. The full text of the Code of Ethics can be found under Corporate Governance on the Investor Relations page of the Company’s corporate web site, which is at </w:t>
      </w:r>
      <w:r>
        <w:rPr>
          <w:rFonts w:ascii="Arial" w:cs="Arial" w:eastAsia="Arial" w:hAnsi="Arial"/>
          <w:sz w:val="18"/>
          <w:szCs w:val="18"/>
          <w:u w:val="single" w:color="auto"/>
          <w:color w:val="auto"/>
        </w:rPr>
        <w:t>www.cmrginc.com</w:t>
      </w:r>
      <w:r>
        <w:rPr>
          <w:rFonts w:ascii="Arial" w:cs="Arial" w:eastAsia="Arial" w:hAnsi="Arial"/>
          <w:sz w:val="18"/>
          <w:szCs w:val="18"/>
          <w:color w:val="auto"/>
        </w:rPr>
        <w:t>.</w:t>
      </w:r>
    </w:p>
    <w:p>
      <w:pPr>
        <w:sectPr>
          <w:pgSz w:w="11900" w:h="16838" w:orient="portrait"/>
          <w:cols w:equalWidth="0" w:num="1">
            <w:col w:w="11320"/>
          </w:cols>
          <w:pgMar w:left="240" w:top="28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11.</w:t>
      </w:r>
      <w:r>
        <w:rPr>
          <w:rFonts w:ascii="Arial" w:cs="Arial" w:eastAsia="Arial" w:hAnsi="Arial"/>
          <w:sz w:val="18"/>
          <w:szCs w:val="18"/>
          <w:i w:val="1"/>
          <w:iCs w:val="1"/>
          <w:color w:val="auto"/>
        </w:rPr>
        <w:t>Executive Compensation</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Summary Compensation Table</w:t>
      </w:r>
      <w:r>
        <w:rPr>
          <w:rFonts w:ascii="Arial" w:cs="Arial" w:eastAsia="Arial" w:hAnsi="Arial"/>
          <w:sz w:val="16"/>
          <w:szCs w:val="16"/>
          <w:color w:val="auto"/>
        </w:rPr>
        <w:t>. The following Summary Compensation Table sets forth certain information regarding compensation paid or accrued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with respect to the Chief Executive Officer, the Chief Financial Officer, the Executive Vice President of Business Development &amp; Global Sourcing, the Executive Vice President and Director of Store Development and the Chief Executive Officer of the Rochester division (collectively, the “Named Executive Officers”), for fiscal 2005 and for the fiscal years ended January 29, 2005 (“fiscal 2004”) and January 31, 2004 (“fiscal 2003”).</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Summary Compensation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Annual</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Long-Term</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2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2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4"/>
            <w:vMerge w:val="restart"/>
          </w:tcPr>
          <w:p>
            <w:pPr>
              <w:jc w:val="right"/>
              <w:ind w:right="314"/>
              <w:spacing w:after="0"/>
              <w:rPr>
                <w:sz w:val="20"/>
                <w:szCs w:val="20"/>
                <w:color w:val="auto"/>
              </w:rPr>
            </w:pPr>
            <w:r>
              <w:rPr>
                <w:rFonts w:ascii="Arial" w:cs="Arial" w:eastAsia="Arial" w:hAnsi="Arial"/>
                <w:sz w:val="14"/>
                <w:szCs w:val="14"/>
                <w:b w:val="1"/>
                <w:bCs w:val="1"/>
                <w:color w:val="auto"/>
              </w:rPr>
              <w:t>Compensation</w:t>
            </w:r>
          </w:p>
        </w:tc>
        <w:tc>
          <w:tcPr>
            <w:tcW w:w="320" w:type="dxa"/>
            <w:vAlign w:val="bottom"/>
            <w:vMerge w:val="restart"/>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6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30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0"/>
              </w:rPr>
              <w:t>Fiscal</w:t>
            </w: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1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61"/>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(at January 28, 2006)</w:t>
            </w:r>
          </w:p>
        </w:tc>
        <w:tc>
          <w:tcPr>
            <w:tcW w:w="3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Salary</w:t>
            </w:r>
          </w:p>
        </w:tc>
        <w:tc>
          <w:tcPr>
            <w:tcW w:w="8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Bonus</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Options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592,308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450,000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w:t>
            </w: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560,577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18,268(2)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513,846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125,500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18,171(3)</w:t>
            </w:r>
          </w:p>
        </w:tc>
        <w:tc>
          <w:tcPr>
            <w:tcW w:w="0" w:type="dxa"/>
            <w:vAlign w:val="bottom"/>
          </w:tcPr>
          <w:p>
            <w:pPr>
              <w:spacing w:after="0"/>
              <w:rPr>
                <w:sz w:val="1"/>
                <w:szCs w:val="1"/>
                <w:color w:val="auto"/>
              </w:rPr>
            </w:pPr>
          </w:p>
        </w:tc>
      </w:tr>
      <w:tr>
        <w:trPr>
          <w:trHeight w:val="316"/>
        </w:trPr>
        <w:tc>
          <w:tcPr>
            <w:tcW w:w="628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453,846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345,000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w:t>
            </w: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426,659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Chief Operating</w:t>
            </w: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385,385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93,750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Officer and Treasurer</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B. Carlo (4)</w:t>
            </w: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303,050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299,286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Business Development &amp; Global</w:t>
            </w: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133,846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Sourcing</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280" w:type="dxa"/>
            <w:vAlign w:val="bottom"/>
            <w:gridSpan w:val="3"/>
          </w:tcPr>
          <w:p>
            <w:pPr>
              <w:spacing w:after="0"/>
              <w:rPr>
                <w:sz w:val="20"/>
                <w:szCs w:val="20"/>
                <w:color w:val="auto"/>
              </w:rPr>
            </w:pPr>
            <w:r>
              <w:rPr>
                <w:rFonts w:ascii="Arial" w:cs="Arial" w:eastAsia="Arial" w:hAnsi="Arial"/>
                <w:sz w:val="18"/>
                <w:szCs w:val="18"/>
                <w:color w:val="auto"/>
              </w:rPr>
              <w:t>Joseph H. Cornely III (5)</w:t>
            </w: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305,192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w:t>
            </w: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292,789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9,768(2)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Director of Store Development</w:t>
            </w: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262,019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6,000(3)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Sockolov (6)</w:t>
            </w: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244,259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of the</w:t>
            </w: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Rochester division</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8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Compensation with respect to fiscal 2005 represents: (i) payments by the Company of insurance premiums for term life insurance for the benefit of the executive officers (Mr. Levin $2,570); (ii) matching contributions made by the Company for the benefit of each of the following executive officers to the Company’s retirement plan (the “401(k) Plan”) established pursuant to Section 401(k) of the Internal Revenue Code of 1986, as amended (Mr. Levin $6,300, Mr. Hernreich $5,146, Ms. Carlo $6,300, Mr. Cornely $6,300 and Mr. Sockolov $6,150); and (iii) car allowances (Mr. Levin $9,600, Mr. Hernreich $8,400, Ms. Carlo $8,400, Mr. Cornely $8,400 and Mr. Sockolov $8,400).</w:t>
      </w:r>
    </w:p>
    <w:p>
      <w:pPr>
        <w:spacing w:after="0" w:line="2" w:lineRule="exact"/>
        <w:rPr>
          <w:rFonts w:ascii="Arial" w:cs="Arial" w:eastAsia="Arial" w:hAnsi="Arial"/>
          <w:sz w:val="16"/>
          <w:szCs w:val="16"/>
          <w:color w:val="auto"/>
        </w:rPr>
      </w:pPr>
    </w:p>
    <w:p>
      <w:pPr>
        <w:jc w:val="both"/>
        <w:ind w:left="460" w:right="18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Compensation with respect to fiscal 2004 represents: (i) payments by the Company of insurance premiums for term life insurance for the benefit of the executive officers (Mr. Levin $2,570); (ii) matching contributions made by the Company for the benefit of each of the following executive officers to the 401(k) Plan (Mr. Levin $6,098, Mr. Hernreich $6,098, Ms. Carlo $6,150 and Mr. Cornely $6,150); and (iii) car allowances (Mr. Levin $9,600,</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Hernreich $8,400, Ms. Carlo $8,400, Mr. Cornely $3,618 and Mr. Sockolov $2,100).</w:t>
      </w:r>
    </w:p>
    <w:p>
      <w:pPr>
        <w:sectPr>
          <w:pgSz w:w="11900" w:h="16838" w:orient="portrait"/>
          <w:cols w:equalWidth="0" w:num="1">
            <w:col w:w="11420"/>
          </w:cols>
          <w:pgMar w:left="240" w:top="274" w:right="239" w:bottom="1440" w:gutter="0" w:footer="0" w:header="0"/>
        </w:sectPr>
      </w:pPr>
    </w:p>
    <w:bookmarkStart w:id="5" w:name="page6"/>
    <w:bookmarkEnd w:id="5"/>
    <w:p>
      <w:pPr>
        <w:ind w:left="460" w:right="160" w:hanging="452"/>
        <w:spacing w:after="0" w:line="25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Compensation with respect to fiscal 2003 represents: (i) payments by the Company of insurance premiums for term life insurance for the benefit of the executive officers (Mr. Levin $2,571 and Ms. Carlo $458); (ii) matching contributions made by the Company for the benefit of each of the following executive officers to the 401(k) Plan (Mr. Levin $6,000, Mr. Hernreich $6,000 and Mr. Cornely $6,000); and (iii) car allowances (Mr. Levin $9,600, Mr. Hernreich $8,400 and Ms. Carlo $2,077).</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Ms. Carlo joined the Company in August 2003 as the Executive Vice President, General Merchandise Manager of the Company’s Casual Male division.</w:t>
      </w:r>
    </w:p>
    <w:p>
      <w:pPr>
        <w:spacing w:after="0" w:line="32" w:lineRule="exact"/>
        <w:rPr>
          <w:rFonts w:ascii="Arial" w:cs="Arial" w:eastAsia="Arial" w:hAnsi="Arial"/>
          <w:sz w:val="16"/>
          <w:szCs w:val="16"/>
          <w:color w:val="auto"/>
        </w:rPr>
      </w:pPr>
    </w:p>
    <w:p>
      <w:pPr>
        <w:ind w:left="460" w:right="36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Cornely was promoted to Executive Vice President, Store Development and accordingly became an executive officer of the Company on April 26, 2003. Mr. Cornely joined the Company on May 15, 2002 as a result of the Company’s Casual Male acquisition.</w:t>
      </w:r>
    </w:p>
    <w:p>
      <w:pPr>
        <w:spacing w:after="0" w:line="1"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Sockolov joined the Company on October 27, 2004 as a result of the Company’s acquisition of Rochester. Mr. Sockolov was appointed a director of the Company and also appointed Chief Executive Officer of the Rochester division.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Compensation (Direct and Indirect)</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Seymour Holtzman, the Chairman of the Board of Directors of the Company, is compensated by the Company both directly (as an executive officer of the Company) and indirectly (as the president and chief executive officer and, together with his wife, the sole shareholder of Jewelcor Management Inc. (“JMI”)).</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October 1999, the Company has had an ongoing consulting agreement with JMI to assist in developing and implementing a strategic plan for the Company and for other related consulting services as may be agreed upon between JMI and the Company. The consulting agreement dated April 29, 2003, and most recently amended by a letter agreement dated May 26, 2006, is for a three-year term and automatically renews on each anniversary of the agreement’s commencement date for additional one-year periods, unless ninety-days notice by either party is otherwise given. The initial three-year term was from April 29, 2003 until April 28, 2006. On each anniversary of the agreement’s commencement date, the term was extended for a one-year period. Accordingly, as of April 26, 2006, the most recent anniversary of the consulting agreement, the term was extended to April 28, 2009. The consulting agreement with JMI includes a significant disincentive for non-performance, which would require JMI to pay to the Company a penalty equal to 150% of any unearned consulting services.</w:t>
      </w:r>
    </w:p>
    <w:p>
      <w:pPr>
        <w:spacing w:after="0" w:line="118"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On April 24, 2006, the Company granted to Mr. Holtzman stock options with respect to 160,000 shares of the Company’s common stock. These stock options have an exercise price of $9.27 per share and will vest ratably over a three-year period, with the first one-third vesting on April 24, 2007.</w:t>
      </w:r>
    </w:p>
    <w:p>
      <w:pPr>
        <w:spacing w:after="0" w:line="8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On May 26, 2006, the Compensation Committee of the Board of Directors increased JMI’s annual consulting fees from $412,000 to $527,000. In addition, JMI will continue to receive $24,000 annually for expense reimbursements. JMI will also be entitled to receive a cash bonus for fiscal 2006 ranging from 80% to 150% of a bonus target of $575,000 if the Company achieves a certain range of EBITDA (earnings before interest, taxes and depreciation and amortization) for fiscal 2006. Mr. Holtzman will continue to receive an annual salary of $24,000.</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summarizes the total compensation Mr. Holtzman has received, directly as an officer of the Company and indirectly through JMI, over the past three fiscal years on a combined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Fiscal 2005</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Fiscal 2004</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Fiscal 2003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annual compensation</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$431,000(1)</w:t>
            </w: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$416,000(2)</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$350,000(3)</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Combined bonus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345,000(4)</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$150,000(5)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$150,000(6)</w:t>
            </w: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long-term stock-based compensation awards (7)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160,000(8)</w:t>
            </w: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400,000(9)</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200,000(10)</w:t>
            </w: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8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period February 2005 through April 2005, JMI received a monthly consulting fee of $32,667, payable in cash. Effective May 9, 2005, the Compensation Committee increased the annual consulting fees payable in cash to JMI to $412,000, or $34,333 per month. Mr. Holtzman received an annual salary of $24,000 as payment for his services as an executive officer of the Company.</w:t>
      </w:r>
    </w:p>
    <w:p>
      <w:pPr>
        <w:sectPr>
          <w:pgSz w:w="11900" w:h="16838" w:orient="portrait"/>
          <w:cols w:equalWidth="0" w:num="1">
            <w:col w:w="11400"/>
          </w:cols>
          <w:pgMar w:left="240" w:top="280" w:right="259" w:bottom="1440" w:gutter="0" w:footer="0" w:header="0"/>
        </w:sectPr>
      </w:pPr>
    </w:p>
    <w:bookmarkStart w:id="6" w:name="page7"/>
    <w:bookmarkEnd w:id="6"/>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JMI received $392,000 in consulting fees, payable in cash. Mr. Holtzman received an annual salary $24,000 in fiscal 2004.</w:t>
      </w:r>
    </w:p>
    <w:p>
      <w:pPr>
        <w:spacing w:after="0" w:line="15"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period April 2003 through April 2004, the Company issued to JMI 70,769 non-forfeitable and fully vested shares of Common Stock as payment for services to be rendered under the consulting agreement through April 28, 2004. The fair value of the issued shares as of April 28, 2003 was $276,000, or $3.90 per share. The Compensation Committee and Board of Directors increased the annual compensation to JMI, effective May 1, 2003, by $50,000, to $326,000. The increase of $50,000 for fiscal 2004 was paid to JMI through the issuance of 12,820 non-forfeitable and fully vested shares of Common Stock valued at $3.90 per share. Mr. Holtzman received an annual salary of $24,000 in fiscal 2003.</w:t>
      </w:r>
    </w:p>
    <w:p>
      <w:pPr>
        <w:spacing w:after="0" w:line="3"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the Company’s Executive Incentive Plan for fiscal 2005, on April 14, 2006, JMI received a bonus of $345,000 for services performed in fiscal 2005.</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15, 2004, JMI received a bonus in the amount of $150,000 for services performed in fiscal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1, 2003, JMI received a bonus in the amount of $150,000.</w:t>
      </w:r>
    </w:p>
    <w:p>
      <w:pPr>
        <w:spacing w:after="0" w:line="9" w:lineRule="exact"/>
        <w:rPr>
          <w:rFonts w:ascii="Arial" w:cs="Arial" w:eastAsia="Arial" w:hAnsi="Arial"/>
          <w:sz w:val="18"/>
          <w:szCs w:val="18"/>
          <w:color w:val="auto"/>
        </w:rPr>
      </w:pPr>
    </w:p>
    <w:p>
      <w:pPr>
        <w:ind w:left="460" w:right="5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a result of the Company accelerating substantially all outstanding and unvested stock options held by directors, officers and employees under the Company’s 1992 Stock Incentive Plan, all outstanding options held by Mr. Holtzman are fully vested and exercisable.</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9, 2005, the Compensation Committee granted to Mr. Holtzman a 10-year option to purchase 160,000 shares of the Company’s Common Stock at an exercise price of $6.90 per share.</w:t>
      </w:r>
    </w:p>
    <w:p>
      <w:pPr>
        <w:ind w:left="460" w:right="4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July 15, 2004, the Compensation Committee granted to Mr. Holtzman a 10-year option to purchase 200,000 shares of the Company’s Common Stock at an exercise price of $6.27 per share. On August 31, 2004, the Compensation Committee granted to Mr. Holtzman a 10-year option to purchase 100,000 shares of the Company’s Common Stock at an exercise price of $5.89 per share. On August 31, 2004, the Compensation Committee also granted</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Mr. Holtzman a 10-year option to purchase an additional 100,000 shares of the Company’s Common Stock at an exercise price of $5.89 per share.</w:t>
      </w:r>
    </w:p>
    <w:p>
      <w:pPr>
        <w:spacing w:after="0" w:line="32"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1, 2003, the Compensation Committee granted to Mr. Holtzman a 10-year option to purchase 200,000 shares of Common Stock at an exercise price of $5.01 per share.</w:t>
      </w:r>
    </w:p>
    <w:p>
      <w:pPr>
        <w:spacing w:after="0" w:line="13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Option Grants Table</w:t>
      </w:r>
      <w:r>
        <w:rPr>
          <w:rFonts w:ascii="Arial" w:cs="Arial" w:eastAsia="Arial" w:hAnsi="Arial"/>
          <w:sz w:val="18"/>
          <w:szCs w:val="18"/>
          <w:color w:val="auto"/>
        </w:rPr>
        <w:t>. The following Option Grants Table sets forth certain information as of January 28, 2006 regarding stock options granted during fiscal 2005</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to the Named Executive Officers.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Option Grants In Fiscal 2005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Potential Realizable</w:t>
            </w:r>
          </w:p>
        </w:tc>
      </w:tr>
      <w:tr>
        <w:trPr>
          <w:trHeight w:val="149"/>
        </w:trPr>
        <w:tc>
          <w:tcPr>
            <w:tcW w:w="9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 of Assumed</w:t>
            </w:r>
          </w:p>
        </w:tc>
      </w:tr>
      <w:tr>
        <w:trPr>
          <w:trHeight w:val="149"/>
        </w:trPr>
        <w:tc>
          <w:tcPr>
            <w:tcW w:w="9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Annual Rates of</w:t>
            </w:r>
          </w:p>
        </w:tc>
      </w:tr>
      <w:tr>
        <w:trPr>
          <w:trHeight w:val="149"/>
        </w:trPr>
        <w:tc>
          <w:tcPr>
            <w:tcW w:w="9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Stock Price</w:t>
            </w:r>
          </w:p>
        </w:tc>
      </w:tr>
      <w:tr>
        <w:trPr>
          <w:trHeight w:val="149"/>
        </w:trPr>
        <w:tc>
          <w:tcPr>
            <w:tcW w:w="9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Appreciation for</w:t>
            </w:r>
          </w:p>
        </w:tc>
      </w:tr>
      <w:tr>
        <w:trPr>
          <w:trHeight w:val="175"/>
        </w:trPr>
        <w:tc>
          <w:tcPr>
            <w:tcW w:w="9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Individual Grants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Option Term (2)</w:t>
            </w:r>
          </w:p>
        </w:tc>
      </w:tr>
      <w:tr>
        <w:trPr>
          <w:trHeight w:val="129"/>
        </w:trPr>
        <w:tc>
          <w:tcPr>
            <w:tcW w:w="9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4"/>
              </w:rPr>
              <w:t>Percent of</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9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Total Options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30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Granted</w:t>
            </w: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30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9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Granted (1)</w:t>
            </w:r>
          </w:p>
        </w:tc>
        <w:tc>
          <w:tcPr>
            <w:tcW w:w="3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Share</w:t>
            </w:r>
          </w:p>
        </w:tc>
        <w:tc>
          <w:tcPr>
            <w:tcW w:w="300" w:type="dxa"/>
            <w:vAlign w:val="bottom"/>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5%</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4"/>
                <w:szCs w:val="14"/>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5/9/15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$867,875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2,199,365</w:t>
            </w:r>
          </w:p>
        </w:tc>
        <w:tc>
          <w:tcPr>
            <w:tcW w:w="20" w:type="dxa"/>
            <w:vAlign w:val="bottom"/>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460" w:type="dxa"/>
            <w:vAlign w:val="bottom"/>
          </w:tcPr>
          <w:p>
            <w:pPr>
              <w:jc w:val="right"/>
              <w:spacing w:after="0"/>
              <w:rPr>
                <w:sz w:val="20"/>
                <w:szCs w:val="20"/>
                <w:color w:val="auto"/>
              </w:rPr>
            </w:pPr>
            <w:r>
              <w:rPr>
                <w:rFonts w:ascii="Arial" w:cs="Arial" w:eastAsia="Arial" w:hAnsi="Arial"/>
                <w:sz w:val="18"/>
                <w:szCs w:val="18"/>
                <w:color w:val="auto"/>
              </w:rPr>
              <w:t>160,000</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6.90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5/9/15</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$694,300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1,759,492</w:t>
            </w:r>
          </w:p>
        </w:tc>
        <w:tc>
          <w:tcPr>
            <w:tcW w:w="20" w:type="dxa"/>
            <w:vAlign w:val="bottom"/>
          </w:tcPr>
          <w:p>
            <w:pPr>
              <w:spacing w:after="0"/>
              <w:rPr>
                <w:sz w:val="18"/>
                <w:szCs w:val="18"/>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12/19/15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$187,725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475,732</w:t>
            </w:r>
          </w:p>
        </w:tc>
        <w:tc>
          <w:tcPr>
            <w:tcW w:w="20" w:type="dxa"/>
            <w:vAlign w:val="bottom"/>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right="2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fourth quarter of fiscal 2005, the Company’s Board of Directors approved the vesting of substantially all outstanding and unvested options held by directors, officers and employees under the</w:t>
      </w:r>
    </w:p>
    <w:p>
      <w:pPr>
        <w:sectPr>
          <w:pgSz w:w="11900" w:h="16838" w:orient="portrait"/>
          <w:cols w:equalWidth="0" w:num="1">
            <w:col w:w="11420"/>
          </w:cols>
          <w:pgMar w:left="240" w:top="280" w:right="239" w:bottom="1440" w:gutter="0" w:footer="0" w:header="0"/>
        </w:sectPr>
      </w:pPr>
    </w:p>
    <w:bookmarkStart w:id="7" w:name="page8"/>
    <w:bookmarkEnd w:id="7"/>
    <w:p>
      <w:pPr>
        <w:ind w:left="460" w:right="2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1992 Stock Incentive Plan. Accordingly, the above issuances became fully vested on January 27, 2006. See “Stock-Based Compensation” in Note A to the Notes of the Consolidated Financial Statements for the year ended January 28, 2006 for a complete discussion of the acceleration.</w:t>
      </w:r>
    </w:p>
    <w:p>
      <w:pPr>
        <w:ind w:left="460" w:right="200" w:hanging="452"/>
        <w:spacing w:after="0" w:line="29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amounts shown on these columns represent hypothetical gains that could be achieved for the options if exercised at the end of the option term. These gains are based on assumed rates of stock appreciation as mandated by the SEC (based on the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11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i w:val="1"/>
          <w:iCs w:val="1"/>
          <w:color w:val="auto"/>
        </w:rPr>
        <w:t>Aggregated Option Exercises and Fiscal Year-End Option Value Table</w:t>
      </w:r>
      <w:r>
        <w:rPr>
          <w:rFonts w:ascii="Arial" w:cs="Arial" w:eastAsia="Arial" w:hAnsi="Arial"/>
          <w:sz w:val="16"/>
          <w:szCs w:val="16"/>
          <w:color w:val="auto"/>
        </w:rPr>
        <w:t>. The following table sets forth information for the Named Executive Officers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exercise of stock options during the fiscal year ended January 28, 2006 and the year-end value of unexercised options.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Aggregated Option Exercises in Fiscal 2005 and Fiscal Year-End Option Values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Number of Securities</w:t>
            </w:r>
          </w:p>
        </w:tc>
        <w:tc>
          <w:tcPr>
            <w:tcW w:w="1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19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In-The-Money Options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Options at Year-End</w:t>
            </w:r>
          </w:p>
        </w:tc>
        <w:tc>
          <w:tcPr>
            <w:tcW w:w="19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at Year End</w:t>
            </w:r>
          </w:p>
        </w:tc>
        <w:tc>
          <w:tcPr>
            <w:tcW w:w="0" w:type="dxa"/>
            <w:vAlign w:val="bottom"/>
          </w:tcPr>
          <w:p>
            <w:pPr>
              <w:spacing w:after="0"/>
              <w:rPr>
                <w:sz w:val="1"/>
                <w:szCs w:val="1"/>
                <w:color w:val="auto"/>
              </w:rPr>
            </w:pPr>
          </w:p>
        </w:tc>
      </w:tr>
      <w:tr>
        <w:trPr>
          <w:trHeight w:val="162"/>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Acquired on</w:t>
            </w:r>
          </w:p>
        </w:tc>
        <w:tc>
          <w:tcPr>
            <w:tcW w:w="16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2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 of Shares (1)</w:t>
            </w:r>
          </w:p>
        </w:tc>
        <w:tc>
          <w:tcPr>
            <w:tcW w:w="1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Value of Shares (1),(2)</w:t>
            </w:r>
          </w:p>
        </w:tc>
        <w:tc>
          <w:tcPr>
            <w:tcW w:w="0" w:type="dxa"/>
            <w:vAlign w:val="bottom"/>
          </w:tcPr>
          <w:p>
            <w:pPr>
              <w:spacing w:after="0"/>
              <w:rPr>
                <w:sz w:val="1"/>
                <w:szCs w:val="1"/>
                <w:color w:val="auto"/>
              </w:rPr>
            </w:pPr>
          </w:p>
        </w:tc>
      </w:tr>
      <w:tr>
        <w:trPr>
          <w:trHeight w:val="129"/>
        </w:trPr>
        <w:tc>
          <w:tcPr>
            <w:tcW w:w="50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Exercise (#)</w:t>
            </w: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 xml:space="preserve">Realized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320" w:type="dxa"/>
            <w:vAlign w:val="bottom"/>
          </w:tcPr>
          <w:p>
            <w:pPr>
              <w:spacing w:after="0"/>
              <w:rPr>
                <w:sz w:val="11"/>
                <w:szCs w:val="11"/>
                <w:color w:val="auto"/>
              </w:rPr>
            </w:pPr>
          </w:p>
        </w:tc>
        <w:tc>
          <w:tcPr>
            <w:tcW w:w="10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Exercisable</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Unexercisable</w:t>
            </w:r>
          </w:p>
        </w:tc>
        <w:tc>
          <w:tcPr>
            <w:tcW w:w="320" w:type="dxa"/>
            <w:vAlign w:val="bottom"/>
          </w:tcPr>
          <w:p>
            <w:pPr>
              <w:spacing w:after="0"/>
              <w:rPr>
                <w:sz w:val="11"/>
                <w:szCs w:val="11"/>
                <w:color w:val="auto"/>
              </w:rPr>
            </w:pPr>
          </w:p>
        </w:tc>
        <w:tc>
          <w:tcPr>
            <w:tcW w:w="11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2"/>
              </w:rPr>
              <w:t>Exercisable</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Unexercisable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925,000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$3,062,000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615,000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1,199,475</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B. Carlo</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Joseph H. Cornely III</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57,000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$ 262,848</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3,750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150,000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the Company accelerating all stock options outstanding at January 27, 2006, all outstanding options held by the Named Executive Officers at January 28, 2006 were exercisable.</w:t>
      </w:r>
    </w:p>
    <w:p>
      <w:pPr>
        <w:ind w:left="460" w:right="7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unexercised in-the-money options at fiscal year end is the difference between the closing price of the Company’s Common Stock on January 28, 2006 of $7.15 per share and the exercise price of the respective options.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part of the Casual Male acquisition, the Company assumed Casual Male Corp.’s obligations under its Pension Plan and its Supplemental Plan (see Note I to the Notes to Consolidated Financial Statements).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Average of Highest Five</w:t>
            </w:r>
          </w:p>
        </w:tc>
        <w:tc>
          <w:tcPr>
            <w:tcW w:w="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88"/>
              </w:rPr>
              <w:t>Representative Years of Service</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8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6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Years of Compensation</w:t>
            </w:r>
          </w:p>
        </w:tc>
        <w:tc>
          <w:tcPr>
            <w:tcW w:w="56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10yrs</w:t>
            </w:r>
          </w:p>
        </w:tc>
        <w:tc>
          <w:tcPr>
            <w:tcW w:w="560" w:type="dxa"/>
            <w:vAlign w:val="bottom"/>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20yrs</w:t>
            </w:r>
          </w:p>
        </w:tc>
        <w:tc>
          <w:tcPr>
            <w:tcW w:w="58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30yrs (maximum)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5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$ 4,977</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$ 9,953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100,000</w:t>
            </w:r>
          </w:p>
        </w:tc>
        <w:tc>
          <w:tcPr>
            <w:tcW w:w="57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11,977</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23,953</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150,000</w:t>
            </w:r>
          </w:p>
        </w:tc>
        <w:tc>
          <w:tcPr>
            <w:tcW w:w="5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37,953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200,000</w:t>
            </w:r>
          </w:p>
        </w:tc>
        <w:tc>
          <w:tcPr>
            <w:tcW w:w="57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25,977</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51,953</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250,000</w:t>
            </w:r>
          </w:p>
        </w:tc>
        <w:tc>
          <w:tcPr>
            <w:tcW w:w="5760" w:type="dxa"/>
            <w:vAlign w:val="bottom"/>
            <w:shd w:val="clear" w:color="auto" w:fill="CCEEFF"/>
          </w:tcPr>
          <w:p>
            <w:pPr>
              <w:jc w:val="right"/>
              <w:ind w:right="555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65,953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267,326</w:t>
            </w:r>
          </w:p>
        </w:tc>
        <w:tc>
          <w:tcPr>
            <w:tcW w:w="5760" w:type="dxa"/>
            <w:vAlign w:val="bottom"/>
          </w:tcPr>
          <w:p>
            <w:pPr>
              <w:jc w:val="right"/>
              <w:ind w:right="555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35,402</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70,805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300,000</w:t>
            </w:r>
          </w:p>
        </w:tc>
        <w:tc>
          <w:tcPr>
            <w:tcW w:w="5760" w:type="dxa"/>
            <w:vAlign w:val="bottom"/>
            <w:shd w:val="clear" w:color="auto" w:fill="CCEEFF"/>
          </w:tcPr>
          <w:p>
            <w:pPr>
              <w:jc w:val="right"/>
              <w:ind w:right="555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79,953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ectPr>
          <w:pgSz w:w="11900" w:h="16838" w:orient="portrait"/>
          <w:cols w:equalWidth="0" w:num="1">
            <w:col w:w="11420"/>
          </w:cols>
          <w:pgMar w:left="240" w:top="280" w:right="239" w:bottom="1440" w:gutter="0" w:footer="0" w:header="0"/>
        </w:sectPr>
      </w:pPr>
    </w:p>
    <w:bookmarkStart w:id="8" w:name="page9"/>
    <w:bookmarkEnd w:id="8"/>
    <w:p>
      <w:pPr>
        <w:ind w:right="12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the Company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for retirees at age 65, prior to the offset, if any, for benefits accrued under the retirement plan of Casual Male Corp. and for Social Security benefits.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January 28, 2006, Mr. Cornely was the only Named Executive Officer of the Company who was a participant in the Pension Plan and Supplemental Plan. As such, Mr. Cornely will be entitled to an accrued benefit under the Pension Plan upon turning 65 year of age of $11,981.38 and a benefit of $4,715.07 under the Supplemental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9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Company has a 401(k) Plan for which all eligible employees of the Company may participate. The 401(k) Plan, which is a defined contribution plan, permits each participant to defer up to 15% of such participant’s annual salary up to a maximum annual amount ($14,000 in calendar 2005, $13,000 in calendar 2004 and $12,000 in calendar 2003). The Board of Directors of the Company may determine, from fiscal year to fiscal year, whether and to what extent the Company will contribute to the 401(k) Plan by matching contributions made to such plan by eligible employees. During fiscal 2005, the matching contribution by the Company continued to be 50% of contributions by eligible employees up to a maximum of six percent of salary.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Man Insurance</w:t>
      </w:r>
    </w:p>
    <w:p>
      <w:pPr>
        <w:spacing w:after="0" w:line="9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fiscal 2000, the Company obtained a key man life insurance policy in the amount of $2,000,000 on the life of Mr. Levin. In fiscal 2001, the Company obtained a key man life insurance policy in the amount of $2,000,000 on the life of Mr. Hernreich.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has employment agreements, which were most recently amended by letter agreements dated May 26, 2006 (collectively, the “Employment Agreements”), with David A. Levin and Dennis R. Hernreich. The Employment Agreements are for three-year terms, and automatically renew on each anniversary of the agreement’s commencement date for additional one-year periods, unless ninety-day notice by either party is otherwise given. The initial three-year term of Mr. Levin’s Employment Agreement was from April 10, 2000 until April 10, 2003. On each anniversary of the agreement’s commencement date, the term was extended for a one-year period. Accordingly, as of April 10, 2006, the most recent anniversary of Mr. Levin’s agreement’s commencement date,</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Levin’s employment with the Company was extended for an additional one-year period thereby extending the agreement to April 10, 2009. The initial three-year term of Mr. Hernreich’s Employment Agreement was from September 4, 2000 until September 4, 2003. On each anniversary of the agreement’s commencement date, the term was extended for a one-year period. Accordingly, as of September 4, 2005, the most recent anniversary of Mr. Hernreich’s agreement’s commencement date, Mr. Hernreich’s Employment Agreement with the Company was extended for an additional one-year period thereby extending the agreement to September 4, 2008.</w:t>
      </w:r>
    </w:p>
    <w:p>
      <w:pPr>
        <w:sectPr>
          <w:pgSz w:w="11900" w:h="16838" w:orient="portrait"/>
          <w:cols w:equalWidth="0" w:num="1">
            <w:col w:w="11380"/>
          </w:cols>
          <w:pgMar w:left="240" w:top="280" w:right="279" w:bottom="1440" w:gutter="0" w:footer="0" w:header="0"/>
        </w:sectPr>
      </w:pPr>
    </w:p>
    <w:bookmarkStart w:id="9" w:name="page10"/>
    <w:bookmarkEnd w:id="9"/>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Employment Agreements require each executive officer to devote substantially all of the executive officer’s time and attention to the business of the Company as necessary to fulfill his respective duties. The Employment Agreements, as most recently amended, provide that Messrs. Levin and Hernreich would be paid base salaries at annual rates of $750,000 and $575,000, respectively. The Employment Agreements provide that the annual rate of base salary for the renewal term may be increased by the Compensation Committee of the Board of Directors in its sole discretion.</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Employment Agreements also provide for the payment of bonuses in such amounts as may be determined by the Compensation Committee. The Compensation Committee of the Board of Directors shall determine, in its sole discretion, the amount of bonus to be paid to the executive officers. While Messrs. Levin and Hernreich are employed by the Company, the Company will provide each executive an automobile allowance in the amount of $800 and $700 per month, respectively.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Company’s Executive Incentive Plan for fiscal 2005, on April 14, 2006, Messrs. Levin and Hernreich received bonuses of $450,000 and $345,000, respectively, based on the achievement of certain performance targets in fiscal 2005.</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24, 2006, the Company granted to Messrs. Levin and Hernreich stock options with respect to 200,000 and 160,000 shares of the Company’s common stock, respectively. These stock options have an exercise price of $9.27 per share and will vest ratably over a three-year period, with the first one-third vesting on April 24, 2007.</w:t>
      </w:r>
    </w:p>
    <w:p>
      <w:pPr>
        <w:spacing w:after="0" w:line="14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Pursuant to the recent letter agreements dated May 26, 2006, Messrs. Levin and Hernreich will each be entitled to receive a cash bonus for fiscal 2006 ranging from 80% to 150% of their respective annual salaries if the Company achieves a certain range of EBITDA (earnings before interest, taxes and depreciation and amortization) for fiscal 2006.</w:t>
      </w:r>
    </w:p>
    <w:p>
      <w:pPr>
        <w:spacing w:after="0" w:line="14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the Company. The Employment Agreements also provide that if the executive is terminated without justifiable cause within one year after a Change of Control of the Company (as defined below) has occurred, the executive officer shall receive a lump sum payment in an amount equal to the greater of (1) the base salary for the remaining term of the related Employment Agreement or (2) the current base salary for one year.</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competes with the business of the Company.</w:t>
      </w:r>
    </w:p>
    <w:p>
      <w:pPr>
        <w:spacing w:after="0" w:line="14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w:t>
      </w:r>
    </w:p>
    <w:p>
      <w:pPr>
        <w:sectPr>
          <w:pgSz w:w="11900" w:h="16838" w:orient="portrait"/>
          <w:cols w:equalWidth="0" w:num="1">
            <w:col w:w="11420"/>
          </w:cols>
          <w:pgMar w:left="240" w:top="280" w:right="239" w:bottom="1440" w:gutter="0" w:footer="0" w:header="0"/>
        </w:sectPr>
      </w:pPr>
    </w:p>
    <w:bookmarkStart w:id="10" w:name="page11"/>
    <w:bookmarkEnd w:id="10"/>
    <w:p>
      <w:pPr>
        <w:jc w:val="both"/>
        <w:ind w:right="4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employment agreements with Mr. Cornely, Ms. Carlo and Mr. Sockolov.</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the Company acquired the Casual Male business in May 2002, the Company agreed to abide by the terms of Mr. Cornely’s Severance Compensation Agreement, which was entered into with Casual Male Corp. Pursuant to the terms of this Severance Compensation Agreement, in the event that Mr. Cornely’s employment with the Company is terminated for reasons defined in the agreement, the Company will pay to Mr. Cornely a severance payment of up to 14 months of his annual salary. The amount actually paid would be dependent on the reason for termination, decreased by the amount earned as the result of any subsequent employment obtained during the severance period.</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employment agreement with Ms. Carlo, which was most recently amended on June 29, 2004, is for a two-year term beginning on August 4, 2004. Pursuant to that agreement, Ms. Carlo receives an annual salary of $303,000 and is entitled to participate in the Company’s bonus program at a bonus incentive rate of 40% of her annual base salary, depending on the performance of the Company and at the sole discretion of the Compensation Committee. Ms. Carlo receives an automobile allowance in the amount of $700 per month and is entitled to vacation and to participate in and receive any other benefits customarily provided by the Company to its senior executives.</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October 29, 2004, the Company entered into an employment agreement with Mr. Sockolov. Under the terms of that employment agreement, which will terminate January 31, 2008, Mr. Sockolov serves as the Chief Executive Officer of the Company’s Rochester division. The Company pays Mr. Sockolov an annual base salary of $250,000, subject to annual increases as determined by the Board of Directors or a committee thereof. Mr. Sockolov receives an automobile allowance of $700 per month and is entitled to six weeks of vacation and other benefits customarily provided by the Company to its senior executives. On December 19, 2005, Mr. Sockolov received an option to purchase 50,000 shares of the Company’s Common Stock at an exercise price of $5.97 per share. This option became fully vested on January 27, 2006 in connection with the Company’s acceleration of all of its outstanding stock options.</w:t>
      </w:r>
    </w:p>
    <w:p>
      <w:pPr>
        <w:spacing w:after="0" w:line="12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employment agreement provides that in the event Mr. Sockolov’s employment is terminated by the Company for any reason other than “cause” (as defined in the agreement) or death, Mr. Sockolov will be entitled to receive his full compensation and benefits under the employment agreement through January 31,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fiscal 2005, non-employee directors of the Company were paid $3,000 plus expenses for each meeting of the Board of Directors which they attended. During fiscal 2005, non-employee directors of the Company were also paid $3,000 plus expenses for each committee meeting they attended. Non-employee directors received $500 for certain telephonic board or committee meetings. In addition, the Chairman of the Audit Committee receives an additional $10,000 on an annual basis for serving in such capacity.</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fiscal 2005, non-employee directors of the Company were also eligible to participate in the Company’s 1992 Stock Incentive Plan, as amended (the “1992 Plan”). Pursuant to the 1992 Plan, each non-employee director of the Company is entitled to receive a stock option to purchase 15,000 shares of Common Stock upon such director’s election and a stock option to purchase 15,000 shares of Common Stock upon such director’s re-election. Such stock options were originally structured to become exercisable in three equal annual installments commencing with the date of grant. These options became fully vested on January 27, 2006 in connection with the Company’s acceleration of all of its outstanding stock options. All options are granted with a term of ten years.</w:t>
      </w:r>
    </w:p>
    <w:p>
      <w:pPr>
        <w:sectPr>
          <w:pgSz w:w="11900" w:h="16838" w:orient="portrait"/>
          <w:cols w:equalWidth="0" w:num="1">
            <w:col w:w="11420"/>
          </w:cols>
          <w:pgMar w:left="240" w:top="280" w:right="23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1992 Plan provides that non-employee directors of the Company may elect to receive all or a portion of their directors’ fees, on a current or deferred basis, in shares of Common Stock that are free of any restrictions under the 1992 Plan. A director wishing to receive Common Stock in lieu of cash would enter into an irrevocable agreement with the Company in advance of the beginning of a calendar year. During fiscal 2005, all non-employee directors elected to receive their directors’ fees in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fiscal 2005, the members of the Compensation Committee were Messrs. Choper and Porter. Joseph Pennacchio also served as a member of the Compensation Committee through October 12, 2005 when he retired as a director of the Company. Persons serving on the Compensation Committee had no relationships with the Company in fiscal 2005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ectPr>
          <w:pgSz w:w="11900" w:h="16838" w:orient="portrait"/>
          <w:cols w:equalWidth="0" w:num="1">
            <w:col w:w="11360"/>
          </w:cols>
          <w:pgMar w:left="240" w:top="280" w:right="299" w:bottom="1440" w:gutter="0" w:footer="0" w:header="0"/>
        </w:sectPr>
      </w:pPr>
    </w:p>
    <w:bookmarkStart w:id="12" w:name="page13"/>
    <w:bookmarkEnd w:id="12"/>
    <w:p>
      <w:pPr>
        <w:ind w:right="3620" w:firstLine="5"/>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12. </w:t>
      </w:r>
      <w:r>
        <w:rPr>
          <w:rFonts w:ascii="Arial" w:cs="Arial" w:eastAsia="Arial" w:hAnsi="Arial"/>
          <w:sz w:val="18"/>
          <w:szCs w:val="18"/>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Security Ownership of Certain Beneficial Owners</w:t>
      </w:r>
    </w:p>
    <w:p>
      <w:pPr>
        <w:spacing w:after="0" w:line="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persons known to the Company to be the beneficial owners of more than five percent of the issued and outstanding shares of Common Stock as of May 10, 2006. The Company is informed that, except as indicated, each person has sole voting and investment power with respect to all shares of Common Stock shown as beneficially owned by such person, subject to community property laws where applicable.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20" w:type="dxa"/>
            <w:vAlign w:val="bottom"/>
          </w:tcPr>
          <w:p>
            <w:pPr>
              <w:spacing w:after="0"/>
              <w:rPr>
                <w:sz w:val="14"/>
                <w:szCs w:val="14"/>
                <w:color w:val="auto"/>
              </w:rPr>
            </w:pPr>
          </w:p>
        </w:tc>
        <w:tc>
          <w:tcPr>
            <w:tcW w:w="20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7"/>
              </w:rPr>
              <w:t>Number of Shares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78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2040" w:type="dxa"/>
            <w:vAlign w:val="bottom"/>
            <w:gridSpan w:val="2"/>
          </w:tcPr>
          <w:p>
            <w:pPr>
              <w:jc w:val="right"/>
              <w:ind w:right="920"/>
              <w:spacing w:after="0" w:line="148" w:lineRule="exact"/>
              <w:rPr>
                <w:sz w:val="20"/>
                <w:szCs w:val="20"/>
                <w:color w:val="auto"/>
              </w:rPr>
            </w:pPr>
            <w:r>
              <w:rPr>
                <w:rFonts w:ascii="Arial" w:cs="Arial" w:eastAsia="Arial" w:hAnsi="Arial"/>
                <w:sz w:val="14"/>
                <w:szCs w:val="14"/>
                <w:b w:val="1"/>
                <w:bCs w:val="1"/>
                <w:color w:val="auto"/>
                <w:w w:val="85"/>
              </w:rPr>
              <w:t>Beneficially Owned</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82"/>
              </w:rPr>
              <w:t>of Class (1)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Chilton Investment Company, LLC</w:t>
            </w:r>
          </w:p>
        </w:tc>
        <w:tc>
          <w:tcPr>
            <w:tcW w:w="7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7,147,945(2)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1266 East Main Street,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7860" w:type="dxa"/>
            <w:vAlign w:val="bottom"/>
            <w:gridSpan w:val="3"/>
          </w:tcPr>
          <w:p>
            <w:pPr>
              <w:spacing w:after="0"/>
              <w:rPr>
                <w:sz w:val="20"/>
                <w:szCs w:val="20"/>
                <w:color w:val="auto"/>
              </w:rPr>
            </w:pPr>
            <w:r>
              <w:rPr>
                <w:rFonts w:ascii="Arial" w:cs="Arial" w:eastAsia="Arial" w:hAnsi="Arial"/>
                <w:sz w:val="18"/>
                <w:szCs w:val="18"/>
                <w:color w:val="auto"/>
              </w:rPr>
              <w:t>Seymour Holtzman</w:t>
            </w:r>
          </w:p>
        </w:tc>
        <w:tc>
          <w:tcPr>
            <w:tcW w:w="2760" w:type="dxa"/>
            <w:vAlign w:val="bottom"/>
            <w:gridSpan w:val="3"/>
          </w:tcPr>
          <w:p>
            <w:pPr>
              <w:jc w:val="right"/>
              <w:ind w:right="720"/>
              <w:spacing w:after="0"/>
              <w:rPr>
                <w:sz w:val="20"/>
                <w:szCs w:val="20"/>
                <w:color w:val="auto"/>
              </w:rPr>
            </w:pPr>
            <w:r>
              <w:rPr>
                <w:rFonts w:ascii="Arial" w:cs="Arial" w:eastAsia="Arial" w:hAnsi="Arial"/>
                <w:sz w:val="18"/>
                <w:szCs w:val="18"/>
                <w:color w:val="auto"/>
              </w:rPr>
              <w:t>5,873,038(3)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100 N. Wilkes Barre Blvd.</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3"/>
          </w:tcPr>
          <w:p>
            <w:pPr>
              <w:spacing w:after="0"/>
              <w:rPr>
                <w:sz w:val="20"/>
                <w:szCs w:val="20"/>
                <w:color w:val="auto"/>
              </w:rPr>
            </w:pPr>
            <w:r>
              <w:rPr>
                <w:rFonts w:ascii="Arial" w:cs="Arial" w:eastAsia="Arial" w:hAnsi="Arial"/>
                <w:sz w:val="18"/>
                <w:szCs w:val="18"/>
                <w:color w:val="auto"/>
              </w:rPr>
              <w:t>Wilkes Barre, Pennsylvania 18702</w:t>
            </w: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2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3,089,500(4)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7860" w:type="dxa"/>
            <w:vAlign w:val="bottom"/>
            <w:gridSpan w:val="3"/>
          </w:tcPr>
          <w:p>
            <w:pPr>
              <w:spacing w:after="0"/>
              <w:rPr>
                <w:sz w:val="20"/>
                <w:szCs w:val="20"/>
                <w:color w:val="auto"/>
              </w:rPr>
            </w:pPr>
            <w:r>
              <w:rPr>
                <w:rFonts w:ascii="Arial" w:cs="Arial" w:eastAsia="Arial" w:hAnsi="Arial"/>
                <w:sz w:val="18"/>
                <w:szCs w:val="18"/>
                <w:color w:val="auto"/>
              </w:rPr>
              <w:t>Baron Capital Group, Inc.</w:t>
            </w:r>
          </w:p>
        </w:tc>
        <w:tc>
          <w:tcPr>
            <w:tcW w:w="2760" w:type="dxa"/>
            <w:vAlign w:val="bottom"/>
            <w:gridSpan w:val="3"/>
          </w:tcPr>
          <w:p>
            <w:pPr>
              <w:jc w:val="right"/>
              <w:ind w:right="720"/>
              <w:spacing w:after="0"/>
              <w:rPr>
                <w:sz w:val="20"/>
                <w:szCs w:val="20"/>
                <w:color w:val="auto"/>
              </w:rPr>
            </w:pPr>
            <w:r>
              <w:rPr>
                <w:rFonts w:ascii="Arial" w:cs="Arial" w:eastAsia="Arial" w:hAnsi="Arial"/>
                <w:sz w:val="18"/>
                <w:szCs w:val="18"/>
                <w:color w:val="auto"/>
              </w:rPr>
              <w:t>2,664,856(5)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767 Fifth Avenue</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3"/>
          </w:tcPr>
          <w:p>
            <w:pPr>
              <w:spacing w:after="0"/>
              <w:rPr>
                <w:sz w:val="20"/>
                <w:szCs w:val="20"/>
                <w:color w:val="auto"/>
              </w:rPr>
            </w:pPr>
            <w:r>
              <w:rPr>
                <w:rFonts w:ascii="Arial" w:cs="Arial" w:eastAsia="Arial" w:hAnsi="Arial"/>
                <w:sz w:val="18"/>
                <w:szCs w:val="18"/>
                <w:color w:val="auto"/>
              </w:rPr>
              <w:t>New York, New York 10153</w:t>
            </w: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Babson Capital Management LLC.</w:t>
            </w:r>
          </w:p>
        </w:tc>
        <w:tc>
          <w:tcPr>
            <w:tcW w:w="2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2,362,850(6)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470 Atlantic Avenue</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02210</w:t>
            </w:r>
          </w:p>
        </w:tc>
        <w:tc>
          <w:tcPr>
            <w:tcW w:w="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7860" w:type="dxa"/>
            <w:vAlign w:val="bottom"/>
            <w:gridSpan w:val="3"/>
          </w:tcPr>
          <w:p>
            <w:pPr>
              <w:spacing w:after="0"/>
              <w:rPr>
                <w:sz w:val="20"/>
                <w:szCs w:val="20"/>
                <w:color w:val="auto"/>
              </w:rPr>
            </w:pPr>
            <w:r>
              <w:rPr>
                <w:rFonts w:ascii="Arial" w:cs="Arial" w:eastAsia="Arial" w:hAnsi="Arial"/>
                <w:sz w:val="18"/>
                <w:szCs w:val="18"/>
                <w:color w:val="auto"/>
              </w:rPr>
              <w:t>Century Capital Management LLC</w:t>
            </w:r>
          </w:p>
        </w:tc>
        <w:tc>
          <w:tcPr>
            <w:tcW w:w="2760" w:type="dxa"/>
            <w:vAlign w:val="bottom"/>
            <w:gridSpan w:val="3"/>
          </w:tcPr>
          <w:p>
            <w:pPr>
              <w:jc w:val="right"/>
              <w:ind w:right="720"/>
              <w:spacing w:after="0"/>
              <w:rPr>
                <w:sz w:val="20"/>
                <w:szCs w:val="20"/>
                <w:color w:val="auto"/>
              </w:rPr>
            </w:pPr>
            <w:r>
              <w:rPr>
                <w:rFonts w:ascii="Arial" w:cs="Arial" w:eastAsia="Arial" w:hAnsi="Arial"/>
                <w:sz w:val="18"/>
                <w:szCs w:val="18"/>
                <w:color w:val="auto"/>
              </w:rPr>
              <w:t>1,991,750(7)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100 Federal Street</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3"/>
          </w:tcPr>
          <w:p>
            <w:pPr>
              <w:spacing w:after="0"/>
              <w:rPr>
                <w:sz w:val="20"/>
                <w:szCs w:val="20"/>
                <w:color w:val="auto"/>
              </w:rPr>
            </w:pPr>
            <w:r>
              <w:rPr>
                <w:rFonts w:ascii="Arial" w:cs="Arial" w:eastAsia="Arial" w:hAnsi="Arial"/>
                <w:sz w:val="18"/>
                <w:szCs w:val="18"/>
                <w:color w:val="auto"/>
              </w:rPr>
              <w:t>Boston, Massachusetts 02110</w:t>
            </w: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Glenhill Advisors, LLC</w:t>
            </w:r>
          </w:p>
        </w:tc>
        <w:tc>
          <w:tcPr>
            <w:tcW w:w="2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1,810,541(8)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598 Madison Avenue,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00" w:hanging="452"/>
        <w:spacing w:after="0" w:line="303"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Securities and Exchange Commission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Such shares, however, are not deemed outstanding for the purpose of computing the percentage ownership of any other person.</w:t>
      </w:r>
    </w:p>
    <w:p>
      <w:pPr>
        <w:sectPr>
          <w:pgSz w:w="11900" w:h="16838" w:orient="portrait"/>
          <w:cols w:equalWidth="0" w:num="1">
            <w:col w:w="11420"/>
          </w:cols>
          <w:pgMar w:left="240" w:top="274" w:right="239" w:bottom="1440" w:gutter="0" w:footer="0" w:header="0"/>
        </w:sectPr>
      </w:pPr>
    </w:p>
    <w:bookmarkStart w:id="13" w:name="page14"/>
    <w:bookmarkEnd w:id="13"/>
    <w:p>
      <w:pPr>
        <w:ind w:left="452" w:right="3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Percentage ownership is based on 35,316,478 shares of Common Stock outstanding as of May 10, 2006, plus securities deemed to be outstanding with respect to individual stockholders pursuant to Rule 13d-3(d)(1) under the Exchange Act.</w:t>
      </w:r>
    </w:p>
    <w:p>
      <w:pPr>
        <w:ind w:left="452" w:right="8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received a Schedule 13D dated May 5, 2006, stating that Chilton Investment Company, LLC is the beneficial owner of 7,147,945 shares of the Company’s Common Stock. Includes 697,083 shares that may be issued upon conversion of the Company’s 5% convertible notes due 2024 at a conversion rate of $10.65 per share.</w:t>
      </w:r>
    </w:p>
    <w:p>
      <w:pPr>
        <w:spacing w:after="0" w:line="1" w:lineRule="exact"/>
        <w:rPr>
          <w:rFonts w:ascii="Arial" w:cs="Arial" w:eastAsia="Arial" w:hAnsi="Arial"/>
          <w:sz w:val="18"/>
          <w:szCs w:val="18"/>
          <w:color w:val="auto"/>
        </w:rPr>
      </w:pPr>
    </w:p>
    <w:p>
      <w:pPr>
        <w:ind w:left="452" w:right="6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received Amendment No. 53 to Schedule 13D dated April 17, 2006, stating that Seymour Holtzman is the beneficial owner of 5,873,038 shares of the Company’s Common Stock. Includes 227,059 shares subject to warrants held by Jewelcor Management, Inc. (“JMI”) exercisable within 60 days. Includes 1,690,000 shares subject to options exercisable within 60 days. Mr. Holtzman is the chairman, president and chief executive officer and, indirectly with his wife, the primary shareholder of JMI.</w:t>
      </w:r>
    </w:p>
    <w:p>
      <w:pPr>
        <w:spacing w:after="0" w:line="1" w:lineRule="exact"/>
        <w:rPr>
          <w:rFonts w:ascii="Arial" w:cs="Arial" w:eastAsia="Arial" w:hAnsi="Arial"/>
          <w:sz w:val="18"/>
          <w:szCs w:val="18"/>
          <w:color w:val="auto"/>
        </w:rPr>
      </w:pPr>
    </w:p>
    <w:p>
      <w:pPr>
        <w:ind w:left="452" w:right="14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received Form 13F dated March 31, 2006, stating that Wellington Management Company, LLP was the beneficial owner of the number of shares of Common Stock set forth opposite its name in the table.</w:t>
      </w:r>
    </w:p>
    <w:p>
      <w:pPr>
        <w:ind w:left="452" w:hanging="452"/>
        <w:spacing w:after="0" w:line="300" w:lineRule="auto"/>
        <w:tabs>
          <w:tab w:leader="none" w:pos="452"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 has received Amendment No. 3 to Schedule 13G dated February 13, 2006, stating that Baron Capital Group, Inc. was the beneficial owner of the number of shares of Common Stock set forth opposite its name in the table. Includes 1,507,353 shares subject to warrants exercisable within 60 days.</w:t>
      </w:r>
    </w:p>
    <w:p>
      <w:pPr>
        <w:ind w:left="452" w:right="2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received Schedule 13G dated December 31, 2005, stating that Babson Capital Management LLC was the beneficial owner of the number of shares of Common Stock set forth opposite its name in the table.</w:t>
      </w:r>
    </w:p>
    <w:p>
      <w:pPr>
        <w:ind w:left="452" w:right="36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received Form 13F dated March 31, 2006, stating that Century Capital Management LLC was the beneficial owner of the number of shares of Common Stock set forth opposite its name in the table.</w:t>
      </w:r>
    </w:p>
    <w:p>
      <w:pPr>
        <w:ind w:left="452" w:right="500" w:hanging="452"/>
        <w:spacing w:after="0" w:line="261"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received Form 13F dated March 31, 2006, stating that Krevlin Advisors, LLC was the beneficial owner of the number of shares of Common Stock set forth opposite its name in the table.</w:t>
      </w:r>
    </w:p>
    <w:p>
      <w:pPr>
        <w:sectPr>
          <w:pgSz w:w="11900" w:h="16838" w:orient="portrait"/>
          <w:cols w:equalWidth="0" w:num="1">
            <w:col w:w="11412"/>
          </w:cols>
          <w:pgMar w:left="248"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Management</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10, 2006, with respect to the directors of the Company, the Named Executive Officers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Title</w:t>
            </w:r>
          </w:p>
        </w:tc>
        <w:tc>
          <w:tcPr>
            <w:tcW w:w="680" w:type="dxa"/>
            <w:vAlign w:val="bottom"/>
          </w:tcPr>
          <w:p>
            <w:pPr>
              <w:spacing w:after="0"/>
              <w:rPr>
                <w:sz w:val="14"/>
                <w:szCs w:val="14"/>
                <w:color w:val="auto"/>
              </w:rPr>
            </w:pPr>
          </w:p>
        </w:tc>
        <w:tc>
          <w:tcPr>
            <w:tcW w:w="21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9"/>
              </w:rPr>
              <w:t>Number of Shares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5"/>
        </w:trPr>
        <w:tc>
          <w:tcPr>
            <w:tcW w:w="782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2120" w:type="dxa"/>
            <w:vAlign w:val="bottom"/>
            <w:gridSpan w:val="2"/>
          </w:tcPr>
          <w:p>
            <w:pPr>
              <w:jc w:val="right"/>
              <w:ind w:right="980"/>
              <w:spacing w:after="0" w:line="148" w:lineRule="exact"/>
              <w:rPr>
                <w:sz w:val="20"/>
                <w:szCs w:val="20"/>
                <w:color w:val="auto"/>
              </w:rPr>
            </w:pPr>
            <w:r>
              <w:rPr>
                <w:rFonts w:ascii="Arial" w:cs="Arial" w:eastAsia="Arial" w:hAnsi="Arial"/>
                <w:sz w:val="14"/>
                <w:szCs w:val="14"/>
                <w:b w:val="1"/>
                <w:bCs w:val="1"/>
                <w:color w:val="auto"/>
                <w:w w:val="87"/>
              </w:rPr>
              <w:t>Beneficially Owned</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82"/>
              </w:rPr>
              <w:t>of Class (1)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6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5,873,038(2)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316"/>
        </w:trPr>
        <w:tc>
          <w:tcPr>
            <w:tcW w:w="782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1,132,806(3)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and Treasurer</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592,200(4)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16"/>
        </w:trPr>
        <w:tc>
          <w:tcPr>
            <w:tcW w:w="7820" w:type="dxa"/>
            <w:vAlign w:val="bottom"/>
            <w:gridSpan w:val="3"/>
          </w:tcPr>
          <w:p>
            <w:pPr>
              <w:spacing w:after="0"/>
              <w:rPr>
                <w:sz w:val="20"/>
                <w:szCs w:val="20"/>
                <w:color w:val="auto"/>
              </w:rPr>
            </w:pPr>
            <w:r>
              <w:rPr>
                <w:rFonts w:ascii="Arial" w:cs="Arial" w:eastAsia="Arial" w:hAnsi="Arial"/>
                <w:sz w:val="18"/>
                <w:szCs w:val="18"/>
                <w:color w:val="auto"/>
              </w:rPr>
              <w:t>Linda B. Carlo</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of Business Development</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&amp; Global Sourcing</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77,000(5)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 Cornely III</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Director of Store Development</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50,000(6)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7820" w:type="dxa"/>
            <w:vAlign w:val="bottom"/>
            <w:gridSpan w:val="3"/>
          </w:tcPr>
          <w:p>
            <w:pPr>
              <w:spacing w:after="0"/>
              <w:rPr>
                <w:sz w:val="20"/>
                <w:szCs w:val="20"/>
                <w:color w:val="auto"/>
              </w:rPr>
            </w:pPr>
            <w:r>
              <w:rPr>
                <w:rFonts w:ascii="Arial" w:cs="Arial" w:eastAsia="Arial" w:hAnsi="Arial"/>
                <w:sz w:val="18"/>
                <w:szCs w:val="18"/>
                <w:color w:val="auto"/>
              </w:rPr>
              <w:t>Robert L. Sockolov</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of Rochester division and Director</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177,000(7)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77,638(8)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820" w:type="dxa"/>
            <w:vAlign w:val="bottom"/>
            <w:gridSpan w:val="3"/>
          </w:tcPr>
          <w:p>
            <w:pPr>
              <w:spacing w:after="0"/>
              <w:rPr>
                <w:sz w:val="20"/>
                <w:szCs w:val="20"/>
                <w:color w:val="auto"/>
              </w:rPr>
            </w:pPr>
            <w:r>
              <w:rPr>
                <w:rFonts w:ascii="Arial" w:cs="Arial" w:eastAsia="Arial" w:hAnsi="Arial"/>
                <w:sz w:val="18"/>
                <w:szCs w:val="18"/>
                <w:color w:val="auto"/>
              </w:rPr>
              <w:t>Jesse Choper, Director</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161,168(9)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Frain, Director</w:t>
            </w:r>
          </w:p>
        </w:tc>
        <w:tc>
          <w:tcPr>
            <w:tcW w:w="28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48,337(10)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820" w:type="dxa"/>
            <w:vAlign w:val="bottom"/>
            <w:gridSpan w:val="3"/>
          </w:tcPr>
          <w:p>
            <w:pPr>
              <w:spacing w:after="0"/>
              <w:rPr>
                <w:sz w:val="20"/>
                <w:szCs w:val="20"/>
                <w:color w:val="auto"/>
              </w:rPr>
            </w:pPr>
            <w:r>
              <w:rPr>
                <w:rFonts w:ascii="Arial" w:cs="Arial" w:eastAsia="Arial" w:hAnsi="Arial"/>
                <w:sz w:val="18"/>
                <w:szCs w:val="18"/>
                <w:color w:val="auto"/>
              </w:rPr>
              <w:t>George T. Porter, Jr., Director</w:t>
            </w:r>
          </w:p>
        </w:tc>
        <w:tc>
          <w:tcPr>
            <w:tcW w:w="2800" w:type="dxa"/>
            <w:vAlign w:val="bottom"/>
            <w:gridSpan w:val="3"/>
          </w:tcPr>
          <w:p>
            <w:pPr>
              <w:jc w:val="right"/>
              <w:ind w:right="700"/>
              <w:spacing w:after="0"/>
              <w:rPr>
                <w:sz w:val="20"/>
                <w:szCs w:val="20"/>
                <w:color w:val="auto"/>
              </w:rPr>
            </w:pPr>
            <w:r>
              <w:rPr>
                <w:rFonts w:ascii="Arial" w:cs="Arial" w:eastAsia="Arial" w:hAnsi="Arial"/>
                <w:sz w:val="18"/>
                <w:szCs w:val="18"/>
                <w:color w:val="auto"/>
              </w:rPr>
              <w:t>139,576(11)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(10 persons)</w:t>
            </w:r>
          </w:p>
        </w:tc>
        <w:tc>
          <w:tcPr>
            <w:tcW w:w="28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8,328,763(12)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30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35,316,478 shares of Common Stock outstanding as of May 10, 2006, plus securities deemed to be outstanding with respect to individual stockholders pursuant to Rule 13d-3(d)</w:t>
      </w:r>
    </w:p>
    <w:p>
      <w:pPr>
        <w:spacing w:after="0" w:line="2"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(1) under the Exchange Act.</w:t>
      </w:r>
    </w:p>
    <w:p>
      <w:pPr>
        <w:spacing w:after="0" w:line="9" w:lineRule="exact"/>
        <w:rPr>
          <w:rFonts w:ascii="Arial" w:cs="Arial" w:eastAsia="Arial" w:hAnsi="Arial"/>
          <w:sz w:val="15"/>
          <w:szCs w:val="15"/>
          <w:color w:val="auto"/>
        </w:rPr>
      </w:pPr>
    </w:p>
    <w:p>
      <w:pPr>
        <w:ind w:left="460" w:right="54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5,873,038 shares of Common Stock, which includes 227,057 shares subject to warrants exercisable within 60 days</w:t>
      </w:r>
    </w:p>
    <w:p>
      <w:pPr>
        <w:sectPr>
          <w:pgSz w:w="11900" w:h="16838" w:orient="portrait"/>
          <w:cols w:equalWidth="0" w:num="1">
            <w:col w:w="11420"/>
          </w:cols>
          <w:pgMar w:left="240" w:top="274" w:right="239" w:bottom="1440" w:gutter="0" w:footer="0" w:header="0"/>
        </w:sectPr>
      </w:pPr>
    </w:p>
    <w:bookmarkStart w:id="15" w:name="page16"/>
    <w:bookmarkEnd w:id="15"/>
    <w:p>
      <w:pPr>
        <w:ind w:left="45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beneficially owned by JMI, of which Mr. Holtzman is the chairman, president and chief executive officer and indirectly, with his wife, the primary shareholder. Includes 1,690,000 shares subject to stock options exercisable within 60 days.</w:t>
      </w: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925,000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515,000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150,000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64,000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3,694,000 shares subject to stock options and 231,057 shares subject to warrants exercisable within 60 days.</w:t>
      </w:r>
    </w:p>
    <w:p>
      <w:pPr>
        <w:sectPr>
          <w:pgSz w:w="11900" w:h="16838" w:orient="portrait"/>
          <w:cols w:equalWidth="0" w:num="1">
            <w:col w:w="10752"/>
          </w:cols>
          <w:pgMar w:left="248" w:top="280" w:right="899" w:bottom="1440" w:gutter="0" w:footer="0" w:header="0"/>
        </w:sectPr>
      </w:pPr>
    </w:p>
    <w:bookmarkStart w:id="16" w:name="page17"/>
    <w:bookmarkEnd w:id="16"/>
    <w:p>
      <w:pPr>
        <w:ind w:left="432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the Company’s equity compensation plans as of January 28,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Number of securities</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4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equity compensation plans</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42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outstanding options,</w:t>
            </w: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42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column (a))</w:t>
            </w:r>
          </w:p>
        </w:tc>
      </w:tr>
      <w:tr>
        <w:trPr>
          <w:trHeight w:val="168"/>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84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(b)</w:t>
            </w:r>
          </w:p>
        </w:tc>
        <w:tc>
          <w:tcPr>
            <w:tcW w:w="84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r>
      <w:tr>
        <w:trPr>
          <w:trHeight w:val="216"/>
        </w:trPr>
        <w:tc>
          <w:tcPr>
            <w:tcW w:w="20" w:type="dxa"/>
            <w:vAlign w:val="bottom"/>
          </w:tcPr>
          <w:p>
            <w:pPr>
              <w:spacing w:after="0"/>
              <w:rPr>
                <w:sz w:val="18"/>
                <w:szCs w:val="18"/>
                <w:color w:val="auto"/>
              </w:rPr>
            </w:pPr>
          </w:p>
        </w:tc>
        <w:tc>
          <w:tcPr>
            <w:tcW w:w="4640" w:type="dxa"/>
            <w:vAlign w:val="bottom"/>
            <w:tcBorders>
              <w:top w:val="single" w:sz="8" w:color="auto"/>
            </w:tcBorders>
            <w:gridSpan w:val="2"/>
            <w:shd w:val="clear" w:color="auto" w:fill="CCEEFF"/>
          </w:tcPr>
          <w:p>
            <w:pPr>
              <w:spacing w:after="0" w:line="217" w:lineRule="exact"/>
              <w:rPr>
                <w:sz w:val="20"/>
                <w:szCs w:val="20"/>
                <w:color w:val="auto"/>
              </w:rPr>
            </w:pPr>
            <w:r>
              <w:rPr>
                <w:rFonts w:ascii="Arial" w:cs="Arial" w:eastAsia="Arial" w:hAnsi="Arial"/>
                <w:sz w:val="18"/>
                <w:szCs w:val="18"/>
                <w:color w:val="auto"/>
                <w:w w:val="97"/>
              </w:rPr>
              <w:t xml:space="preserve">Equity compensation plans approved by security holders </w:t>
            </w:r>
            <w:r>
              <w:rPr>
                <w:rFonts w:ascii="Arial" w:cs="Arial" w:eastAsia="Arial" w:hAnsi="Arial"/>
                <w:sz w:val="22"/>
                <w:szCs w:val="22"/>
                <w:color w:val="auto"/>
                <w:w w:val="97"/>
                <w:vertAlign w:val="superscript"/>
              </w:rPr>
              <w:t>(1)</w:t>
            </w:r>
          </w:p>
        </w:tc>
        <w:tc>
          <w:tcPr>
            <w:tcW w:w="84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4,241,997</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4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1,371,779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line="217" w:lineRule="exact"/>
              <w:rPr>
                <w:sz w:val="20"/>
                <w:szCs w:val="20"/>
                <w:color w:val="auto"/>
              </w:rPr>
            </w:pPr>
            <w:r>
              <w:rPr>
                <w:rFonts w:ascii="Arial" w:cs="Arial" w:eastAsia="Arial" w:hAnsi="Arial"/>
                <w:sz w:val="18"/>
                <w:szCs w:val="18"/>
                <w:color w:val="auto"/>
                <w:w w:val="91"/>
              </w:rPr>
              <w:t xml:space="preserve">Equity compensation plans not approved by security holders </w:t>
            </w:r>
            <w:r>
              <w:rPr>
                <w:rFonts w:ascii="Arial" w:cs="Arial" w:eastAsia="Arial" w:hAnsi="Arial"/>
                <w:sz w:val="22"/>
                <w:szCs w:val="22"/>
                <w:color w:val="auto"/>
                <w:w w:val="91"/>
                <w:vertAlign w:val="superscript"/>
              </w:rPr>
              <w:t>(2)</w:t>
            </w:r>
          </w:p>
        </w:tc>
        <w:tc>
          <w:tcPr>
            <w:tcW w:w="84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1,140,000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840" w:type="dxa"/>
            <w:vAlign w:val="bottom"/>
          </w:tcPr>
          <w:p>
            <w:pPr>
              <w:spacing w:after="0"/>
              <w:rPr>
                <w:sz w:val="19"/>
                <w:szCs w:val="19"/>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5,381,997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1,371,779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38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January 28, 2006, the Company’s only approved equity compensation plan is its 1992 Stock Incentive Plan which provides for the issuance of up to 6,250,000 shares of the Company’s Common Stock.</w:t>
      </w:r>
    </w:p>
    <w:p>
      <w:pPr>
        <w:ind w:left="460" w:right="2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Board of Directors and the Compensation Committee of the Board of Directors have the reasonable discretion to issue shares outside of the 1992 Plan, subject to the rules of the Nasdaq National Market. Accordingly, at January 28, 2006 there were outstanding options to purchase up to 1,140,000 shares of Common Stock which were issued outside of the 1992 Plan, with exercise prices ranging from $1.14 to $5.35 per share. These options represent grants to consultants of the Company and also options granted to its executives in excess of the 1992 Plan’s annual maximum. At January 28, 2006, all of these options were exercisable.</w:t>
      </w:r>
    </w:p>
    <w:p>
      <w:pPr>
        <w:sectPr>
          <w:pgSz w:w="11900" w:h="16838" w:orient="portrait"/>
          <w:cols w:equalWidth="0" w:num="1">
            <w:col w:w="11420"/>
          </w:cols>
          <w:pgMar w:left="240" w:top="280" w:right="23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13. </w:t>
      </w:r>
      <w:r>
        <w:rPr>
          <w:rFonts w:ascii="Arial" w:cs="Arial" w:eastAsia="Arial" w:hAnsi="Arial"/>
          <w:sz w:val="18"/>
          <w:szCs w:val="18"/>
          <w:i w:val="1"/>
          <w:i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Seymour Holtzman, the Chairman of the Board of Directors of the Company, is compensated by the Company both directly (as an executive officer of the Company) and indirectly (as the president and chief executive officer and, together with his wife, the sole shareholder of JMI). Since October 1999, the Company has had an ongoing consulting agreement with JMI to assist in developing and implementing a strategic plan for the Company and for other related consulting services as may be agreed upon between JMI and the Company. Mr. Holtzman, who became the Company’s Chairman of the Board on April 11, 2000, is the beneficial holder of approximately 15.8% of the outstanding Common Stock of the Company.</w:t>
      </w:r>
    </w:p>
    <w:p>
      <w:pPr>
        <w:spacing w:after="0" w:line="1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 summary of all compensation and consulting fees paid to Mr. Holtzman and JMI are included above under Item 11. Executive Compensation -Chairman Compensation (Direct and Indirect).</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During the first quarter of fiscal 2006, the Company paid JMI $370,000 as reimbursement of legal costs incurred by JMI unrelated to the operations of the Company.</w:t>
      </w:r>
    </w:p>
    <w:p>
      <w:pPr>
        <w:sectPr>
          <w:pgSz w:w="11900" w:h="16838" w:orient="portrait"/>
          <w:cols w:equalWidth="0" w:num="1">
            <w:col w:w="11380"/>
          </w:cols>
          <w:pgMar w:left="240" w:top="274" w:right="27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14. </w:t>
      </w:r>
      <w:r>
        <w:rPr>
          <w:rFonts w:ascii="Arial" w:cs="Arial" w:eastAsia="Arial" w:hAnsi="Arial"/>
          <w:sz w:val="18"/>
          <w:szCs w:val="18"/>
          <w:i w:val="1"/>
          <w:iCs w:val="1"/>
          <w:color w:val="auto"/>
        </w:rPr>
        <w:t>Principal Accounting Fees and Services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Ernst &amp; Young LLP has served as the Company’s principal accountant and independent auditor since October 2000. Below is a summary of the fees for each of the last two fiscal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Ernst &amp; Young LLP billed the Company an aggregate of $483,302 and $822,926 in fees for fiscal years 2005 and 2004, respectively, for professional services rendered in connection with the audits of the Company’s financial statements for the fiscal years ended January 28, 2006 and January 29, 2005 included in the Company’s Annual Reports on Form 10-K, the reviews of the financial statements included in each of the Company’s Quarterly Reports on Form 10-Q and the filing of SEC registration statements.</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the Company was also billed an aggregate of $330,000 and $443,300 in fees in fiscal years 2005 and 2004, respectively, for services performed related to compliance with Section 404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 Related Fees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fiscal year 2005, Ernst &amp; Young billed $75,900 in fees for work related to certain transactions. For fiscal year 2004, Ernst &amp; Young LLP billed the Company an aggregate of $57,900 in fees for assurance and related services, including services related to benefit plan audits.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fees were billed by Ernst &amp; Young for fiscal 2005. For fiscal 2004, Ernst &amp; Young LLP billed the Company an aggregate of $144,544 in fees for professional services related to tax compliance, tax planning and tax advice. Tax compliance services consisted of preparation of original and amended income tax, sales and use tax, property, and all other tax returns; claims for refunds; and tax payment planning services. Tax advisory services consisted of a wide range of services, including assistance with tax audits and appeals, tax advice related to mergers and acquisitions, and requests for rulings or technical advice from taxing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 did not bill the Company in fiscal 2005 or 2004 for services other than those described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9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the Company’s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4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the Company by the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Audit-Related Fees, Tax Fees and All Other Fees were approved by the Audit Committee.</w:t>
      </w:r>
    </w:p>
    <w:p>
      <w:pPr>
        <w:sectPr>
          <w:pgSz w:w="11900" w:h="16838" w:orient="portrait"/>
          <w:cols w:equalWidth="0" w:num="1">
            <w:col w:w="11320"/>
          </w:cols>
          <w:pgMar w:left="240" w:top="27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6140" w:type="dxa"/>
            <w:vAlign w:val="bottom"/>
            <w:gridSpan w:val="2"/>
          </w:tcPr>
          <w:p>
            <w:pPr>
              <w:jc w:val="center"/>
              <w:ind w:right="4820"/>
              <w:spacing w:after="0"/>
              <w:rPr>
                <w:sz w:val="20"/>
                <w:szCs w:val="20"/>
                <w:color w:val="auto"/>
              </w:rPr>
            </w:pPr>
            <w:r>
              <w:rPr>
                <w:rFonts w:ascii="Arial" w:cs="Arial" w:eastAsia="Arial" w:hAnsi="Arial"/>
                <w:sz w:val="18"/>
                <w:szCs w:val="18"/>
                <w:b w:val="1"/>
                <w:bCs w:val="1"/>
                <w:color w:val="auto"/>
                <w:w w:val="94"/>
              </w:rPr>
              <w:t>PART IV.</w:t>
            </w:r>
          </w:p>
        </w:tc>
        <w:tc>
          <w:tcPr>
            <w:tcW w:w="220" w:type="dxa"/>
            <w:vAlign w:val="bottom"/>
          </w:tcPr>
          <w:p>
            <w:pPr>
              <w:spacing w:after="0"/>
              <w:rPr>
                <w:sz w:val="19"/>
                <w:szCs w:val="19"/>
                <w:color w:val="auto"/>
              </w:rPr>
            </w:pPr>
          </w:p>
        </w:tc>
      </w:tr>
      <w:tr>
        <w:trPr>
          <w:trHeight w:val="297"/>
        </w:trPr>
        <w:tc>
          <w:tcPr>
            <w:tcW w:w="11200" w:type="dxa"/>
            <w:vAlign w:val="bottom"/>
            <w:gridSpan w:val="6"/>
          </w:tcPr>
          <w:p>
            <w:pPr>
              <w:ind w:left="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color w:val="auto"/>
              </w:rPr>
              <w:t>Exhibits, Financial Statement Schedules</w:t>
            </w:r>
          </w:p>
        </w:tc>
        <w:tc>
          <w:tcPr>
            <w:tcW w:w="220" w:type="dxa"/>
            <w:vAlign w:val="bottom"/>
          </w:tcPr>
          <w:p>
            <w:pPr>
              <w:spacing w:after="0"/>
              <w:rPr>
                <w:sz w:val="24"/>
                <w:szCs w:val="24"/>
                <w:color w:val="auto"/>
              </w:rPr>
            </w:pPr>
          </w:p>
        </w:tc>
      </w:tr>
      <w:tr>
        <w:trPr>
          <w:trHeight w:val="259"/>
        </w:trPr>
        <w:tc>
          <w:tcPr>
            <w:tcW w:w="11200" w:type="dxa"/>
            <w:vAlign w:val="bottom"/>
            <w:gridSpan w:val="6"/>
          </w:tcPr>
          <w:p>
            <w:pPr>
              <w:ind w:left="20"/>
              <w:spacing w:after="0"/>
              <w:rPr>
                <w:sz w:val="20"/>
                <w:szCs w:val="20"/>
                <w:color w:val="auto"/>
              </w:rPr>
            </w:pPr>
            <w:r>
              <w:rPr>
                <w:rFonts w:ascii="Arial" w:cs="Arial" w:eastAsia="Arial" w:hAnsi="Arial"/>
                <w:sz w:val="18"/>
                <w:szCs w:val="18"/>
                <w:color w:val="auto"/>
              </w:rPr>
              <w:t>15(a)(3) Exhibits</w:t>
            </w:r>
          </w:p>
        </w:tc>
        <w:tc>
          <w:tcPr>
            <w:tcW w:w="220" w:type="dxa"/>
            <w:vAlign w:val="bottom"/>
          </w:tcPr>
          <w:p>
            <w:pPr>
              <w:spacing w:after="0"/>
              <w:rPr>
                <w:sz w:val="22"/>
                <w:szCs w:val="22"/>
                <w:color w:val="auto"/>
              </w:rPr>
            </w:pPr>
          </w:p>
        </w:tc>
      </w:tr>
      <w:tr>
        <w:trPr>
          <w:trHeight w:val="358"/>
        </w:trPr>
        <w:tc>
          <w:tcPr>
            <w:tcW w:w="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6140" w:type="dxa"/>
            <w:vAlign w:val="bottom"/>
            <w:gridSpan w:val="2"/>
          </w:tcPr>
          <w:p>
            <w:pPr>
              <w:jc w:val="center"/>
              <w:ind w:right="4820"/>
              <w:spacing w:after="0"/>
              <w:rPr>
                <w:sz w:val="20"/>
                <w:szCs w:val="20"/>
                <w:color w:val="auto"/>
              </w:rPr>
            </w:pPr>
            <w:r>
              <w:rPr>
                <w:rFonts w:ascii="Arial" w:cs="Arial" w:eastAsia="Arial" w:hAnsi="Arial"/>
                <w:sz w:val="18"/>
                <w:szCs w:val="18"/>
                <w:b w:val="1"/>
                <w:bCs w:val="1"/>
                <w:color w:val="auto"/>
                <w:w w:val="88"/>
              </w:rPr>
              <w:t>Index to Exhibits</w:t>
            </w:r>
          </w:p>
        </w:tc>
        <w:tc>
          <w:tcPr>
            <w:tcW w:w="220" w:type="dxa"/>
            <w:vAlign w:val="bottom"/>
          </w:tcPr>
          <w:p>
            <w:pPr>
              <w:spacing w:after="0"/>
              <w:rPr>
                <w:sz w:val="24"/>
                <w:szCs w:val="24"/>
                <w:color w:val="auto"/>
              </w:rPr>
            </w:pPr>
          </w:p>
        </w:tc>
      </w:tr>
      <w:tr>
        <w:trPr>
          <w:trHeight w:val="397"/>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88"/>
              </w:rPr>
              <w:t>Exhibits</w:t>
            </w:r>
          </w:p>
        </w:tc>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2"/>
        </w:trPr>
        <w:tc>
          <w:tcPr>
            <w:tcW w:w="640" w:type="dxa"/>
            <w:vAlign w:val="bottom"/>
            <w:gridSpan w:val="2"/>
          </w:tcPr>
          <w:p>
            <w:pPr>
              <w:spacing w:after="0"/>
              <w:rPr>
                <w:sz w:val="20"/>
                <w:szCs w:val="20"/>
                <w:color w:val="auto"/>
              </w:rPr>
            </w:pPr>
            <w:r>
              <w:rPr>
                <w:rFonts w:ascii="Arial" w:cs="Arial" w:eastAsia="Arial" w:hAnsi="Arial"/>
                <w:sz w:val="18"/>
                <w:szCs w:val="18"/>
                <w:color w:val="auto"/>
              </w:rPr>
              <w:t>3.1</w:t>
            </w:r>
          </w:p>
        </w:tc>
        <w:tc>
          <w:tcPr>
            <w:tcW w:w="10560" w:type="dxa"/>
            <w:vAlign w:val="bottom"/>
            <w:gridSpan w:val="4"/>
          </w:tcPr>
          <w:p>
            <w:pPr>
              <w:spacing w:after="0"/>
              <w:rPr>
                <w:sz w:val="20"/>
                <w:szCs w:val="20"/>
                <w:color w:val="auto"/>
              </w:rPr>
            </w:pPr>
            <w:r>
              <w:rPr>
                <w:rFonts w:ascii="Arial" w:cs="Arial" w:eastAsia="Arial" w:hAnsi="Arial"/>
                <w:sz w:val="18"/>
                <w:szCs w:val="18"/>
                <w:color w:val="auto"/>
                <w:w w:val="92"/>
              </w:rPr>
              <w:t>Restated Certificate of Incorporation of the Company, as amended (included as Exhibit 3.1 to Amendment No. 3 of the Company’s Registration</w:t>
            </w:r>
          </w:p>
        </w:tc>
        <w:tc>
          <w:tcPr>
            <w:tcW w:w="2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Statement on Form S-1 (No. 33-13402),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3.2</w:t>
            </w:r>
          </w:p>
        </w:tc>
        <w:tc>
          <w:tcPr>
            <w:tcW w:w="10560" w:type="dxa"/>
            <w:vAlign w:val="bottom"/>
            <w:gridSpan w:val="4"/>
          </w:tcPr>
          <w:p>
            <w:pPr>
              <w:spacing w:after="0"/>
              <w:rPr>
                <w:sz w:val="20"/>
                <w:szCs w:val="20"/>
                <w:color w:val="auto"/>
              </w:rPr>
            </w:pPr>
            <w:r>
              <w:rPr>
                <w:rFonts w:ascii="Arial" w:cs="Arial" w:eastAsia="Arial" w:hAnsi="Arial"/>
                <w:sz w:val="18"/>
                <w:szCs w:val="18"/>
                <w:color w:val="auto"/>
                <w:w w:val="92"/>
              </w:rPr>
              <w:t>Certificate of Amendment to Restated Certificate of Incorporation, as amended, dated June 22, 1993 (included as Exhibit 3.2 to the Company’s</w:t>
            </w:r>
          </w:p>
        </w:tc>
        <w:tc>
          <w:tcPr>
            <w:tcW w:w="2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Quarterly Report on Form 10-Q filed on June 18, 1996,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3.3</w:t>
            </w:r>
          </w:p>
        </w:tc>
        <w:tc>
          <w:tcPr>
            <w:tcW w:w="10560" w:type="dxa"/>
            <w:vAlign w:val="bottom"/>
            <w:gridSpan w:val="4"/>
          </w:tcPr>
          <w:p>
            <w:pPr>
              <w:spacing w:after="0"/>
              <w:rPr>
                <w:sz w:val="20"/>
                <w:szCs w:val="20"/>
                <w:color w:val="auto"/>
              </w:rPr>
            </w:pPr>
            <w:r>
              <w:rPr>
                <w:rFonts w:ascii="Arial" w:cs="Arial" w:eastAsia="Arial" w:hAnsi="Arial"/>
                <w:sz w:val="18"/>
                <w:szCs w:val="18"/>
                <w:color w:val="auto"/>
                <w:w w:val="92"/>
              </w:rPr>
              <w:t>Certificate of Amendment to Restated Certificate of Incorporation, as amended, dated August 8, 2002 (included as Exhibit 3.3 to the Company’s</w:t>
            </w:r>
          </w:p>
        </w:tc>
        <w:tc>
          <w:tcPr>
            <w:tcW w:w="2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Quarterly Report on Form 10-Q filed on September 17,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3.4</w:t>
            </w:r>
          </w:p>
        </w:tc>
        <w:tc>
          <w:tcPr>
            <w:tcW w:w="10560" w:type="dxa"/>
            <w:vAlign w:val="bottom"/>
            <w:gridSpan w:val="4"/>
          </w:tcPr>
          <w:p>
            <w:pPr>
              <w:spacing w:after="0"/>
              <w:rPr>
                <w:sz w:val="20"/>
                <w:szCs w:val="20"/>
                <w:color w:val="auto"/>
              </w:rPr>
            </w:pPr>
            <w:r>
              <w:rPr>
                <w:rFonts w:ascii="Arial" w:cs="Arial" w:eastAsia="Arial" w:hAnsi="Arial"/>
                <w:sz w:val="18"/>
                <w:szCs w:val="18"/>
                <w:color w:val="auto"/>
                <w:w w:val="94"/>
              </w:rPr>
              <w:t>Certificate of Designations, Preferences and Rights of a Series of Preferred Stock of the Company establishing Series A Junior Participating</w:t>
            </w:r>
          </w:p>
        </w:tc>
        <w:tc>
          <w:tcPr>
            <w:tcW w:w="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w w:val="91"/>
              </w:rPr>
              <w:t>Cumulative Preferred Stock dated May 1, 1995 (included as Exhibit 3.2 to the Company’s Annual Report on Form 10-K filed on May 3, 1996, and</w:t>
            </w: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3.5</w:t>
            </w:r>
          </w:p>
        </w:tc>
        <w:tc>
          <w:tcPr>
            <w:tcW w:w="10560" w:type="dxa"/>
            <w:vAlign w:val="bottom"/>
            <w:gridSpan w:val="4"/>
          </w:tcPr>
          <w:p>
            <w:pPr>
              <w:spacing w:after="0"/>
              <w:rPr>
                <w:sz w:val="20"/>
                <w:szCs w:val="20"/>
                <w:color w:val="auto"/>
              </w:rPr>
            </w:pPr>
            <w:r>
              <w:rPr>
                <w:rFonts w:ascii="Arial" w:cs="Arial" w:eastAsia="Arial" w:hAnsi="Arial"/>
                <w:sz w:val="18"/>
                <w:szCs w:val="18"/>
                <w:color w:val="auto"/>
                <w:w w:val="96"/>
              </w:rPr>
              <w:t>Certificate of Designations, Preferences and Relative, Participating, Optional and Other Special Rights and Qualifications, Limitations and</w:t>
            </w:r>
          </w:p>
        </w:tc>
        <w:tc>
          <w:tcPr>
            <w:tcW w:w="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w w:val="93"/>
              </w:rPr>
              <w:t>Restrictions of Series B Convertible Preferred Stock dated May 14, 2002 (included as Exhibit 3.1 to the Company’s Form 8-K filed on May 23,</w:t>
            </w: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3.6</w:t>
            </w:r>
          </w:p>
        </w:tc>
        <w:tc>
          <w:tcPr>
            <w:tcW w:w="10560" w:type="dxa"/>
            <w:vAlign w:val="bottom"/>
            <w:gridSpan w:val="4"/>
          </w:tcPr>
          <w:p>
            <w:pPr>
              <w:spacing w:after="0"/>
              <w:rPr>
                <w:sz w:val="20"/>
                <w:szCs w:val="20"/>
                <w:color w:val="auto"/>
              </w:rPr>
            </w:pPr>
            <w:r>
              <w:rPr>
                <w:rFonts w:ascii="Arial" w:cs="Arial" w:eastAsia="Arial" w:hAnsi="Arial"/>
                <w:sz w:val="18"/>
                <w:szCs w:val="18"/>
                <w:color w:val="auto"/>
                <w:w w:val="90"/>
              </w:rPr>
              <w:t>By-Laws of the Company, as amended (included as Exhibit 3.4 to the Company’s Quarterly Report on Form 10-Q filed on December 12, 2000, and</w:t>
            </w:r>
          </w:p>
        </w:tc>
        <w:tc>
          <w:tcPr>
            <w:tcW w:w="2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4.1</w:t>
            </w:r>
          </w:p>
        </w:tc>
        <w:tc>
          <w:tcPr>
            <w:tcW w:w="10560" w:type="dxa"/>
            <w:vAlign w:val="bottom"/>
            <w:gridSpan w:val="4"/>
          </w:tcPr>
          <w:p>
            <w:pPr>
              <w:spacing w:after="0"/>
              <w:rPr>
                <w:sz w:val="20"/>
                <w:szCs w:val="20"/>
                <w:color w:val="auto"/>
              </w:rPr>
            </w:pPr>
            <w:r>
              <w:rPr>
                <w:rFonts w:ascii="Arial" w:cs="Arial" w:eastAsia="Arial" w:hAnsi="Arial"/>
                <w:sz w:val="18"/>
                <w:szCs w:val="18"/>
                <w:color w:val="auto"/>
                <w:w w:val="91"/>
              </w:rPr>
              <w:t>Indenture, dated as of November 18, 2003, between the Company and U.S. Bank National Association, as Trustee (included as Exhibit 4.1 to the</w:t>
            </w:r>
          </w:p>
        </w:tc>
        <w:tc>
          <w:tcPr>
            <w:tcW w:w="2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Company’s Quarterly Report on Form 10-Q filed on December 9, 2003,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10560" w:type="dxa"/>
            <w:vAlign w:val="bottom"/>
            <w:gridSpan w:val="4"/>
          </w:tcPr>
          <w:p>
            <w:pPr>
              <w:spacing w:after="0"/>
              <w:rPr>
                <w:sz w:val="20"/>
                <w:szCs w:val="20"/>
                <w:color w:val="auto"/>
              </w:rPr>
            </w:pPr>
            <w:r>
              <w:rPr>
                <w:rFonts w:ascii="Arial" w:cs="Arial" w:eastAsia="Arial" w:hAnsi="Arial"/>
                <w:sz w:val="18"/>
                <w:szCs w:val="18"/>
                <w:color w:val="auto"/>
                <w:w w:val="89"/>
              </w:rPr>
              <w:t>1992 Stock Incentive Plan, as amended (included as Exhibit 10.1 to the Company’s Quarterly Report on Form 10-Q filed on December 9, 2003, and</w:t>
            </w:r>
          </w:p>
        </w:tc>
        <w:tc>
          <w:tcPr>
            <w:tcW w:w="2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10560" w:type="dxa"/>
            <w:vAlign w:val="bottom"/>
            <w:gridSpan w:val="4"/>
          </w:tcPr>
          <w:p>
            <w:pPr>
              <w:spacing w:after="0"/>
              <w:rPr>
                <w:sz w:val="20"/>
                <w:szCs w:val="20"/>
                <w:color w:val="auto"/>
              </w:rPr>
            </w:pPr>
            <w:r>
              <w:rPr>
                <w:rFonts w:ascii="Arial" w:cs="Arial" w:eastAsia="Arial" w:hAnsi="Arial"/>
                <w:sz w:val="18"/>
                <w:szCs w:val="18"/>
                <w:color w:val="auto"/>
                <w:w w:val="91"/>
              </w:rPr>
              <w:t>Executive Incentive Program for fiscal year ending January 28, 2006 (included as Exhibit 10.1 to the Company’s Current Report on Form 8-K filed</w:t>
            </w:r>
          </w:p>
        </w:tc>
        <w:tc>
          <w:tcPr>
            <w:tcW w:w="2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on June 13, 2005,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10560" w:type="dxa"/>
            <w:vAlign w:val="bottom"/>
            <w:gridSpan w:val="4"/>
          </w:tcPr>
          <w:p>
            <w:pPr>
              <w:spacing w:after="0"/>
              <w:rPr>
                <w:sz w:val="20"/>
                <w:szCs w:val="20"/>
                <w:color w:val="auto"/>
              </w:rPr>
            </w:pPr>
            <w:r>
              <w:rPr>
                <w:rFonts w:ascii="Arial" w:cs="Arial" w:eastAsia="Arial" w:hAnsi="Arial"/>
                <w:sz w:val="18"/>
                <w:szCs w:val="18"/>
                <w:color w:val="auto"/>
                <w:w w:val="92"/>
              </w:rPr>
              <w:t>Fourth Amended and Restated Loan and Security Agreement dated October 29, 2004, by and among Fleet Retail Group, Inc., as Administrative</w:t>
            </w:r>
          </w:p>
        </w:tc>
        <w:tc>
          <w:tcPr>
            <w:tcW w:w="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w w:val="89"/>
              </w:rPr>
              <w:t>Agent and Collateral Agent, the Lenders identified herein, the Company, as Borrowers’ Representative and the Company and Designs Apparel, Inc.</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w w:val="91"/>
              </w:rPr>
              <w:t>as Borrowers (included as Exhibit 10.1 to the Company’s Quarterly Report on Form 10-Q filed on December 9, 2004, and incorporated herein by</w:t>
            </w: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10560" w:type="dxa"/>
            <w:vAlign w:val="bottom"/>
            <w:gridSpan w:val="4"/>
          </w:tcPr>
          <w:p>
            <w:pPr>
              <w:spacing w:after="0"/>
              <w:rPr>
                <w:sz w:val="20"/>
                <w:szCs w:val="20"/>
                <w:color w:val="auto"/>
              </w:rPr>
            </w:pPr>
            <w:r>
              <w:rPr>
                <w:rFonts w:ascii="Arial" w:cs="Arial" w:eastAsia="Arial" w:hAnsi="Arial"/>
                <w:sz w:val="18"/>
                <w:szCs w:val="18"/>
                <w:color w:val="auto"/>
                <w:w w:val="88"/>
              </w:rPr>
              <w:t>Second Amendment to the Fourth Amended and Restated Loan and Security Agreement dated December 15, 2005, by and among the Company and</w:t>
            </w:r>
          </w:p>
        </w:tc>
        <w:tc>
          <w:tcPr>
            <w:tcW w:w="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w w:val="92"/>
              </w:rPr>
              <w:t>Fleet Retail Group, Inc. (d/b/a Bank of America Retail Group, LLC) (included as Exhibit 10.1 to the Company’s Current Report on Form 8-K filed</w:t>
            </w: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60" w:type="dxa"/>
            <w:vAlign w:val="bottom"/>
            <w:gridSpan w:val="4"/>
          </w:tcPr>
          <w:p>
            <w:pPr>
              <w:spacing w:after="0"/>
              <w:rPr>
                <w:sz w:val="20"/>
                <w:szCs w:val="20"/>
                <w:color w:val="auto"/>
              </w:rPr>
            </w:pPr>
            <w:r>
              <w:rPr>
                <w:rFonts w:ascii="Arial" w:cs="Arial" w:eastAsia="Arial" w:hAnsi="Arial"/>
                <w:sz w:val="18"/>
                <w:szCs w:val="18"/>
                <w:color w:val="auto"/>
              </w:rPr>
              <w:t>December 16, 2005,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0" w:name="page21"/>
    <w:bookmarkEnd w:id="20"/>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Third Amendment to the Fourth Amended and Restated Loan and Security Agreement dated January 31, 2006, by and among the Company and</w:t>
            </w:r>
          </w:p>
        </w:tc>
        <w:tc>
          <w:tcPr>
            <w:tcW w:w="2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Fleet Retail Group, Inc. (d/b/a Bank of America Retail Group, LLC) (included as Exhibit 10.4 to the Company’s Current Report on Form 8-K filed</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February 3, 2006,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Note Agreement, dated as of July 2, 2003, among the Company, certain subsidiaries of the Company, and the Initial Purchasers identified on the</w:t>
            </w:r>
          </w:p>
        </w:tc>
        <w:tc>
          <w:tcPr>
            <w:tcW w:w="2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signature pages thereto (the “Note Agreement”) (included as Exhibit 10.4 to the Company’s Quarterly Report on Form 10-Q filed on September 16,</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Form of 12% Senior Subordinated Note due 2010 (included as Exhibit 10.5 to the Company’s Quarterly Report on Form 10-Q filed on September</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10.8</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Form of Warrant issued to the Initial Purchasers under the Note Agreement (included as Exhibit 10.6 to the Company’s Quarterly Report on Form</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10-Q filed on September 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10.9</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Form of Option Agreement between the Company and the Chairman and Executive Officers of the Company (included as Exhibit 10.1 to the</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Company’s Quarterly Report on Form 10-Q filed on September 8, 2005,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160"/>
              <w:spacing w:after="0"/>
              <w:rPr>
                <w:sz w:val="20"/>
                <w:szCs w:val="20"/>
                <w:color w:val="auto"/>
              </w:rPr>
            </w:pPr>
            <w:r>
              <w:rPr>
                <w:rFonts w:ascii="Arial" w:cs="Arial" w:eastAsia="Arial" w:hAnsi="Arial"/>
                <w:sz w:val="18"/>
                <w:szCs w:val="18"/>
                <w:color w:val="auto"/>
                <w:w w:val="94"/>
              </w:rPr>
              <w:t>Form of Option Agreement between the Company and non-employee directors of the Company (included as Exhibit 10.2 to the Company’s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Quarterly Report on Form 10-Q filed on September 8, 2005,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Consulting Agreement dated as of October 28, 1999 between the Company and Jewelcor Management, Inc. (included as Exhibit 10.20 to the</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Company’s Annual Report on Form 10-K filed on April 28, 2000,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Extension to Consulting Agreement, dated as of April 28, 2001, between the Company and Jewelcor Management, Inc. (included as Exhibit 10.15</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to the Company’s Quarterly Report on Form 10-Q filed on September 18, 2001,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Extension to Consulting Agreement, dated as of April 28, 2002, between the Company and Jewelcor Management, Inc. (included as Exhibit 10.30</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to the Company’s Quarterly Report on Form 10-Q filed on June 18, 2002,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Extension to Consulting Agreement, dated as of April 29, 2003, between the Company and Jewelcor Management, Inc. (included as Exhibit 10.7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Annual Report on Form 10-K filed on May 5,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160"/>
              <w:spacing w:after="0"/>
              <w:rPr>
                <w:sz w:val="20"/>
                <w:szCs w:val="20"/>
                <w:color w:val="auto"/>
              </w:rPr>
            </w:pPr>
            <w:r>
              <w:rPr>
                <w:rFonts w:ascii="Arial" w:cs="Arial" w:eastAsia="Arial" w:hAnsi="Arial"/>
                <w:sz w:val="18"/>
                <w:szCs w:val="18"/>
                <w:color w:val="auto"/>
                <w:w w:val="92"/>
              </w:rPr>
              <w:t>Amendment to Consulting Agreement, effective as of May 1, 2003, between the Company and Jewelcor Management, Inc.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10.1 to the Company’s Quarterly Report on Form 10-Q filed on September 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Amendment to Consulting Agreement, dated as of August 26, 2004, between the Company and Jewelcor Management, Inc.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10.5 to the Company’s Quarterly Report on Form 10-Q filed on December 9, 2004,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Amendment to Consulting Agreement, effective May 9, 2005, between the Company and Jewelcor Management, Inc. (included as Exhibit 10.1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Current Report on Form 8-K filed June 20, 2005,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Employment Agreement dated as of March 31, 2000 between the Company and David A. Levin (included as Exhibit 10.27 to the Company’s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Annual Report on Form 10-K filed on April 28, 2000,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1" w:name="page22"/>
    <w:bookmarkEnd w:id="21"/>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10.19</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First Amendment to Employment Agreement dated April 10, 2001 between the Company and David A. Levin (included as Exhibit 10.19 to the</w:t>
            </w:r>
          </w:p>
        </w:tc>
        <w:tc>
          <w:tcPr>
            <w:tcW w:w="2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Company’s Quarterly Report on Form 10-Q filed on June 19, 2001,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10.20</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Second Amendment to Employment Agreement dated as of January 10, 2003 between the Company and David A. Levin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10.10 to the Company’s Annual Report on Form 10-K filed on May 5,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10.21</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Third Amendment to Employment Agreement, dated as of July 9, 2003, between the Company and David A. Levin (included as Exhibit 10.2 to the</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Company’s Quarterly Report on Form 10-Q filed on September 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10.22</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Fourth Amendment to Employment Agreement dated as of June 29, 2004 between the Company and David A. Levin (included as Exhibit 10.17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Annual Report on Form 10-K filed on April 11, 2005,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10.23</w:t>
            </w:r>
          </w:p>
        </w:tc>
        <w:tc>
          <w:tcPr>
            <w:tcW w:w="10640" w:type="dxa"/>
            <w:vAlign w:val="bottom"/>
          </w:tcPr>
          <w:p>
            <w:pPr>
              <w:ind w:left="160"/>
              <w:spacing w:after="0"/>
              <w:rPr>
                <w:sz w:val="20"/>
                <w:szCs w:val="20"/>
                <w:color w:val="auto"/>
              </w:rPr>
            </w:pPr>
            <w:r>
              <w:rPr>
                <w:rFonts w:ascii="Arial" w:cs="Arial" w:eastAsia="Arial" w:hAnsi="Arial"/>
                <w:sz w:val="18"/>
                <w:szCs w:val="18"/>
                <w:color w:val="auto"/>
              </w:rPr>
              <w:t>Fifth Amendment to Employment Agreement dated as of May 9, 2005 between the Company and David A. Levin.</w:t>
            </w:r>
          </w:p>
        </w:tc>
        <w:tc>
          <w:tcPr>
            <w:tcW w:w="200" w:type="dxa"/>
            <w:vAlign w:val="bottom"/>
          </w:tcPr>
          <w:p>
            <w:pPr>
              <w:spacing w:after="0"/>
              <w:rPr>
                <w:sz w:val="24"/>
                <w:szCs w:val="24"/>
                <w:color w:val="auto"/>
              </w:rPr>
            </w:pP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10.24</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Employment Agreement dated as of August 14, 2000 between the Company and Dennis R. Hernreich (included as Exhibit 10.30 to the Company’s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Quarterly Report on Form 10-Q filed on September 12, 2000,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10.25</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First Amendment to Employment Agreement dated April 25, 2001 between the Company and Dennis R. Hernreich (included as Exhibit 10.23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Quarterly Report on Form 10-Q filed on June 19, 2001,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10.26</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Second Amendment to Employment Agreement dated as of January 10, 2003 between the Company and Dennis R. Hernreich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10.15 to the Company’s Annual Report on Form 10-K filed on May 5,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10.27</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Third Amendment to Employment Agreement, dated as of July 9, 2003, between the Company and Dennis R. Hernreich (included as Exhibit 10.3</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to the Company’s Quarterly Report on Form 10-Q filed on September 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10.28</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Fourth Amendment to Employment Agreement, dated as of June 29, 2004, between the Company and Dennis R. Hernreich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10.22 to the Company’s Annual Report on Form 10-K filed on April 11, 2005,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10.29</w:t>
            </w:r>
          </w:p>
        </w:tc>
        <w:tc>
          <w:tcPr>
            <w:tcW w:w="10640" w:type="dxa"/>
            <w:vAlign w:val="bottom"/>
          </w:tcPr>
          <w:p>
            <w:pPr>
              <w:ind w:left="160"/>
              <w:spacing w:after="0"/>
              <w:rPr>
                <w:sz w:val="20"/>
                <w:szCs w:val="20"/>
                <w:color w:val="auto"/>
              </w:rPr>
            </w:pPr>
            <w:r>
              <w:rPr>
                <w:rFonts w:ascii="Arial" w:cs="Arial" w:eastAsia="Arial" w:hAnsi="Arial"/>
                <w:sz w:val="18"/>
                <w:szCs w:val="18"/>
                <w:color w:val="auto"/>
              </w:rPr>
              <w:t>Fifth Amendment to Employment Agreement, dated as of May 9, 2005, between the Company and Dennis R. Hernreich.</w:t>
            </w:r>
          </w:p>
        </w:tc>
        <w:tc>
          <w:tcPr>
            <w:tcW w:w="200" w:type="dxa"/>
            <w:vAlign w:val="bottom"/>
          </w:tcPr>
          <w:p>
            <w:pPr>
              <w:spacing w:after="0"/>
              <w:rPr>
                <w:sz w:val="24"/>
                <w:szCs w:val="24"/>
                <w:color w:val="auto"/>
              </w:rPr>
            </w:pP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10.30</w:t>
            </w:r>
          </w:p>
        </w:tc>
        <w:tc>
          <w:tcPr>
            <w:tcW w:w="10640" w:type="dxa"/>
            <w:vAlign w:val="bottom"/>
          </w:tcPr>
          <w:p>
            <w:pPr>
              <w:ind w:left="160"/>
              <w:spacing w:after="0"/>
              <w:rPr>
                <w:sz w:val="20"/>
                <w:szCs w:val="20"/>
                <w:color w:val="auto"/>
              </w:rPr>
            </w:pPr>
            <w:r>
              <w:rPr>
                <w:rFonts w:ascii="Arial" w:cs="Arial" w:eastAsia="Arial" w:hAnsi="Arial"/>
                <w:sz w:val="18"/>
                <w:szCs w:val="18"/>
                <w:color w:val="auto"/>
                <w:w w:val="92"/>
              </w:rPr>
              <w:t>Employment Agreement dated as of July 9, 2003 between the Company and Linda Carlo (included as Exhibit 10.5 to the Company’s Quarterly</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Report on Form 10-Q filed on December 9,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10.31</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First Amendment to Employment Agreement, dated as of June 29, 2004, between the Company and Linda B. Carlo (included as Exhibit 10.24 to</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Company’s Annual Report on Form 10-K filed on April 11, 2005,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10.32</w:t>
            </w: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Severance Compensation Agreement dated as of May 7, 2002 by and between Casual Male Corp. and Joseph H. Cornely, III (included as Exhibit</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10.6 to the Company’s Quarterly Report on Form 10-Q filed on December 9,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10.33</w:t>
            </w:r>
          </w:p>
        </w:tc>
        <w:tc>
          <w:tcPr>
            <w:tcW w:w="10640" w:type="dxa"/>
            <w:vAlign w:val="bottom"/>
          </w:tcPr>
          <w:p>
            <w:pPr>
              <w:ind w:left="160"/>
              <w:spacing w:after="0"/>
              <w:rPr>
                <w:sz w:val="20"/>
                <w:szCs w:val="20"/>
                <w:color w:val="auto"/>
              </w:rPr>
            </w:pPr>
            <w:r>
              <w:rPr>
                <w:rFonts w:ascii="Arial" w:cs="Arial" w:eastAsia="Arial" w:hAnsi="Arial"/>
                <w:sz w:val="18"/>
                <w:szCs w:val="18"/>
                <w:color w:val="auto"/>
                <w:w w:val="94"/>
              </w:rPr>
              <w:t>Employment Agreement dated October 29, 2004 between the Company and Robert L. Sockolov (included as Exhibit 99.1 to the Company’s</w:t>
            </w:r>
          </w:p>
        </w:tc>
        <w:tc>
          <w:tcPr>
            <w:tcW w:w="20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Current Report on Form 8-K filed on November 4, 2004,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jc w:val="right"/>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2" w:name="page23"/>
    <w:bookmarkEnd w:id="22"/>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10.34</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Employment Agreement dated March 9, 2005 between the Company and Ronald Ramseyer (included as Exhibit 10.27 to the Company’s Annual</w:t>
            </w:r>
          </w:p>
        </w:tc>
        <w:tc>
          <w:tcPr>
            <w:tcW w:w="2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Report on Form 10-K filed on April 11, 2005,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10.35</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Asset Purchase Agreement entered into as of May 2, 2002, by and among the Company and Casual Male Corp. and certain subsidiaries (included</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as Exhibit 10.1 to the Company’s Current Report 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10.36</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Amended and Restated Note Agreement, dated as of April 26, 2002, and amended and restated as of May 14, 2002, among the Company, certain</w:t>
            </w:r>
          </w:p>
        </w:tc>
        <w:tc>
          <w:tcPr>
            <w:tcW w:w="2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subsidiaries of the Company and the purchasers identified therein (included as Exhibit 10.2 to the Company’s Current Report on Form 8-K filed on</w:t>
            </w:r>
          </w:p>
        </w:tc>
        <w:tc>
          <w:tcPr>
            <w:tcW w:w="2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10.37</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Form of Warrant to Purchase Shares of Common Stock (aggregating 787,500 shares) (included as Exhibit 10.5 to the Company’s Current Report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10.38</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Form of Warrant to Purchase Shares of Common Stock (aggregating 927,500 shares) (included as Exhibit 10.6 to the Company’s Current Report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10.39</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Form of Warrant to Purchase Shares of Common Stock (aggregating 1,176,471 shares) (included as Exhibit 10.7 to the Company’s Current Report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10.40</w:t>
            </w:r>
          </w:p>
        </w:tc>
        <w:tc>
          <w:tcPr>
            <w:tcW w:w="10620" w:type="dxa"/>
            <w:vAlign w:val="bottom"/>
          </w:tcPr>
          <w:p>
            <w:pPr>
              <w:ind w:left="160"/>
              <w:spacing w:after="0"/>
              <w:rPr>
                <w:sz w:val="20"/>
                <w:szCs w:val="20"/>
                <w:color w:val="auto"/>
              </w:rPr>
            </w:pPr>
            <w:r>
              <w:rPr>
                <w:rFonts w:ascii="Arial" w:cs="Arial" w:eastAsia="Arial" w:hAnsi="Arial"/>
                <w:sz w:val="18"/>
                <w:szCs w:val="18"/>
                <w:color w:val="auto"/>
                <w:w w:val="92"/>
              </w:rPr>
              <w:t>Registration Rights Agreement entered into as of April 26, 2002, by and between the Company and the persons identified therein (included as</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Exhibit 10.8 to the Company’s Current Report 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10.41</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Purchase Agreement dated November 12, 2003 by and between the Company and Thomas Weisel Partners LLC (included as Exhibit 10.3 to the</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Company’s Quarterly Report on Form 10-Q filed on December 9, 2003,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10.42</w:t>
            </w:r>
          </w:p>
        </w:tc>
        <w:tc>
          <w:tcPr>
            <w:tcW w:w="10620" w:type="dxa"/>
            <w:vAlign w:val="bottom"/>
          </w:tcPr>
          <w:p>
            <w:pPr>
              <w:ind w:left="160"/>
              <w:spacing w:after="0"/>
              <w:rPr>
                <w:sz w:val="20"/>
                <w:szCs w:val="20"/>
                <w:color w:val="auto"/>
              </w:rPr>
            </w:pPr>
            <w:r>
              <w:rPr>
                <w:rFonts w:ascii="Arial" w:cs="Arial" w:eastAsia="Arial" w:hAnsi="Arial"/>
                <w:sz w:val="18"/>
                <w:szCs w:val="18"/>
                <w:color w:val="auto"/>
                <w:w w:val="91"/>
              </w:rPr>
              <w:t>Registration Rights Agreement dated November 18, 2003 by and between the Company And Thomas Weisel Partners LLC (included as Exhibit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10.4 to the Company’s Quarterly Report on Form 10-Q filed on December 9, 2003,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10.43</w:t>
            </w:r>
          </w:p>
        </w:tc>
        <w:tc>
          <w:tcPr>
            <w:tcW w:w="10620" w:type="dxa"/>
            <w:vAlign w:val="bottom"/>
          </w:tcPr>
          <w:p>
            <w:pPr>
              <w:ind w:left="160"/>
              <w:spacing w:after="0"/>
              <w:rPr>
                <w:sz w:val="20"/>
                <w:szCs w:val="20"/>
                <w:color w:val="auto"/>
              </w:rPr>
            </w:pPr>
            <w:r>
              <w:rPr>
                <w:rFonts w:ascii="Arial" w:cs="Arial" w:eastAsia="Arial" w:hAnsi="Arial"/>
                <w:sz w:val="18"/>
                <w:szCs w:val="18"/>
                <w:color w:val="auto"/>
                <w:w w:val="93"/>
              </w:rPr>
              <w:t>Form of Warrant to Purchase Shares of Common Stock (aggregating 500,000 shares) (included as Exhibit 10.31 to the Company’s Quarterly</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Report on Form 10-Q filed on September 17,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10.44</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Asset Purchase Agreement by and among the Company and Rochester Big &amp; Tall Clothing, Inc., dated as of August 18, 2004 (included as Exhibit</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10.3 to the Company’s Quarterly Report on Form 10-Q filed on December 9, 2004,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10.45</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Asset Purchase Agreement by and among the Company, Designs JV, LLC, Designs Apparel, Inc. and Hub Holding Corp., dated as of November</w:t>
            </w:r>
          </w:p>
        </w:tc>
        <w:tc>
          <w:tcPr>
            <w:tcW w:w="2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93"/>
              </w:rPr>
              <w:t>24, 2004 (included as Exhibit 10.4 to the Company’s Quarterly Report on Form 10-Q filed on December 9, 2004, and incorporated herein by</w:t>
            </w:r>
          </w:p>
        </w:tc>
        <w:tc>
          <w:tcPr>
            <w:tcW w:w="2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10.46</w:t>
            </w:r>
          </w:p>
        </w:tc>
        <w:tc>
          <w:tcPr>
            <w:tcW w:w="10620" w:type="dxa"/>
            <w:vAlign w:val="bottom"/>
          </w:tcPr>
          <w:p>
            <w:pPr>
              <w:ind w:left="160"/>
              <w:spacing w:after="0"/>
              <w:rPr>
                <w:sz w:val="20"/>
                <w:szCs w:val="20"/>
                <w:color w:val="auto"/>
              </w:rPr>
            </w:pPr>
            <w:r>
              <w:rPr>
                <w:rFonts w:ascii="Arial" w:cs="Arial" w:eastAsia="Arial" w:hAnsi="Arial"/>
                <w:sz w:val="18"/>
                <w:szCs w:val="18"/>
                <w:color w:val="auto"/>
                <w:w w:val="94"/>
              </w:rPr>
              <w:t>Contribution Agreement dated January 30, 2006 by and among the Company, Spirit SPE Canton, LLC and Spirit Finance Acquisitions, LLC</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95"/>
              </w:rPr>
              <w:t>(included as Exhibit 10.1 to the Company’s 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10.47</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Membership Interest Purchase Agreement dated January 30, 2006 by and between the Company and Spirit Finance Acquisitions, LLC (included as</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Exhibit 10.2 to the Company’s 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3" w:name="page24"/>
    <w:bookmarkEnd w:id="23"/>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10.48</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Lease Agreement dated February 1, 2006 by and between the Company and Spirit SPE Canton, LLC (included as Exhibit 10.3 to the Company’s</w:t>
            </w:r>
          </w:p>
        </w:tc>
        <w:tc>
          <w:tcPr>
            <w:tcW w:w="2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80" w:type="dxa"/>
            <w:vAlign w:val="bottom"/>
          </w:tcPr>
          <w:p>
            <w:pPr>
              <w:spacing w:after="0"/>
              <w:rPr>
                <w:sz w:val="20"/>
                <w:szCs w:val="20"/>
                <w:color w:val="auto"/>
              </w:rPr>
            </w:pPr>
            <w:r>
              <w:rPr>
                <w:rFonts w:ascii="Arial" w:cs="Arial" w:eastAsia="Arial" w:hAnsi="Arial"/>
                <w:sz w:val="18"/>
                <w:szCs w:val="18"/>
                <w:color w:val="auto"/>
              </w:rPr>
              <w:t>10.49</w:t>
            </w:r>
          </w:p>
        </w:tc>
        <w:tc>
          <w:tcPr>
            <w:tcW w:w="10620" w:type="dxa"/>
            <w:vAlign w:val="bottom"/>
          </w:tcPr>
          <w:p>
            <w:pPr>
              <w:ind w:left="160"/>
              <w:spacing w:after="0"/>
              <w:rPr>
                <w:sz w:val="20"/>
                <w:szCs w:val="20"/>
                <w:color w:val="auto"/>
              </w:rPr>
            </w:pPr>
            <w:r>
              <w:rPr>
                <w:rFonts w:ascii="Arial" w:cs="Arial" w:eastAsia="Arial" w:hAnsi="Arial"/>
                <w:sz w:val="18"/>
                <w:szCs w:val="18"/>
                <w:color w:val="auto"/>
                <w:w w:val="92"/>
              </w:rPr>
              <w:t>Buying Agency Agreement effective November 16, 2005 by and between Designs Apparel, Inc. and Li &amp; Fung (included as Exhibit 10.47 to the</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Company’s Annual Report on Form 10K filed on March 31,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80" w:type="dxa"/>
            <w:vAlign w:val="bottom"/>
          </w:tcPr>
          <w:p>
            <w:pPr>
              <w:spacing w:after="0"/>
              <w:rPr>
                <w:sz w:val="20"/>
                <w:szCs w:val="20"/>
                <w:color w:val="auto"/>
              </w:rPr>
            </w:pPr>
            <w:r>
              <w:rPr>
                <w:rFonts w:ascii="Arial" w:cs="Arial" w:eastAsia="Arial" w:hAnsi="Arial"/>
                <w:sz w:val="18"/>
                <w:szCs w:val="18"/>
                <w:color w:val="auto"/>
              </w:rPr>
              <w:t>21.1</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Subsidiaries of the Registrant (included as Exhibit 21.1 to the Company’s Annual Report on Form 10K filed on March 31, 2006, and incorporated</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10620" w:type="dxa"/>
            <w:vAlign w:val="bottom"/>
          </w:tcPr>
          <w:p>
            <w:pPr>
              <w:ind w:left="160"/>
              <w:spacing w:after="0"/>
              <w:rPr>
                <w:sz w:val="20"/>
                <w:szCs w:val="20"/>
                <w:color w:val="auto"/>
              </w:rPr>
            </w:pPr>
            <w:r>
              <w:rPr>
                <w:rFonts w:ascii="Arial" w:cs="Arial" w:eastAsia="Arial" w:hAnsi="Arial"/>
                <w:sz w:val="18"/>
                <w:szCs w:val="18"/>
                <w:color w:val="auto"/>
                <w:w w:val="93"/>
              </w:rPr>
              <w:t>Consent of Independent Registered Public Accounting Firm (included as Exhibit 23.1 to the Company’s Annual Report on Form 10K filed on</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March 31,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160"/>
              <w:spacing w:after="0"/>
              <w:rPr>
                <w:sz w:val="20"/>
                <w:szCs w:val="20"/>
                <w:color w:val="auto"/>
              </w:rPr>
            </w:pPr>
            <w:r>
              <w:rPr>
                <w:rFonts w:ascii="Arial" w:cs="Arial" w:eastAsia="Arial" w:hAnsi="Arial"/>
                <w:sz w:val="18"/>
                <w:szCs w:val="18"/>
                <w:color w:val="auto"/>
              </w:rPr>
              <w:t>Certification of Chief Executive Officer of the Company pursuant to Rule 13a-14(a) under the Securities Exchange Act of 1934.</w:t>
            </w:r>
          </w:p>
        </w:tc>
        <w:tc>
          <w:tcPr>
            <w:tcW w:w="220" w:type="dxa"/>
            <w:vAlign w:val="bottom"/>
          </w:tcPr>
          <w:p>
            <w:pPr>
              <w:spacing w:after="0"/>
              <w:rPr>
                <w:sz w:val="24"/>
                <w:szCs w:val="24"/>
                <w:color w:val="auto"/>
              </w:rPr>
            </w:pPr>
          </w:p>
        </w:tc>
      </w:tr>
      <w:tr>
        <w:trPr>
          <w:trHeight w:val="284"/>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160"/>
              <w:spacing w:after="0"/>
              <w:rPr>
                <w:sz w:val="20"/>
                <w:szCs w:val="20"/>
                <w:color w:val="auto"/>
              </w:rPr>
            </w:pPr>
            <w:r>
              <w:rPr>
                <w:rFonts w:ascii="Arial" w:cs="Arial" w:eastAsia="Arial" w:hAnsi="Arial"/>
                <w:sz w:val="18"/>
                <w:szCs w:val="18"/>
                <w:color w:val="auto"/>
              </w:rPr>
              <w:t>Certification of Chief Financial Officer of the Company pursuant to Rule 13a-14(a) under the Securities Exchange Act of 1934.</w:t>
            </w:r>
          </w:p>
        </w:tc>
        <w:tc>
          <w:tcPr>
            <w:tcW w:w="220" w:type="dxa"/>
            <w:vAlign w:val="bottom"/>
          </w:tcPr>
          <w:p>
            <w:pPr>
              <w:spacing w:after="0"/>
              <w:rPr>
                <w:sz w:val="24"/>
                <w:szCs w:val="24"/>
                <w:color w:val="auto"/>
              </w:rPr>
            </w:pPr>
          </w:p>
        </w:tc>
      </w:tr>
      <w:tr>
        <w:trPr>
          <w:trHeight w:val="277"/>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16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 Act of</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92"/>
              </w:rPr>
              <w:t>2002 (included as Exhibit 32.1 to the Company’s Annual Report on Form 10K filed on March 31,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10620" w:type="dxa"/>
            <w:vAlign w:val="bottom"/>
          </w:tcPr>
          <w:p>
            <w:pPr>
              <w:ind w:left="16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 of 2002</w:t>
            </w:r>
          </w:p>
        </w:tc>
        <w:tc>
          <w:tcPr>
            <w:tcW w:w="22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96"/>
              </w:rPr>
              <w:t>(included as Exhibit 32.2 to the Company’s Annual Report on Form 10K filed on March 31,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Securities and Exchange Commission.</w:t>
      </w:r>
    </w:p>
    <w:p>
      <w:pPr>
        <w:sectPr>
          <w:pgSz w:w="11900" w:h="16838" w:orient="portrait"/>
          <w:cols w:equalWidth="0" w:num="1">
            <w:col w:w="11420"/>
          </w:cols>
          <w:pgMar w:left="240" w:top="280"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30, 2006</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80"/>
          </w:cols>
          <w:pgMar w:left="240" w:top="280" w:right="2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WHEREAS, Casual Male Retail Group, Inc., (formerly Designs, Inc., “CMRG”) and David A. Levin (“Executive”) entered into a certain Employment Agreement dated as of March 31, 2000, as amended by Letter Agreement dated April 10, 2001, Second Amendment to Employment Agreement dated January 30, 2003, Third Amendment to Employment Agreement dated July 9, 2003 and by Fourth Amendment to Employment Agreement dated as of June 29, 2004 (hereinafter referred to as the “Agreement”); and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5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3 of the Agreement is hereby deleted in its entirety and the following is hereby substituted in lieu thereof:</w:t>
      </w:r>
    </w:p>
    <w:p>
      <w:pPr>
        <w:spacing w:after="0" w:line="2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COMPENSATION</w:t>
      </w:r>
    </w:p>
    <w:p>
      <w:pPr>
        <w:spacing w:after="0" w:line="90"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As Compensation for the employment services to be rendered by the Executive hereunder; the Company agrees to pay to Executive, and Executive agrees to accept, payable in equal installments in accordance with Company practice an annual base salary of $600,000, effective as of May 9, 2005.”</w:t>
      </w:r>
    </w:p>
    <w:p>
      <w:pPr>
        <w:spacing w:after="0" w:line="59" w:lineRule="exact"/>
        <w:rPr>
          <w:sz w:val="20"/>
          <w:szCs w:val="20"/>
          <w:color w:val="auto"/>
        </w:rPr>
      </w:pPr>
    </w:p>
    <w:p>
      <w:pPr>
        <w:ind w:left="460" w:right="2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extent modified and amended herein.</w:t>
      </w:r>
    </w:p>
    <w:p>
      <w:pPr>
        <w:spacing w:after="0" w:line="132"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IN WITNESS WHEREOF, the parties hereto have executed this Fifth Amendment to Employment Agreement as a sealed instrument, in any number of counterpart copies, each of which shall be deemed an original for all purposes, as of the day and year first written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CASUAL MALE RETAIL GROUP, INC. (Company)</w:t>
            </w: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3"/>
        </w:trPr>
        <w:tc>
          <w:tcPr>
            <w:tcW w:w="4720" w:type="dxa"/>
            <w:vAlign w:val="bottom"/>
            <w:gridSpan w:val="2"/>
          </w:tcPr>
          <w:p>
            <w:pPr>
              <w:spacing w:after="0"/>
              <w:rPr>
                <w:sz w:val="20"/>
                <w:szCs w:val="20"/>
                <w:color w:val="auto"/>
              </w:rPr>
            </w:pPr>
            <w:r>
              <w:rPr>
                <w:rFonts w:ascii="Arial" w:cs="Arial" w:eastAsia="Arial" w:hAnsi="Arial"/>
                <w:sz w:val="18"/>
                <w:szCs w:val="18"/>
                <w:color w:val="auto"/>
              </w:rPr>
              <w:t>By:  /s/ DENNIS R. HERNREICH</w:t>
            </w:r>
          </w:p>
        </w:tc>
        <w:tc>
          <w:tcPr>
            <w:tcW w:w="2140" w:type="dxa"/>
            <w:vAlign w:val="bottom"/>
            <w:gridSpan w:val="2"/>
          </w:tcPr>
          <w:p>
            <w:pPr>
              <w:ind w:left="1020"/>
              <w:spacing w:after="0"/>
              <w:rPr>
                <w:sz w:val="20"/>
                <w:szCs w:val="20"/>
                <w:color w:val="auto"/>
              </w:rPr>
            </w:pPr>
            <w:r>
              <w:rPr>
                <w:rFonts w:ascii="Arial" w:cs="Arial" w:eastAsia="Arial" w:hAnsi="Arial"/>
                <w:sz w:val="18"/>
                <w:szCs w:val="18"/>
                <w:color w:val="auto"/>
              </w:rPr>
              <w:t>May 27, 2005</w:t>
            </w:r>
          </w:p>
        </w:tc>
      </w:tr>
      <w:tr>
        <w:trPr>
          <w:trHeight w:val="20"/>
        </w:trPr>
        <w:tc>
          <w:tcPr>
            <w:tcW w:w="38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Dennis R. Hernreich</w:t>
            </w:r>
          </w:p>
        </w:tc>
        <w:tc>
          <w:tcPr>
            <w:tcW w:w="2140" w:type="dxa"/>
            <w:vAlign w:val="bottom"/>
            <w:gridSpan w:val="2"/>
          </w:tcPr>
          <w:p>
            <w:pPr>
              <w:ind w:left="1020"/>
              <w:spacing w:after="0"/>
              <w:rPr>
                <w:sz w:val="20"/>
                <w:szCs w:val="20"/>
                <w:color w:val="auto"/>
              </w:rPr>
            </w:pPr>
            <w:r>
              <w:rPr>
                <w:rFonts w:ascii="Arial" w:cs="Arial" w:eastAsia="Arial" w:hAnsi="Arial"/>
                <w:sz w:val="18"/>
                <w:szCs w:val="18"/>
                <w:color w:val="auto"/>
              </w:rPr>
              <w:t>Date</w:t>
            </w:r>
          </w:p>
        </w:tc>
      </w:tr>
      <w:tr>
        <w:trPr>
          <w:trHeight w:val="216"/>
        </w:trPr>
        <w:tc>
          <w:tcPr>
            <w:tcW w:w="3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Executive Vice President, Chief Operating Officer,</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2"/>
        </w:trPr>
        <w:tc>
          <w:tcPr>
            <w:tcW w:w="3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3"/>
        </w:trPr>
        <w:tc>
          <w:tcPr>
            <w:tcW w:w="3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 DAVID A. LEVIN</w:t>
            </w:r>
          </w:p>
        </w:tc>
        <w:tc>
          <w:tcPr>
            <w:tcW w:w="2140" w:type="dxa"/>
            <w:vAlign w:val="bottom"/>
            <w:gridSpan w:val="2"/>
          </w:tcPr>
          <w:p>
            <w:pPr>
              <w:ind w:left="1020"/>
              <w:spacing w:after="0"/>
              <w:rPr>
                <w:sz w:val="20"/>
                <w:szCs w:val="20"/>
                <w:color w:val="auto"/>
              </w:rPr>
            </w:pPr>
            <w:r>
              <w:rPr>
                <w:rFonts w:ascii="Arial" w:cs="Arial" w:eastAsia="Arial" w:hAnsi="Arial"/>
                <w:sz w:val="18"/>
                <w:szCs w:val="18"/>
                <w:color w:val="auto"/>
              </w:rPr>
              <w:t>May 27, 2005</w:t>
            </w:r>
          </w:p>
        </w:tc>
      </w:tr>
      <w:tr>
        <w:trPr>
          <w:trHeight w:val="20"/>
        </w:trPr>
        <w:tc>
          <w:tcPr>
            <w:tcW w:w="38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David A. Levin</w:t>
            </w:r>
          </w:p>
        </w:tc>
        <w:tc>
          <w:tcPr>
            <w:tcW w:w="2140" w:type="dxa"/>
            <w:vAlign w:val="bottom"/>
            <w:gridSpan w:val="2"/>
          </w:tcPr>
          <w:p>
            <w:pPr>
              <w:ind w:left="10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10.29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6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WHEREAS, Casual Male Retail Group, Inc., (formerly Designs, Inc., “CMRG”) and Dennis R. Hernreich (“Executive”) entered into a certain Employment Agreement dated as of August 14, 2000, as amended by Letter Agreement dated April 25, 2001, Second Amendment to Employment Agreement dated January 30, 2003, Third Amendment to Employment Agreement dated July 9, 2003 and by Fourth Amendment to Employment Agreement dated June 29, 2004 (hereinafter referred to as the “Agreement”); and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5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3(a) of the Agreement is hereby deleted in its entirety and the following is hereby substituted in lieu thereof:</w:t>
      </w:r>
    </w:p>
    <w:p>
      <w:pPr>
        <w:spacing w:after="0" w:line="293"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COMPENSATION</w:t>
      </w:r>
    </w:p>
    <w:p>
      <w:pPr>
        <w:spacing w:after="0" w:line="90" w:lineRule="exact"/>
        <w:rPr>
          <w:sz w:val="20"/>
          <w:szCs w:val="20"/>
          <w:color w:val="auto"/>
        </w:rPr>
      </w:pPr>
    </w:p>
    <w:p>
      <w:pPr>
        <w:ind w:left="920" w:right="260" w:firstLine="1"/>
        <w:spacing w:after="0" w:line="259" w:lineRule="auto"/>
        <w:tabs>
          <w:tab w:leader="none" w:pos="11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the Executive hereunder, the Company agrees to pay to Executive, and Executive agrees to accept, payable in equal installments in accordance with Company practice, an annual base salary of $460,000, effective as of May 9, 2005.”</w:t>
      </w:r>
    </w:p>
    <w:p>
      <w:pPr>
        <w:spacing w:after="0" w:line="59"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extend modified and amended herein.</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WITNESS WHEREOF, the parties hereto have executed this Fifth Amendment to Employment Agreement as a sealed instrument, in any number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counterpart copies, each of which shall be deemed an original for all purposes, as of May 9, 2005.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CASUAL MALE RETAIL GROUP, INC. (Company)</w:t>
            </w: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3"/>
        </w:trPr>
        <w:tc>
          <w:tcPr>
            <w:tcW w:w="4720" w:type="dxa"/>
            <w:vAlign w:val="bottom"/>
            <w:gridSpan w:val="2"/>
          </w:tcPr>
          <w:p>
            <w:pPr>
              <w:spacing w:after="0"/>
              <w:rPr>
                <w:sz w:val="20"/>
                <w:szCs w:val="20"/>
                <w:color w:val="auto"/>
              </w:rPr>
            </w:pPr>
            <w:r>
              <w:rPr>
                <w:rFonts w:ascii="Arial" w:cs="Arial" w:eastAsia="Arial" w:hAnsi="Arial"/>
                <w:sz w:val="18"/>
                <w:szCs w:val="18"/>
                <w:color w:val="auto"/>
              </w:rPr>
              <w:t>By:  /s/ DAVID A. LEVIN</w:t>
            </w:r>
          </w:p>
        </w:tc>
        <w:tc>
          <w:tcPr>
            <w:tcW w:w="2140" w:type="dxa"/>
            <w:vAlign w:val="bottom"/>
            <w:gridSpan w:val="2"/>
          </w:tcPr>
          <w:p>
            <w:pPr>
              <w:ind w:left="1020"/>
              <w:spacing w:after="0"/>
              <w:rPr>
                <w:sz w:val="20"/>
                <w:szCs w:val="20"/>
                <w:color w:val="auto"/>
              </w:rPr>
            </w:pPr>
            <w:r>
              <w:rPr>
                <w:rFonts w:ascii="Arial" w:cs="Arial" w:eastAsia="Arial" w:hAnsi="Arial"/>
                <w:sz w:val="18"/>
                <w:szCs w:val="18"/>
                <w:color w:val="auto"/>
              </w:rPr>
              <w:t>May 27, 2005</w:t>
            </w:r>
          </w:p>
        </w:tc>
      </w:tr>
      <w:tr>
        <w:trPr>
          <w:trHeight w:val="20"/>
        </w:trPr>
        <w:tc>
          <w:tcPr>
            <w:tcW w:w="38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David A. Levin</w:t>
            </w:r>
          </w:p>
        </w:tc>
        <w:tc>
          <w:tcPr>
            <w:tcW w:w="2140" w:type="dxa"/>
            <w:vAlign w:val="bottom"/>
            <w:gridSpan w:val="2"/>
          </w:tcPr>
          <w:p>
            <w:pPr>
              <w:ind w:left="1020"/>
              <w:spacing w:after="0"/>
              <w:rPr>
                <w:sz w:val="20"/>
                <w:szCs w:val="20"/>
                <w:color w:val="auto"/>
              </w:rPr>
            </w:pPr>
            <w:r>
              <w:rPr>
                <w:rFonts w:ascii="Arial" w:cs="Arial" w:eastAsia="Arial" w:hAnsi="Arial"/>
                <w:sz w:val="18"/>
                <w:szCs w:val="18"/>
                <w:color w:val="auto"/>
              </w:rPr>
              <w:t>Date</w:t>
            </w:r>
          </w:p>
        </w:tc>
      </w:tr>
      <w:tr>
        <w:trPr>
          <w:trHeight w:val="222"/>
        </w:trPr>
        <w:tc>
          <w:tcPr>
            <w:tcW w:w="3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2"/>
        </w:trPr>
        <w:tc>
          <w:tcPr>
            <w:tcW w:w="3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3"/>
        </w:trPr>
        <w:tc>
          <w:tcPr>
            <w:tcW w:w="3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 DENNIS R. HERNREICH</w:t>
            </w:r>
          </w:p>
        </w:tc>
        <w:tc>
          <w:tcPr>
            <w:tcW w:w="2140" w:type="dxa"/>
            <w:vAlign w:val="bottom"/>
            <w:gridSpan w:val="2"/>
          </w:tcPr>
          <w:p>
            <w:pPr>
              <w:ind w:left="1020"/>
              <w:spacing w:after="0"/>
              <w:rPr>
                <w:sz w:val="20"/>
                <w:szCs w:val="20"/>
                <w:color w:val="auto"/>
              </w:rPr>
            </w:pPr>
            <w:r>
              <w:rPr>
                <w:rFonts w:ascii="Arial" w:cs="Arial" w:eastAsia="Arial" w:hAnsi="Arial"/>
                <w:sz w:val="18"/>
                <w:szCs w:val="18"/>
                <w:color w:val="auto"/>
              </w:rPr>
              <w:t>May 27, 2005</w:t>
            </w:r>
          </w:p>
        </w:tc>
      </w:tr>
      <w:tr>
        <w:trPr>
          <w:trHeight w:val="20"/>
        </w:trPr>
        <w:tc>
          <w:tcPr>
            <w:tcW w:w="38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Dennis R. Hernreich</w:t>
            </w:r>
          </w:p>
        </w:tc>
        <w:tc>
          <w:tcPr>
            <w:tcW w:w="2140" w:type="dxa"/>
            <w:vAlign w:val="bottom"/>
            <w:gridSpan w:val="2"/>
          </w:tcPr>
          <w:p>
            <w:pPr>
              <w:ind w:left="10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180" w:hanging="167"/>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the Form 10-K/A (Amendment No. 1) of Casual Male Retail Group, Inc.;</w:t>
      </w:r>
    </w:p>
    <w:p>
      <w:pPr>
        <w:spacing w:after="0" w:line="171" w:lineRule="exact"/>
        <w:rPr>
          <w:rFonts w:ascii="Arial" w:cs="Arial" w:eastAsia="Arial" w:hAnsi="Arial"/>
          <w:sz w:val="18"/>
          <w:szCs w:val="18"/>
          <w:color w:val="auto"/>
        </w:rPr>
      </w:pPr>
    </w:p>
    <w:p>
      <w:pPr>
        <w:ind w:right="160" w:firstLine="8"/>
        <w:spacing w:after="0" w:line="332" w:lineRule="auto"/>
        <w:tabs>
          <w:tab w:leader="none" w:pos="1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such report does not contain any untrue statement of a material fact or omit to state a material fact necessary to make the statements made, in light of the circumstances under which such statements were made, not misleading with respect to the period covered by such report.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30,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180" w:hanging="167"/>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the Form 10-K/A (Amendment No. 1) of Casual Male Retail Group, Inc.;</w:t>
      </w:r>
    </w:p>
    <w:p>
      <w:pPr>
        <w:spacing w:after="0" w:line="171" w:lineRule="exact"/>
        <w:rPr>
          <w:rFonts w:ascii="Arial" w:cs="Arial" w:eastAsia="Arial" w:hAnsi="Arial"/>
          <w:sz w:val="18"/>
          <w:szCs w:val="18"/>
          <w:color w:val="auto"/>
        </w:rPr>
      </w:pPr>
    </w:p>
    <w:p>
      <w:pPr>
        <w:ind w:right="160" w:firstLine="8"/>
        <w:spacing w:after="0" w:line="332" w:lineRule="auto"/>
        <w:tabs>
          <w:tab w:leader="none" w:pos="1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such report does not contain any untrue statement of a material fact or omit to state a material fact necessary to make the statements made, in light of the circumstances under which such statements were made, not misleading with respect to the period covered by such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May 30,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2"/>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2"/>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2019-12-11T21:19:24Z</dcterms:created>
  <dcterms:modified xsi:type="dcterms:W3CDTF">2019-12-11T21:19:24Z</dcterms:modified>
</cp:coreProperties>
</file>