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148711302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2010</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31" w:lineRule="exact"/>
        <w:rPr>
          <w:sz w:val="24"/>
          <w:szCs w:val="24"/>
          <w:color w:val="auto"/>
        </w:rPr>
      </w:pPr>
    </w:p>
    <w:p>
      <w:pPr>
        <w:jc w:val="both"/>
        <w:ind w:right="9940" w:firstLine="8"/>
        <w:spacing w:after="0" w:line="431" w:lineRule="auto"/>
        <w:tabs>
          <w:tab w:leader="none" w:pos="446"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sz w:val="24"/>
          <w:szCs w:val="24"/>
          <w:color w:val="auto"/>
        </w:rPr>
      </w:pPr>
    </w:p>
    <w:p>
      <w:pPr>
        <w:ind w:right="180" w:firstLine="8"/>
        <w:spacing w:after="0" w:line="277"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6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Persons who respond to the collection of information contained in this form are not required to respond unless the form displays a currently valid OMD control number.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313055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22"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3"/>
          </w:tcPr>
          <w:p>
            <w:pPr>
              <w:jc w:val="right"/>
              <w:ind w:right="630"/>
              <w:spacing w:after="0"/>
              <w:rPr>
                <w:sz w:val="20"/>
                <w:szCs w:val="20"/>
                <w:color w:val="auto"/>
              </w:rPr>
            </w:pPr>
            <w:r>
              <w:rPr>
                <w:rFonts w:ascii="Arial" w:cs="Arial" w:eastAsia="Arial" w:hAnsi="Arial"/>
                <w:sz w:val="18"/>
                <w:szCs w:val="18"/>
                <w:color w:val="auto"/>
                <w:w w:val="99"/>
              </w:rPr>
              <w:t>148711302</w:t>
            </w:r>
          </w:p>
        </w:tc>
        <w:tc>
          <w:tcPr>
            <w:tcW w:w="8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40" w:type="dxa"/>
            <w:vAlign w:val="bottom"/>
            <w:tcBorders>
              <w:bottom w:val="single" w:sz="8" w:color="auto"/>
            </w:tcBorders>
            <w:gridSpan w:val="3"/>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Glenhill Advisors, LLC</w:t>
            </w:r>
          </w:p>
        </w:tc>
        <w:tc>
          <w:tcPr>
            <w:tcW w:w="0" w:type="dxa"/>
            <w:vAlign w:val="bottom"/>
          </w:tcPr>
          <w:p>
            <w:pPr>
              <w:spacing w:after="0"/>
              <w:rPr>
                <w:sz w:val="1"/>
                <w:szCs w:val="1"/>
                <w:color w:val="auto"/>
              </w:rPr>
            </w:pPr>
          </w:p>
        </w:tc>
      </w:tr>
      <w:tr>
        <w:trPr>
          <w:trHeight w:val="256"/>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40" w:type="dxa"/>
            <w:vAlign w:val="bottom"/>
            <w:tcBorders>
              <w:bottom w:val="single" w:sz="8" w:color="auto"/>
            </w:tcBorders>
            <w:gridSpan w:val="3"/>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30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40" w:type="dxa"/>
            <w:vAlign w:val="bottom"/>
            <w:tcBorders>
              <w:bottom w:val="single" w:sz="8" w:color="auto"/>
            </w:tcBorders>
            <w:gridSpan w:val="3"/>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Delaware</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3,783,690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3,783,690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3,783,690</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7.93%</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IA, HC</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830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3"/>
          </w:tcPr>
          <w:p>
            <w:pPr>
              <w:jc w:val="right"/>
              <w:ind w:right="630"/>
              <w:spacing w:after="0"/>
              <w:rPr>
                <w:sz w:val="20"/>
                <w:szCs w:val="20"/>
                <w:color w:val="auto"/>
              </w:rPr>
            </w:pPr>
            <w:r>
              <w:rPr>
                <w:rFonts w:ascii="Arial" w:cs="Arial" w:eastAsia="Arial" w:hAnsi="Arial"/>
                <w:sz w:val="18"/>
                <w:szCs w:val="18"/>
                <w:color w:val="auto"/>
                <w:w w:val="99"/>
              </w:rPr>
              <w:t>148711302</w:t>
            </w:r>
          </w:p>
        </w:tc>
        <w:tc>
          <w:tcPr>
            <w:tcW w:w="8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40" w:type="dxa"/>
            <w:vAlign w:val="bottom"/>
            <w:tcBorders>
              <w:bottom w:val="single" w:sz="8" w:color="auto"/>
            </w:tcBorders>
            <w:gridSpan w:val="3"/>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5"/>
              </w:rPr>
              <w:t>Glenn J. Krevlin</w:t>
            </w:r>
          </w:p>
        </w:tc>
        <w:tc>
          <w:tcPr>
            <w:tcW w:w="114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40" w:type="dxa"/>
            <w:vAlign w:val="bottom"/>
            <w:tcBorders>
              <w:bottom w:val="single" w:sz="8" w:color="auto"/>
            </w:tcBorders>
            <w:gridSpan w:val="3"/>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30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40" w:type="dxa"/>
            <w:vAlign w:val="bottom"/>
            <w:tcBorders>
              <w:bottom w:val="single" w:sz="8" w:color="auto"/>
            </w:tcBorders>
            <w:gridSpan w:val="3"/>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rPr>
              <w:t>United States</w:t>
            </w: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3,783,690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3,783,690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3,783,690</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7.93%</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IN, HC</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830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3"/>
          </w:tcPr>
          <w:p>
            <w:pPr>
              <w:jc w:val="right"/>
              <w:ind w:right="630"/>
              <w:spacing w:after="0"/>
              <w:rPr>
                <w:sz w:val="20"/>
                <w:szCs w:val="20"/>
                <w:color w:val="auto"/>
              </w:rPr>
            </w:pPr>
            <w:r>
              <w:rPr>
                <w:rFonts w:ascii="Arial" w:cs="Arial" w:eastAsia="Arial" w:hAnsi="Arial"/>
                <w:sz w:val="18"/>
                <w:szCs w:val="18"/>
                <w:color w:val="auto"/>
                <w:w w:val="99"/>
              </w:rPr>
              <w:t>148711302</w:t>
            </w:r>
          </w:p>
        </w:tc>
        <w:tc>
          <w:tcPr>
            <w:tcW w:w="8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40" w:type="dxa"/>
            <w:vAlign w:val="bottom"/>
            <w:tcBorders>
              <w:bottom w:val="single" w:sz="8" w:color="auto"/>
            </w:tcBorders>
            <w:gridSpan w:val="3"/>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Glenhill Capital Management, LLC</w:t>
            </w:r>
          </w:p>
        </w:tc>
        <w:tc>
          <w:tcPr>
            <w:tcW w:w="0" w:type="dxa"/>
            <w:vAlign w:val="bottom"/>
          </w:tcPr>
          <w:p>
            <w:pPr>
              <w:spacing w:after="0"/>
              <w:rPr>
                <w:sz w:val="1"/>
                <w:szCs w:val="1"/>
                <w:color w:val="auto"/>
              </w:rPr>
            </w:pPr>
          </w:p>
        </w:tc>
      </w:tr>
      <w:tr>
        <w:trPr>
          <w:trHeight w:val="256"/>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40" w:type="dxa"/>
            <w:vAlign w:val="bottom"/>
            <w:tcBorders>
              <w:bottom w:val="single" w:sz="8" w:color="auto"/>
            </w:tcBorders>
            <w:gridSpan w:val="3"/>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30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40" w:type="dxa"/>
            <w:vAlign w:val="bottom"/>
            <w:tcBorders>
              <w:bottom w:val="single" w:sz="8" w:color="auto"/>
            </w:tcBorders>
            <w:gridSpan w:val="3"/>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Delaware</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3,783,690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3,783,690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3,783,690</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7.93%</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IA, HC</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830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4" w:name="page5"/>
    <w:bookmarkEnd w:id="4"/>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r>
        <w:rPr>
          <w:rFonts w:ascii="Arial" w:cs="Arial" w:eastAsia="Arial" w:hAnsi="Arial"/>
          <w:sz w:val="18"/>
          <w:szCs w:val="18"/>
          <w:color w:val="auto"/>
        </w:rPr>
        <w:t>.</w:t>
      </w:r>
      <w:r>
        <w:rPr>
          <w:rFonts w:ascii="Arial" w:cs="Arial" w:eastAsia="Arial" w:hAnsi="Arial"/>
          <w:sz w:val="18"/>
          <w:szCs w:val="18"/>
          <w:b w:val="1"/>
          <w:bCs w:val="1"/>
          <w:color w:val="auto"/>
        </w:rPr>
        <w:t xml:space="preserve">  Name of Issuer:</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Casual Male Retail Group, Inc.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w:t>
      </w:r>
      <w:r>
        <w:rPr>
          <w:rFonts w:ascii="Arial" w:cs="Arial" w:eastAsia="Arial" w:hAnsi="Arial"/>
          <w:sz w:val="18"/>
          <w:szCs w:val="18"/>
          <w:color w:val="auto"/>
        </w:rPr>
        <w:t>.</w:t>
      </w:r>
      <w:r>
        <w:rPr>
          <w:rFonts w:ascii="Arial" w:cs="Arial" w:eastAsia="Arial" w:hAnsi="Arial"/>
          <w:sz w:val="18"/>
          <w:szCs w:val="18"/>
          <w:b w:val="1"/>
          <w:bCs w:val="1"/>
          <w:color w:val="auto"/>
        </w:rPr>
        <w:t xml:space="preserve">  Address of Issuer’s Principal Executive Offices:</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555 Turnpike Street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Canton, MA 02021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135" w:lineRule="exact"/>
        <w:rPr>
          <w:sz w:val="20"/>
          <w:szCs w:val="20"/>
          <w:color w:val="auto"/>
        </w:rPr>
      </w:pPr>
    </w:p>
    <w:p>
      <w:pPr>
        <w:ind w:left="880"/>
        <w:spacing w:after="0" w:line="276" w:lineRule="auto"/>
        <w:rPr>
          <w:sz w:val="20"/>
          <w:szCs w:val="20"/>
          <w:color w:val="auto"/>
        </w:rPr>
      </w:pPr>
      <w:r>
        <w:rPr>
          <w:rFonts w:ascii="Arial" w:cs="Arial" w:eastAsia="Arial" w:hAnsi="Arial"/>
          <w:sz w:val="17"/>
          <w:szCs w:val="17"/>
          <w:color w:val="auto"/>
        </w:rPr>
        <w:t>Glenhill Advisors, LLC, Glenn J. Krevlin and Glenhill Capital Management, LLC. Glenn J. Krevlin is the managing member and control person of Glenhill Advisors, LLC. Glenhill Advisors, LLC is the managing member of Glenhill Capital Management, LLC. Glenhill Capital Management, LLC is the general partner and investment advisor of Glenhill Capital LP, a security holder of the issuer, managing member of Glenhill Concentrated Long Master Fund, LLC, a security holder of the issuer, and sole shareholder of Glenhill Capital Overseas GP, Ltd. Glenhill Capital Overseas GP, Ltd. is general partner of Glenhill Capital Overseas Master Fund, LP, a security holder of the issuer.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156 West 56</w:t>
      </w:r>
      <w:r>
        <w:rPr>
          <w:rFonts w:ascii="Arial" w:cs="Arial" w:eastAsia="Arial" w:hAnsi="Arial"/>
          <w:sz w:val="15"/>
          <w:szCs w:val="15"/>
          <w:color w:val="auto"/>
        </w:rPr>
        <w:t>th</w:t>
      </w:r>
      <w:r>
        <w:rPr>
          <w:rFonts w:ascii="Arial" w:cs="Arial" w:eastAsia="Arial" w:hAnsi="Arial"/>
          <w:sz w:val="18"/>
          <w:szCs w:val="18"/>
          <w:color w:val="auto"/>
        </w:rPr>
        <w:t xml:space="preserve"> Street, 17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 York, NY 10019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See the response(s) to Item 4 on the attached cover page(s).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148711302</w:t>
      </w:r>
    </w:p>
    <w:p>
      <w:pPr>
        <w:spacing w:after="0" w:line="12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240" w:hanging="327"/>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5" w:name="page6"/>
    <w:bookmarkEnd w:id="5"/>
    <w:p>
      <w:pPr>
        <w:ind w:left="1120" w:hanging="315"/>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jc w:val="both"/>
        <w:ind w:left="1120"/>
        <w:spacing w:after="0" w:line="255" w:lineRule="auto"/>
        <w:rPr>
          <w:rFonts w:ascii="Arial" w:cs="Arial" w:eastAsia="Arial" w:hAnsi="Arial"/>
          <w:sz w:val="18"/>
          <w:szCs w:val="18"/>
          <w:color w:val="auto"/>
        </w:rPr>
      </w:pPr>
      <w:r>
        <w:rPr>
          <w:rFonts w:ascii="Arial" w:cs="Arial" w:eastAsia="Arial" w:hAnsi="Arial"/>
          <w:sz w:val="18"/>
          <w:szCs w:val="18"/>
          <w:color w:val="auto"/>
        </w:rPr>
        <w:t>See the response(s) to Item 11 on the attached cover page(s), which was determined by dividing the number of shares beneficially held by the Reporting Person by 47,709,124, the number of shares of common stock issued and outstanding as reported in the Issuer’s Form 10-Q/A filed with the Securities and Exchange Commission on December 8, 2010.</w:t>
      </w:r>
    </w:p>
    <w:p>
      <w:pPr>
        <w:spacing w:after="0" w:line="95" w:lineRule="exact"/>
        <w:rPr>
          <w:rFonts w:ascii="Arial" w:cs="Arial" w:eastAsia="Arial" w:hAnsi="Arial"/>
          <w:sz w:val="18"/>
          <w:szCs w:val="18"/>
          <w:color w:val="auto"/>
        </w:rPr>
      </w:pPr>
    </w:p>
    <w:p>
      <w:pPr>
        <w:ind w:left="1120" w:hanging="315"/>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520" w:hanging="378"/>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116" w:lineRule="exact"/>
        <w:rPr>
          <w:rFonts w:ascii="Arial" w:cs="Arial" w:eastAsia="Arial" w:hAnsi="Arial"/>
          <w:sz w:val="18"/>
          <w:szCs w:val="18"/>
          <w:color w:val="auto"/>
        </w:rPr>
      </w:pPr>
    </w:p>
    <w:p>
      <w:pPr>
        <w:ind w:left="1520" w:hanging="378"/>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116" w:lineRule="exact"/>
        <w:rPr>
          <w:rFonts w:ascii="Arial" w:cs="Arial" w:eastAsia="Arial" w:hAnsi="Arial"/>
          <w:sz w:val="18"/>
          <w:szCs w:val="18"/>
          <w:color w:val="auto"/>
        </w:rPr>
      </w:pPr>
    </w:p>
    <w:p>
      <w:pPr>
        <w:ind w:left="1520" w:hanging="378"/>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116" w:lineRule="exact"/>
        <w:rPr>
          <w:rFonts w:ascii="Arial" w:cs="Arial" w:eastAsia="Arial" w:hAnsi="Arial"/>
          <w:sz w:val="18"/>
          <w:szCs w:val="18"/>
          <w:color w:val="auto"/>
        </w:rPr>
      </w:pPr>
    </w:p>
    <w:p>
      <w:pPr>
        <w:ind w:left="1520" w:right="5540" w:hanging="378"/>
        <w:spacing w:after="0" w:line="342" w:lineRule="auto"/>
        <w:tabs>
          <w:tab w:leader="none" w:pos="1520" w:val="left"/>
        </w:tabs>
        <w:numPr>
          <w:ilvl w:val="1"/>
          <w:numId w:val="5"/>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the response(s) to Item 8 on the attached cover page(s).</w:t>
      </w:r>
    </w:p>
    <w:p>
      <w:pPr>
        <w:spacing w:after="0" w:line="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ind w:left="760" w:right="240" w:hanging="742"/>
        <w:spacing w:after="0" w:line="282" w:lineRule="auto"/>
        <w:tabs>
          <w:tab w:leader="none" w:pos="74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135" w:lineRule="exact"/>
        <w:rPr>
          <w:sz w:val="20"/>
          <w:szCs w:val="20"/>
          <w:color w:val="auto"/>
        </w:rPr>
      </w:pPr>
    </w:p>
    <w:p>
      <w:pPr>
        <w:ind w:left="760" w:right="1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044" w:right="319" w:bottom="1440" w:gutter="0" w:footer="0" w:header="0"/>
        </w:sectPr>
      </w:pPr>
    </w:p>
    <w:bookmarkStart w:id="6" w:name="page7"/>
    <w:bookmarkEnd w:id="6"/>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14, 2011</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GLENHILL ADVISORS, LLC</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GLENN J. KREVLIN</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Glenn J. Krevlin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-130810</wp:posOffset>
            </wp:positionV>
            <wp:extent cx="2761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80"/>
        <w:spacing w:after="0"/>
        <w:tabs>
          <w:tab w:leader="none" w:pos="604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/s/ GLENN J. KREVLIN</w:t>
      </w:r>
    </w:p>
    <w:p>
      <w:pPr>
        <w:spacing w:after="0" w:line="2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Glenn J. Krevlin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-130810</wp:posOffset>
            </wp:positionV>
            <wp:extent cx="2761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GLENHILL CAPITAL MANAGEMENT, LLC</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GLENHILL ADVISORS, LLC</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GLENN J. KREVLIN</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Glenn J. Krevlin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-130810</wp:posOffset>
            </wp:positionV>
            <wp:extent cx="27616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80"/>
        <w:spacing w:after="0"/>
        <w:tabs>
          <w:tab w:leader="none" w:pos="6040" w:val="left"/>
        </w:tabs>
        <w:rPr>
          <w:sz w:val="20"/>
          <w:szCs w:val="20"/>
          <w:color w:val="auto"/>
        </w:rPr>
      </w:pPr>
      <w:r>
        <w:rPr>
          <w:rFonts w:ascii="Arial" w:cs="Arial" w:eastAsia="Arial" w:hAnsi="Arial"/>
          <w:sz w:val="18"/>
          <w:szCs w:val="18"/>
          <w:color w:val="auto"/>
        </w:rPr>
        <w:t>Title:</w:t>
        <w:tab/>
        <w:t>Managing Member</w:t>
      </w:r>
    </w:p>
    <w:sectPr>
      <w:pgSz w:w="11900" w:h="16838" w:orient="portrait"/>
      <w:cols w:equalWidth="0" w:num="1">
        <w:col w:w="11060"/>
      </w:cols>
      <w:pgMar w:left="240" w:top="125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2019-12-10T08:43:41Z</dcterms:created>
  <dcterms:modified xsi:type="dcterms:W3CDTF">2019-12-10T08:43:41Z</dcterms:modified>
</cp:coreProperties>
</file>