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29,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tcPr>
          <w:p>
            <w:pPr>
              <w:jc w:val="right"/>
              <w:ind w:right="48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500" w:type="dxa"/>
            <w:vAlign w:val="bottom"/>
          </w:tcPr>
          <w:p>
            <w:pPr>
              <w:jc w:val="center"/>
              <w:ind w:left="346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500" w:type="dxa"/>
            <w:vAlign w:val="bottom"/>
          </w:tcPr>
          <w:p>
            <w:pPr>
              <w:spacing w:after="0"/>
              <w:rPr>
                <w:sz w:val="15"/>
                <w:szCs w:val="15"/>
                <w:color w:val="auto"/>
              </w:rPr>
            </w:pP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500" w:type="dxa"/>
            <w:vAlign w:val="bottom"/>
          </w:tcPr>
          <w:p>
            <w:pPr>
              <w:jc w:val="right"/>
              <w:ind w:right="682"/>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500" w:type="dxa"/>
            <w:vAlign w:val="bottom"/>
          </w:tcPr>
          <w:p>
            <w:pPr>
              <w:jc w:val="center"/>
              <w:ind w:left="348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500" w:type="dxa"/>
            <w:vAlign w:val="bottom"/>
          </w:tcPr>
          <w:p>
            <w:pPr>
              <w:jc w:val="right"/>
              <w:ind w:right="3322"/>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500" w:type="dxa"/>
            <w:vAlign w:val="bottom"/>
          </w:tcPr>
          <w:p>
            <w:pPr>
              <w:jc w:val="center"/>
              <w:ind w:right="232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4"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4"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October 29, 2011 was 48,479,069.</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PART I.</w:t>
            </w:r>
          </w:p>
        </w:tc>
        <w:tc>
          <w:tcPr>
            <w:tcW w:w="7960" w:type="dxa"/>
            <w:vAlign w:val="bottom"/>
          </w:tcPr>
          <w:p>
            <w:pPr>
              <w:ind w:left="200"/>
              <w:spacing w:after="0"/>
              <w:rPr>
                <w:sz w:val="20"/>
                <w:szCs w:val="20"/>
                <w:color w:val="auto"/>
              </w:rPr>
            </w:pPr>
            <w:r>
              <w:rPr>
                <w:rFonts w:ascii="Arial" w:cs="Arial" w:eastAsia="Arial" w:hAnsi="Arial"/>
                <w:sz w:val="18"/>
                <w:szCs w:val="18"/>
                <w:color w:val="auto"/>
              </w:rPr>
              <w:t>FINANCIAL INFORMATION</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96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60" w:type="dxa"/>
            <w:vAlign w:val="bottom"/>
          </w:tcPr>
          <w:p>
            <w:pPr>
              <w:jc w:val="center"/>
              <w:ind w:left="1692"/>
              <w:spacing w:after="0"/>
              <w:rPr>
                <w:sz w:val="20"/>
                <w:szCs w:val="20"/>
                <w:color w:val="auto"/>
              </w:rPr>
            </w:pPr>
            <w:r>
              <w:rPr>
                <w:rFonts w:ascii="Arial" w:cs="Arial" w:eastAsia="Arial" w:hAnsi="Arial"/>
                <w:sz w:val="18"/>
                <w:szCs w:val="18"/>
                <w:b w:val="1"/>
                <w:bCs w:val="1"/>
                <w:color w:val="auto"/>
                <w:w w:val="97"/>
              </w:rPr>
              <w:t>CASUAL MALE RETAIL GROUP, INC.</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60" w:type="dxa"/>
            <w:vAlign w:val="bottom"/>
          </w:tcPr>
          <w:p>
            <w:pPr>
              <w:jc w:val="center"/>
              <w:ind w:left="171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60" w:type="dxa"/>
            <w:vAlign w:val="bottom"/>
          </w:tcPr>
          <w:p>
            <w:pPr>
              <w:jc w:val="center"/>
              <w:ind w:left="1692"/>
              <w:spacing w:after="0"/>
              <w:rPr>
                <w:sz w:val="20"/>
                <w:szCs w:val="20"/>
                <w:color w:val="auto"/>
              </w:rPr>
            </w:pPr>
            <w:r>
              <w:rPr>
                <w:rFonts w:ascii="Arial" w:cs="Arial" w:eastAsia="Arial" w:hAnsi="Arial"/>
                <w:sz w:val="18"/>
                <w:szCs w:val="18"/>
                <w:color w:val="auto"/>
                <w:w w:val="85"/>
              </w:rPr>
              <w:t>(In thousands, except share data)</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October 29, 2011</w:t>
            </w:r>
          </w:p>
        </w:tc>
        <w:tc>
          <w:tcPr>
            <w:tcW w:w="28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w w:val="94"/>
              </w:rPr>
              <w:t>January 29,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90"/>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5,625</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3,577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0"/>
              </w:rPr>
              <w:t>Inventories</w:t>
            </w:r>
          </w:p>
        </w:tc>
        <w:tc>
          <w:tcPr>
            <w:tcW w:w="7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114,939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10,980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135,121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109,506</w:t>
            </w:r>
          </w:p>
        </w:tc>
        <w:tc>
          <w:tcPr>
            <w:tcW w:w="0" w:type="dxa"/>
            <w:vAlign w:val="bottom"/>
          </w:tcPr>
          <w:p>
            <w:pPr>
              <w:spacing w:after="0"/>
              <w:rPr>
                <w:sz w:val="1"/>
                <w:szCs w:val="1"/>
                <w:color w:val="auto"/>
              </w:rPr>
            </w:pPr>
          </w:p>
        </w:tc>
      </w:tr>
      <w:tr>
        <w:trPr>
          <w:trHeight w:val="322"/>
        </w:trPr>
        <w:tc>
          <w:tcPr>
            <w:tcW w:w="8800" w:type="dxa"/>
            <w:vAlign w:val="bottom"/>
            <w:gridSpan w:val="3"/>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44,172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4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31,882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0"/>
        </w:trPr>
        <w:tc>
          <w:tcPr>
            <w:tcW w:w="840" w:type="dxa"/>
            <w:vAlign w:val="bottom"/>
            <w:gridSpan w:val="2"/>
            <w:vMerge w:val="restart"/>
          </w:tcPr>
          <w:p>
            <w:pPr>
              <w:spacing w:after="0"/>
              <w:rPr>
                <w:sz w:val="20"/>
                <w:szCs w:val="20"/>
                <w:color w:val="auto"/>
              </w:rPr>
            </w:pPr>
            <w:r>
              <w:rPr>
                <w:rFonts w:ascii="Arial" w:cs="Arial" w:eastAsia="Arial" w:hAnsi="Arial"/>
                <w:sz w:val="18"/>
                <w:szCs w:val="18"/>
                <w:color w:val="auto"/>
                <w:w w:val="84"/>
              </w:rPr>
              <w:t>Total assets</w:t>
            </w:r>
          </w:p>
        </w:tc>
        <w:tc>
          <w:tcPr>
            <w:tcW w:w="7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gridSpan w:val="2"/>
            <w:vMerge w:val="continue"/>
          </w:tcPr>
          <w:p>
            <w:pPr>
              <w:spacing w:after="0"/>
              <w:rPr>
                <w:sz w:val="19"/>
                <w:szCs w:val="19"/>
                <w:color w:val="auto"/>
              </w:rPr>
            </w:pPr>
          </w:p>
        </w:tc>
        <w:tc>
          <w:tcPr>
            <w:tcW w:w="79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212,960</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gain on sale-leaseback</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1,465</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33,392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31,360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26,936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66,217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46,195</w:t>
            </w:r>
          </w:p>
        </w:tc>
        <w:tc>
          <w:tcPr>
            <w:tcW w:w="0" w:type="dxa"/>
            <w:vAlign w:val="bottom"/>
          </w:tcPr>
          <w:p>
            <w:pPr>
              <w:spacing w:after="0"/>
              <w:rPr>
                <w:sz w:val="1"/>
                <w:szCs w:val="1"/>
                <w:color w:val="auto"/>
              </w:rPr>
            </w:pPr>
          </w:p>
        </w:tc>
      </w:tr>
      <w:tr>
        <w:trPr>
          <w:trHeight w:val="322"/>
        </w:trPr>
        <w:tc>
          <w:tcPr>
            <w:tcW w:w="8800" w:type="dxa"/>
            <w:vAlign w:val="bottom"/>
            <w:gridSpan w:val="3"/>
          </w:tcPr>
          <w:p>
            <w:pPr>
              <w:spacing w:after="0"/>
              <w:rPr>
                <w:sz w:val="20"/>
                <w:szCs w:val="20"/>
                <w:color w:val="auto"/>
              </w:rPr>
            </w:pPr>
            <w:r>
              <w:rPr>
                <w:rFonts w:ascii="Arial" w:cs="Arial" w:eastAsia="Arial" w:hAnsi="Arial"/>
                <w:sz w:val="18"/>
                <w:szCs w:val="18"/>
                <w:i w:val="1"/>
                <w:iCs w:val="1"/>
                <w:color w:val="auto"/>
              </w:rPr>
              <w:t>Long-term liabilities: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90,140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71,281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tcPr>
          <w:p>
            <w:pPr>
              <w:ind w:left="420"/>
              <w:spacing w:after="0"/>
              <w:rPr>
                <w:sz w:val="20"/>
                <w:szCs w:val="20"/>
                <w:color w:val="auto"/>
              </w:rPr>
            </w:pPr>
            <w:r>
              <w:rPr>
                <w:rFonts w:ascii="Arial" w:cs="Arial" w:eastAsia="Arial" w:hAnsi="Arial"/>
                <w:sz w:val="18"/>
                <w:szCs w:val="18"/>
                <w:color w:val="auto"/>
                <w:w w:val="94"/>
              </w:rPr>
              <w:t>Preferred stock, $0.01 par value, 1,000,000 shares authorized, none issued or outstanding at October 29, 2011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gridSpan w:val="2"/>
          </w:tcPr>
          <w:p>
            <w:pPr>
              <w:ind w:left="640"/>
              <w:spacing w:after="0"/>
              <w:rPr>
                <w:sz w:val="20"/>
                <w:szCs w:val="20"/>
                <w:color w:val="auto"/>
              </w:rPr>
            </w:pPr>
            <w:r>
              <w:rPr>
                <w:rFonts w:ascii="Arial" w:cs="Arial" w:eastAsia="Arial" w:hAnsi="Arial"/>
                <w:sz w:val="18"/>
                <w:szCs w:val="18"/>
                <w:color w:val="auto"/>
              </w:rPr>
              <w:t>and January 29, 2011</w:t>
            </w:r>
          </w:p>
        </w:tc>
        <w:tc>
          <w:tcPr>
            <w:tcW w:w="12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$0.01 par value, 100,000,000 shares authorized, 59,356,508 and 58,661,641 issued at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October 29, 2011 and January 29, 2011, respectively</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293,340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(79,440)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10,877,439 shares at October 29, 2011 and January 29, 2011</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(87,977)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122,820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111,332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212,960</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ind w:left="220"/>
              <w:spacing w:after="0"/>
              <w:rPr>
                <w:sz w:val="20"/>
                <w:szCs w:val="20"/>
                <w:color w:val="auto"/>
              </w:rPr>
            </w:pPr>
            <w:r>
              <w:rPr>
                <w:rFonts w:ascii="Arial" w:cs="Arial" w:eastAsia="Arial" w:hAnsi="Arial"/>
                <w:sz w:val="14"/>
                <w:szCs w:val="14"/>
                <w:color w:val="auto"/>
                <w:w w:val="84"/>
              </w:rPr>
              <w:t>For the three months ended</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5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October 29, 2011</w:t>
            </w:r>
          </w:p>
        </w:tc>
        <w:tc>
          <w:tcPr>
            <w:tcW w:w="1520" w:type="dxa"/>
            <w:vAlign w:val="bottom"/>
            <w:gridSpan w:val="3"/>
          </w:tcPr>
          <w:p>
            <w:pPr>
              <w:spacing w:after="0" w:line="159" w:lineRule="exact"/>
              <w:rPr>
                <w:sz w:val="20"/>
                <w:szCs w:val="20"/>
                <w:color w:val="auto"/>
              </w:rPr>
            </w:pPr>
            <w:r>
              <w:rPr>
                <w:rFonts w:ascii="Arial" w:cs="Arial" w:eastAsia="Arial" w:hAnsi="Arial"/>
                <w:sz w:val="14"/>
                <w:szCs w:val="14"/>
                <w:color w:val="auto"/>
              </w:rPr>
              <w:t>October 30, 2010</w:t>
            </w:r>
          </w:p>
        </w:tc>
        <w:tc>
          <w:tcPr>
            <w:tcW w:w="1500" w:type="dxa"/>
            <w:vAlign w:val="bottom"/>
            <w:gridSpan w:val="3"/>
          </w:tcPr>
          <w:p>
            <w:pPr>
              <w:spacing w:after="0" w:line="159" w:lineRule="exact"/>
              <w:rPr>
                <w:sz w:val="20"/>
                <w:szCs w:val="20"/>
                <w:color w:val="auto"/>
              </w:rPr>
            </w:pPr>
            <w:r>
              <w:rPr>
                <w:rFonts w:ascii="Arial" w:cs="Arial" w:eastAsia="Arial" w:hAnsi="Arial"/>
                <w:sz w:val="14"/>
                <w:szCs w:val="14"/>
                <w:color w:val="auto"/>
              </w:rPr>
              <w:t>October 29, 2011</w:t>
            </w:r>
          </w:p>
        </w:tc>
        <w:tc>
          <w:tcPr>
            <w:tcW w:w="1060" w:type="dxa"/>
            <w:vAlign w:val="bottom"/>
            <w:gridSpan w:val="3"/>
          </w:tcPr>
          <w:p>
            <w:pPr>
              <w:spacing w:after="0" w:line="159" w:lineRule="exact"/>
              <w:rPr>
                <w:sz w:val="20"/>
                <w:szCs w:val="20"/>
                <w:color w:val="auto"/>
              </w:rPr>
            </w:pPr>
            <w:r>
              <w:rPr>
                <w:rFonts w:ascii="Arial" w:cs="Arial" w:eastAsia="Arial" w:hAnsi="Arial"/>
                <w:sz w:val="14"/>
                <w:szCs w:val="14"/>
                <w:color w:val="auto"/>
                <w:w w:val="96"/>
              </w:rPr>
              <w:t>October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89,422</w:t>
            </w: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89,936</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286,164</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820" w:type="dxa"/>
            <w:vAlign w:val="bottom"/>
            <w:gridSpan w:val="2"/>
          </w:tcPr>
          <w:p>
            <w:pPr>
              <w:spacing w:after="0"/>
              <w:rPr>
                <w:sz w:val="20"/>
                <w:szCs w:val="20"/>
                <w:color w:val="auto"/>
              </w:rPr>
            </w:pPr>
            <w:r>
              <w:rPr>
                <w:rFonts w:ascii="Arial" w:cs="Arial" w:eastAsia="Arial" w:hAnsi="Arial"/>
                <w:sz w:val="18"/>
                <w:szCs w:val="18"/>
                <w:color w:val="auto"/>
              </w:rPr>
              <w:t>Cost of goods sold, including occupancy</w:t>
            </w:r>
          </w:p>
        </w:tc>
        <w:tc>
          <w:tcPr>
            <w:tcW w:w="28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49,207</w:t>
            </w:r>
          </w:p>
        </w:tc>
        <w:tc>
          <w:tcPr>
            <w:tcW w:w="460" w:type="dxa"/>
            <w:vAlign w:val="bottom"/>
          </w:tcPr>
          <w:p>
            <w:pPr>
              <w:spacing w:after="0"/>
              <w:rPr>
                <w:sz w:val="24"/>
                <w:szCs w:val="2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48,802</w:t>
            </w:r>
          </w:p>
        </w:tc>
        <w:tc>
          <w:tcPr>
            <w:tcW w:w="22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152,192</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152,360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40,215</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41,134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133,972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129,811</w:t>
            </w:r>
          </w:p>
        </w:tc>
        <w:tc>
          <w:tcPr>
            <w:tcW w:w="0" w:type="dxa"/>
            <w:vAlign w:val="bottom"/>
          </w:tcPr>
          <w:p>
            <w:pPr>
              <w:spacing w:after="0"/>
              <w:rPr>
                <w:sz w:val="1"/>
                <w:szCs w:val="1"/>
                <w:color w:val="auto"/>
              </w:rPr>
            </w:pPr>
          </w:p>
        </w:tc>
      </w:tr>
      <w:tr>
        <w:trPr>
          <w:trHeight w:val="322"/>
        </w:trPr>
        <w:tc>
          <w:tcPr>
            <w:tcW w:w="58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38,625</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38,802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114,091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2,972</w:t>
            </w: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3,159</w:t>
            </w:r>
          </w:p>
        </w:tc>
        <w:tc>
          <w:tcPr>
            <w:tcW w:w="2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9,040</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41,597</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41,961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123,131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119,711</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(1,382)</w:t>
            </w:r>
          </w:p>
        </w:tc>
        <w:tc>
          <w:tcPr>
            <w:tcW w:w="46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10,841</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(252)</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(1,770)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10,205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323"/>
        </w:trPr>
        <w:tc>
          <w:tcPr>
            <w:tcW w:w="58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(175)</w:t>
            </w:r>
          </w:p>
        </w:tc>
        <w:tc>
          <w:tcPr>
            <w:tcW w:w="46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(1,595)</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9,171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820" w:type="dxa"/>
            <w:vAlign w:val="bottom"/>
            <w:gridSpan w:val="2"/>
          </w:tcPr>
          <w:p>
            <w:pPr>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(0.03)</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23"/>
        </w:trPr>
        <w:tc>
          <w:tcPr>
            <w:tcW w:w="582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47,533</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47,041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47,385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 diluted</w:t>
            </w:r>
          </w:p>
        </w:tc>
        <w:tc>
          <w:tcPr>
            <w:tcW w:w="28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47,533</w:t>
            </w:r>
          </w:p>
        </w:tc>
        <w:tc>
          <w:tcPr>
            <w:tcW w:w="46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47,548</w:t>
            </w:r>
          </w:p>
        </w:tc>
        <w:tc>
          <w:tcPr>
            <w:tcW w:w="22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48,120</w:t>
            </w: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47,435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tcPr>
          <w:p>
            <w:pPr>
              <w:ind w:left="560"/>
              <w:spacing w:after="0"/>
              <w:rPr>
                <w:sz w:val="20"/>
                <w:szCs w:val="20"/>
                <w:color w:val="auto"/>
              </w:rPr>
            </w:pPr>
            <w:r>
              <w:rPr>
                <w:rFonts w:ascii="Arial" w:cs="Arial" w:eastAsia="Arial" w:hAnsi="Arial"/>
                <w:sz w:val="14"/>
                <w:szCs w:val="14"/>
                <w:color w:val="auto"/>
                <w:w w:val="97"/>
              </w:rPr>
              <w:t>Nine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1740" w:type="dxa"/>
            <w:vAlign w:val="bottom"/>
            <w:gridSpan w:val="3"/>
          </w:tcPr>
          <w:p>
            <w:pPr>
              <w:spacing w:after="0" w:line="159" w:lineRule="exact"/>
              <w:rPr>
                <w:sz w:val="20"/>
                <w:szCs w:val="20"/>
                <w:color w:val="auto"/>
              </w:rPr>
            </w:pPr>
            <w:r>
              <w:rPr>
                <w:rFonts w:ascii="Arial" w:cs="Arial" w:eastAsia="Arial" w:hAnsi="Arial"/>
                <w:sz w:val="14"/>
                <w:szCs w:val="14"/>
                <w:color w:val="auto"/>
              </w:rPr>
              <w:t>October 29, 2011</w:t>
            </w:r>
          </w:p>
        </w:tc>
        <w:tc>
          <w:tcPr>
            <w:tcW w:w="1060" w:type="dxa"/>
            <w:vAlign w:val="bottom"/>
            <w:gridSpan w:val="3"/>
          </w:tcPr>
          <w:p>
            <w:pPr>
              <w:spacing w:after="0" w:line="159" w:lineRule="exact"/>
              <w:rPr>
                <w:sz w:val="20"/>
                <w:szCs w:val="20"/>
                <w:color w:val="auto"/>
              </w:rPr>
            </w:pPr>
            <w:r>
              <w:rPr>
                <w:rFonts w:ascii="Arial" w:cs="Arial" w:eastAsia="Arial" w:hAnsi="Arial"/>
                <w:sz w:val="14"/>
                <w:szCs w:val="14"/>
                <w:color w:val="auto"/>
                <w:w w:val="96"/>
              </w:rPr>
              <w:t>October 30,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9,171</w:t>
            </w:r>
          </w:p>
        </w:tc>
        <w:tc>
          <w:tcPr>
            <w:tcW w:w="8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9,040</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Deferred income taxes, net of valuation allowance</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(22,050)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(2,095)</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15,840</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1,228</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80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(10,956)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(10,749)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330"/>
        </w:trPr>
        <w:tc>
          <w:tcPr>
            <w:tcW w:w="8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credit facility</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common stock under option program</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8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End of the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5,625</w:t>
            </w:r>
          </w:p>
        </w:tc>
        <w:tc>
          <w:tcPr>
            <w:tcW w:w="8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October 29,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78"/>
              <w:spacing w:after="0"/>
              <w:rPr>
                <w:sz w:val="20"/>
                <w:szCs w:val="20"/>
                <w:color w:val="auto"/>
              </w:rPr>
            </w:pPr>
            <w:r>
              <w:rPr>
                <w:rFonts w:ascii="Arial" w:cs="Arial" w:eastAsia="Arial" w:hAnsi="Arial"/>
                <w:sz w:val="14"/>
                <w:szCs w:val="14"/>
                <w:color w:val="auto"/>
                <w:w w:val="88"/>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Additional</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78"/>
              <w:spacing w:after="0" w:line="149" w:lineRule="exact"/>
              <w:rPr>
                <w:sz w:val="20"/>
                <w:szCs w:val="20"/>
                <w:color w:val="auto"/>
              </w:rPr>
            </w:pPr>
            <w:r>
              <w:rPr>
                <w:rFonts w:ascii="Arial" w:cs="Arial" w:eastAsia="Arial" w:hAnsi="Arial"/>
                <w:sz w:val="14"/>
                <w:szCs w:val="14"/>
                <w:color w:val="auto"/>
                <w:w w:val="85"/>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00" w:type="dxa"/>
            <w:vAlign w:val="bottom"/>
            <w:gridSpan w:val="6"/>
          </w:tcPr>
          <w:p>
            <w:pPr>
              <w:ind w:left="24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Paid-in</w:t>
            </w:r>
          </w:p>
        </w:tc>
        <w:tc>
          <w:tcPr>
            <w:tcW w:w="1680" w:type="dxa"/>
            <w:vAlign w:val="bottom"/>
            <w:gridSpan w:val="5"/>
          </w:tcPr>
          <w:p>
            <w:pPr>
              <w:jc w:val="right"/>
              <w:ind w:right="438"/>
              <w:spacing w:after="0" w:line="149" w:lineRule="exact"/>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2"/>
                <w:szCs w:val="12"/>
                <w:color w:val="auto"/>
              </w:rPr>
            </w:pPr>
          </w:p>
        </w:tc>
        <w:tc>
          <w:tcPr>
            <w:tcW w:w="1140" w:type="dxa"/>
            <w:vAlign w:val="bottom"/>
            <w:gridSpan w:val="3"/>
          </w:tcPr>
          <w:p>
            <w:pPr>
              <w:jc w:val="center"/>
              <w:ind w:right="178"/>
              <w:spacing w:after="0" w:line="149" w:lineRule="exact"/>
              <w:rPr>
                <w:sz w:val="20"/>
                <w:szCs w:val="20"/>
                <w:color w:val="auto"/>
              </w:rPr>
            </w:pPr>
            <w:r>
              <w:rPr>
                <w:rFonts w:ascii="Arial" w:cs="Arial" w:eastAsia="Arial" w:hAnsi="Arial"/>
                <w:sz w:val="14"/>
                <w:szCs w:val="14"/>
                <w:color w:val="auto"/>
                <w:w w:val="85"/>
              </w:rPr>
              <w:t>Comprehensive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6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9"/>
              </w:rPr>
              <w:t>Shares</w:t>
            </w:r>
          </w:p>
        </w:tc>
        <w:tc>
          <w:tcPr>
            <w:tcW w:w="140" w:type="dxa"/>
            <w:vAlign w:val="bottom"/>
          </w:tcPr>
          <w:p>
            <w:pPr>
              <w:spacing w:after="0"/>
              <w:rPr>
                <w:sz w:val="13"/>
                <w:szCs w:val="13"/>
                <w:color w:val="auto"/>
              </w:rPr>
            </w:pPr>
          </w:p>
        </w:tc>
        <w:tc>
          <w:tcPr>
            <w:tcW w:w="580" w:type="dxa"/>
            <w:vAlign w:val="bottom"/>
            <w:gridSpan w:val="3"/>
          </w:tcPr>
          <w:p>
            <w:pPr>
              <w:spacing w:after="0" w:line="159" w:lineRule="exact"/>
              <w:rPr>
                <w:sz w:val="20"/>
                <w:szCs w:val="20"/>
                <w:color w:val="auto"/>
              </w:rPr>
            </w:pPr>
            <w:r>
              <w:rPr>
                <w:rFonts w:ascii="Arial" w:cs="Arial" w:eastAsia="Arial" w:hAnsi="Arial"/>
                <w:sz w:val="14"/>
                <w:szCs w:val="14"/>
                <w:color w:val="auto"/>
              </w:rPr>
              <w:t>Amounts</w:t>
            </w:r>
          </w:p>
        </w:tc>
        <w:tc>
          <w:tcPr>
            <w:tcW w:w="180" w:type="dxa"/>
            <w:vAlign w:val="bottom"/>
          </w:tcPr>
          <w:p>
            <w:pPr>
              <w:spacing w:after="0"/>
              <w:rPr>
                <w:sz w:val="13"/>
                <w:szCs w:val="13"/>
                <w:color w:val="auto"/>
              </w:rPr>
            </w:pPr>
          </w:p>
        </w:tc>
        <w:tc>
          <w:tcPr>
            <w:tcW w:w="96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Capital</w:t>
            </w:r>
          </w:p>
        </w:tc>
        <w:tc>
          <w:tcPr>
            <w:tcW w:w="760" w:type="dxa"/>
            <w:vAlign w:val="bottom"/>
            <w:gridSpan w:val="2"/>
          </w:tcPr>
          <w:p>
            <w:pPr>
              <w:jc w:val="right"/>
              <w:ind w:right="198"/>
              <w:spacing w:after="0" w:line="159" w:lineRule="exact"/>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3"/>
                <w:szCs w:val="13"/>
                <w:color w:val="auto"/>
              </w:rPr>
            </w:pPr>
          </w:p>
        </w:tc>
        <w:tc>
          <w:tcPr>
            <w:tcW w:w="800" w:type="dxa"/>
            <w:vAlign w:val="bottom"/>
            <w:gridSpan w:val="2"/>
          </w:tcPr>
          <w:p>
            <w:pPr>
              <w:jc w:val="right"/>
              <w:ind w:right="158"/>
              <w:spacing w:after="0" w:line="159" w:lineRule="exact"/>
              <w:rPr>
                <w:sz w:val="20"/>
                <w:szCs w:val="20"/>
                <w:color w:val="auto"/>
              </w:rPr>
            </w:pPr>
            <w:r>
              <w:rPr>
                <w:rFonts w:ascii="Arial" w:cs="Arial" w:eastAsia="Arial" w:hAnsi="Arial"/>
                <w:sz w:val="14"/>
                <w:szCs w:val="14"/>
                <w:color w:val="auto"/>
                <w:w w:val="97"/>
              </w:rPr>
              <w:t>Amounts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8"/>
              <w:spacing w:after="0" w:line="159" w:lineRule="exact"/>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3"/>
                <w:szCs w:val="13"/>
                <w:color w:val="auto"/>
              </w:rPr>
            </w:pPr>
          </w:p>
        </w:tc>
        <w:tc>
          <w:tcPr>
            <w:tcW w:w="1140" w:type="dxa"/>
            <w:vAlign w:val="bottom"/>
            <w:gridSpan w:val="3"/>
          </w:tcPr>
          <w:p>
            <w:pPr>
              <w:jc w:val="center"/>
              <w:ind w:right="198"/>
              <w:spacing w:after="0" w:line="159" w:lineRule="exact"/>
              <w:rPr>
                <w:sz w:val="20"/>
                <w:szCs w:val="20"/>
                <w:color w:val="auto"/>
              </w:rPr>
            </w:pPr>
            <w:r>
              <w:rPr>
                <w:rFonts w:ascii="Arial" w:cs="Arial" w:eastAsia="Arial" w:hAnsi="Arial"/>
                <w:sz w:val="14"/>
                <w:szCs w:val="14"/>
                <w:color w:val="auto"/>
                <w:w w:val="87"/>
              </w:rPr>
              <w:t>Income (Loss)</w:t>
            </w:r>
          </w:p>
        </w:tc>
        <w:tc>
          <w:tcPr>
            <w:tcW w:w="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29, 2011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58,662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291,369</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(10,877</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(87,977</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(88,611</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$ 111,332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200" w:type="dxa"/>
            <w:vAlign w:val="bottom"/>
            <w:gridSpan w:val="2"/>
          </w:tcPr>
          <w:p>
            <w:pPr>
              <w:spacing w:after="0"/>
              <w:rPr>
                <w:sz w:val="20"/>
                <w:szCs w:val="20"/>
                <w:color w:val="auto"/>
              </w:rPr>
            </w:pPr>
            <w:r>
              <w:rPr>
                <w:rFonts w:ascii="Arial" w:cs="Arial" w:eastAsia="Arial" w:hAnsi="Arial"/>
                <w:sz w:val="18"/>
                <w:szCs w:val="18"/>
                <w:color w:val="auto"/>
              </w:rPr>
              <w:t>Stock based compensation expense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1276</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Unrecognized loss associated with pension plan</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Foreign currency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9,171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29, 2011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59,357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293,340</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5"/>
              </w:rPr>
              <w:t>(10,877)</w:t>
            </w:r>
          </w:p>
        </w:tc>
        <w:tc>
          <w:tcPr>
            <w:tcW w:w="92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5"/>
              </w:rPr>
              <w:t>(79,440)</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(3,697)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29, 2011 included in the Company's Annual Report on Form 10-K, which was filed with the Securities and Exchange Commission on March 18, 2011.</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2011 is a 52-week period ending on January 28,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2010 was a 52-week period ending on January 29,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its three operating segments – B&amp;T Factory Direct, Casual Male XL and Rochester Clothing. The Company considers its operating segments to be similar in terms of economic characteristic, production processes and operations, and has therefore aggregated them into a single reporting segment. The Company’s DXL</w:t>
      </w:r>
      <w:r>
        <w:rPr>
          <w:rFonts w:ascii="Arial" w:cs="Arial" w:eastAsia="Arial" w:hAnsi="Arial"/>
          <w:sz w:val="11"/>
          <w:szCs w:val="11"/>
          <w:color w:val="auto"/>
        </w:rPr>
        <w:t>®</w:t>
      </w:r>
      <w:r>
        <w:rPr>
          <w:rFonts w:ascii="Arial" w:cs="Arial" w:eastAsia="Arial" w:hAnsi="Arial"/>
          <w:sz w:val="18"/>
          <w:szCs w:val="18"/>
          <w:color w:val="auto"/>
        </w:rPr>
        <w:t xml:space="preserve"> store format carries merchandise from all three of the Company’s operating segments. The operating results and assets of the Company’s direct businesses, LivingXL</w:t>
      </w:r>
      <w:r>
        <w:rPr>
          <w:rFonts w:ascii="Arial" w:cs="Arial" w:eastAsia="Arial" w:hAnsi="Arial"/>
          <w:sz w:val="11"/>
          <w:szCs w:val="11"/>
          <w:color w:val="auto"/>
        </w:rPr>
        <w:t>®</w:t>
      </w:r>
      <w:r>
        <w:rPr>
          <w:rFonts w:ascii="Arial" w:cs="Arial" w:eastAsia="Arial" w:hAnsi="Arial"/>
          <w:sz w:val="18"/>
          <w:szCs w:val="18"/>
          <w:color w:val="auto"/>
        </w:rPr>
        <w:t>, ShoesXL</w:t>
      </w:r>
      <w:r>
        <w:rPr>
          <w:rFonts w:ascii="Arial" w:cs="Arial" w:eastAsia="Arial" w:hAnsi="Arial"/>
          <w:sz w:val="11"/>
          <w:szCs w:val="11"/>
          <w:color w:val="auto"/>
        </w:rPr>
        <w:t>®</w:t>
      </w:r>
      <w:r>
        <w:rPr>
          <w:rFonts w:ascii="Arial" w:cs="Arial" w:eastAsia="Arial" w:hAnsi="Arial"/>
          <w:sz w:val="18"/>
          <w:szCs w:val="18"/>
          <w:color w:val="auto"/>
        </w:rPr>
        <w:t xml:space="preserve"> and the Company’s International Web Stores, are immaterial.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trademarks are considered indefinite-lived intangible assets and must be tested annually for potential impairment. At January 1, 2011, both the Casual Male and Rochester trademarks were tested for potential impairment. Utilizing an income approach with appropriate royalty rates applied, the Company concluded that the Casual Male trademark, with a carrying value of $29.2 million, and the Rochester trademark, with a carrying value of $1.5 million, were not impaired. During the first nine months of fiscal 2011, no event or circumstance occurred which would be considered an indicator of impairment, requiring interim testing of the Company’s trademarks. Other intangibles, which include customer lists and favorable lease commitments, were $1.2 million at October 29,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nine months of fiscal 2011 and fiscal 2010, the Company recognized total stock-based compensation expense of $1.3 million and $1.2 million, respectively. Approximately $0.9 million of the $1.3 million of stock-based compensation expense for the first nine months of fiscal 2011 and $0.5 million of the $1.2 million for the first nine months of fiscal 2010 related to the expense associated with the grant of equity awards pursuant to the Company’s Long-Term Incentive Plan (“LTIP”).</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as of October 29, 2011 is approximately $1.4 million which will be expensed over a weighted average remaining life of 28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 and Restricted Stock</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first nine months of fiscal 2011, the Company granted 569,661 shares of restricted stock of which 538,661 shares were granted to members of management as a result of the Company’s achieving certain performance targets pursuant to its LTIP for fiscal 2010. In addition, during the first nine months of fiscal 2011, the Company granted stock options to purchase 85,421 shares of common stock, of which stock options to purchase 72,576 shares of common stock were issued pursuant to the LTIP for fiscal 2010.</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first nine months of fiscal 2010, the Company granted 308,550 shares of restricted stock which included 283,550 shares to members of management as a result of the Company’s achieving certain performance targets pursuant to its LTIP for fiscal 2009. In addition, during the first nine months of fiscal 2010, stock options to purchase 383,172 shares of common stock were granted. Of this amount, stock options to purchase 20,606 shares of common stock were issued pursuant to the LTIP for fiscal 2009.</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restricted share of common stock was assigned a fair value equal to the closing price of the Company’s common stock on the date of grant. The fair value of each option granted is estimated on the date of grant using the Black-Scholes option-pricing model. The weighted average grant date fair value of stock options granted during the first nine months of fiscal 2011 was $1.53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for grants for the first nine months of fiscal 2011 and fiscal 2010:</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320" w:type="dxa"/>
            <w:vAlign w:val="bottom"/>
            <w:gridSpan w:val="2"/>
          </w:tcPr>
          <w:p>
            <w:pPr>
              <w:jc w:val="center"/>
              <w:ind w:left="2302"/>
              <w:spacing w:after="0"/>
              <w:rPr>
                <w:sz w:val="20"/>
                <w:szCs w:val="20"/>
                <w:color w:val="auto"/>
              </w:rPr>
            </w:pPr>
            <w:r>
              <w:rPr>
                <w:rFonts w:ascii="Arial" w:cs="Arial" w:eastAsia="Arial" w:hAnsi="Arial"/>
                <w:sz w:val="14"/>
                <w:szCs w:val="14"/>
                <w:color w:val="auto"/>
                <w:w w:val="86"/>
              </w:rPr>
              <w:t>October 29, 2011</w:t>
            </w:r>
          </w:p>
        </w:tc>
        <w:tc>
          <w:tcPr>
            <w:tcW w:w="4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6"/>
              </w:rPr>
              <w:t>October 30, 2010</w:t>
            </w:r>
          </w:p>
        </w:tc>
      </w:tr>
      <w:tr>
        <w:trPr>
          <w:trHeight w:val="210"/>
        </w:trPr>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55.0%</w:t>
            </w:r>
          </w:p>
        </w:tc>
        <w:tc>
          <w:tcPr>
            <w:tcW w:w="4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rPr>
              <w:t>55.0%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20" w:type="dxa"/>
            <w:vAlign w:val="bottom"/>
            <w:gridSpan w:val="2"/>
          </w:tcPr>
          <w:p>
            <w:pPr>
              <w:jc w:val="center"/>
              <w:ind w:left="2302"/>
              <w:spacing w:after="0"/>
              <w:rPr>
                <w:sz w:val="20"/>
                <w:szCs w:val="20"/>
                <w:color w:val="auto"/>
              </w:rPr>
            </w:pPr>
            <w:r>
              <w:rPr>
                <w:rFonts w:ascii="Arial" w:cs="Arial" w:eastAsia="Arial" w:hAnsi="Arial"/>
                <w:sz w:val="18"/>
                <w:szCs w:val="18"/>
                <w:color w:val="auto"/>
                <w:w w:val="90"/>
              </w:rPr>
              <w:t>0.32—1.89%</w:t>
            </w:r>
          </w:p>
        </w:tc>
        <w:tc>
          <w:tcPr>
            <w:tcW w:w="4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1.14—1.55%</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38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2.5—4.5 yrs</w:t>
            </w:r>
          </w:p>
        </w:tc>
        <w:tc>
          <w:tcPr>
            <w:tcW w:w="148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7"/>
              </w:rPr>
              <w:t>2.1—3.0 years</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Dividend rate</w:t>
            </w:r>
          </w:p>
        </w:tc>
        <w:tc>
          <w:tcPr>
            <w:tcW w:w="2380" w:type="dxa"/>
            <w:vAlign w:val="bottom"/>
          </w:tcPr>
          <w:p>
            <w:pPr>
              <w:spacing w:after="0"/>
              <w:rPr>
                <w:sz w:val="19"/>
                <w:szCs w:val="19"/>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of fiscal 2011, options for 169,141 shares of common stock were exercised with an intrinsic value of approximately $64,000.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May 2011, the Financial Accounting Standards Board (“FASB”) issued Accounting Standards Update (“ASU”) No. 2011-04—</w:t>
      </w:r>
      <w:r>
        <w:rPr>
          <w:rFonts w:ascii="Arial" w:cs="Arial" w:eastAsia="Arial" w:hAnsi="Arial"/>
          <w:sz w:val="18"/>
          <w:szCs w:val="18"/>
          <w:i w:val="1"/>
          <w:iCs w:val="1"/>
          <w:color w:val="auto"/>
        </w:rPr>
        <w:t>Fair Value Measurement (Topic</w:t>
      </w:r>
      <w:r>
        <w:rPr>
          <w:rFonts w:ascii="Arial" w:cs="Arial" w:eastAsia="Arial" w:hAnsi="Arial"/>
          <w:sz w:val="18"/>
          <w:szCs w:val="18"/>
          <w:color w:val="auto"/>
        </w:rPr>
        <w:t xml:space="preserve"> </w:t>
      </w:r>
      <w:r>
        <w:rPr>
          <w:rFonts w:ascii="Arial" w:cs="Arial" w:eastAsia="Arial" w:hAnsi="Arial"/>
          <w:sz w:val="18"/>
          <w:szCs w:val="18"/>
          <w:i w:val="1"/>
          <w:iCs w:val="1"/>
          <w:color w:val="auto"/>
        </w:rPr>
        <w:t>820)— Amendments to Achieve Common Fair Value Measurement and Disclosure Requirements in U.S. GAAP and IFRSs</w:t>
      </w:r>
      <w:r>
        <w:rPr>
          <w:rFonts w:ascii="Arial" w:cs="Arial" w:eastAsia="Arial" w:hAnsi="Arial"/>
          <w:sz w:val="18"/>
          <w:szCs w:val="18"/>
          <w:color w:val="auto"/>
        </w:rPr>
        <w:t>. The amendments in this update change</w:t>
      </w:r>
      <w:r>
        <w:rPr>
          <w:rFonts w:ascii="Arial" w:cs="Arial" w:eastAsia="Arial" w:hAnsi="Arial"/>
          <w:sz w:val="18"/>
          <w:szCs w:val="18"/>
          <w:i w:val="1"/>
          <w:iCs w:val="1"/>
          <w:color w:val="auto"/>
        </w:rPr>
        <w:t xml:space="preserve"> </w:t>
      </w:r>
      <w:r>
        <w:rPr>
          <w:rFonts w:ascii="Arial" w:cs="Arial" w:eastAsia="Arial" w:hAnsi="Arial"/>
          <w:sz w:val="18"/>
          <w:szCs w:val="18"/>
          <w:color w:val="auto"/>
        </w:rPr>
        <w:t>the wording used to describe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requirements in U.S. GAAP for measuring fair value and for disclosing information about fair value measurements to ensure consistency between U.S. GAAP and IFRS. This update is effective for interim and annual periods beginning after December 15, 2011. The Company does not expect the adoption of ASU No. 2011-04 to have a material impact on the Company’s financial statements.</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220)—Presentation of Comprehensive Income</w:t>
      </w:r>
      <w:r>
        <w:rPr>
          <w:rFonts w:ascii="Arial" w:cs="Arial" w:eastAsia="Arial" w:hAnsi="Arial"/>
          <w:sz w:val="16"/>
          <w:szCs w:val="16"/>
          <w:color w:val="auto"/>
        </w:rPr>
        <w:t>, to make the presentation of items within other comprehensive income ("OCI") more prominent. The new standard will require companies to present items of net income, items of OCI and total comprehensive income in one continuous statement or two separate consecutive statements, and companies will no longer be allowed to present items of OCI in the statement of stockholders' equity. This new update is effective for interim and annual periods beginning after December 15, 2011. The adoption of this new standard may change the order in which certain financial statements are presented and will provide additional detail in those financial statements when applicable, but will not have any other impact on the Company's financial statements.</w:t>
      </w:r>
    </w:p>
    <w:p>
      <w:pPr>
        <w:spacing w:after="0" w:line="23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N.A.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letters of credit and a sublimit of up to $15 million for Swingline Loans. The maturity date of the Credit Facility is November 10, 2014.</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 The Company is also subject to an unused line fee. At October 29, 2011, the Company’s prime-based interest rate was 4.25%.</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Company is not subject to any financial covenants pursuant to the Credit Facility.</w:t>
      </w:r>
    </w:p>
    <w:p>
      <w:pPr>
        <w:spacing w:after="0" w:line="13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At October 29, 2011, the Company had no borrowings outstanding under the Credit Facility. Outstanding standby letters of credit were $2.3 million and documentary letters of credit were $3.9 million. Unused excess availability at October 29, 2011 was $68.8 million. Average borrowings outstanding under this facility during the first nine months of fiscal 2011 were approximately $147,000, resulting in an average unused excess availability of approximately $65.6 million. The Company’s ability to borrow under the Credit Facility is determined using an availability formula based on eligible assets, with increased advance rates based on seasonality.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October 29, 2011 approximated the carrying value.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Basic earnings per share are computed by dividing net income by the weighted average number of shares of common stock outstanding during the respective period. Diluted earnings per share is determined by giving effects to unvested shares of restricted stock and the exercise of stock options using the treasury stock method.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180" w:type="dxa"/>
            <w:vAlign w:val="bottom"/>
            <w:gridSpan w:val="4"/>
          </w:tcPr>
          <w:p>
            <w:pPr>
              <w:ind w:left="140"/>
              <w:spacing w:after="0"/>
              <w:rPr>
                <w:sz w:val="20"/>
                <w:szCs w:val="20"/>
                <w:color w:val="auto"/>
              </w:rPr>
            </w:pPr>
            <w:r>
              <w:rPr>
                <w:rFonts w:ascii="Arial" w:cs="Arial" w:eastAsia="Arial" w:hAnsi="Arial"/>
                <w:sz w:val="14"/>
                <w:szCs w:val="14"/>
                <w:color w:val="auto"/>
              </w:rPr>
              <w:t>For the three months ended</w:t>
            </w:r>
          </w:p>
        </w:tc>
        <w:tc>
          <w:tcPr>
            <w:tcW w:w="1800" w:type="dxa"/>
            <w:vAlign w:val="bottom"/>
            <w:gridSpan w:val="4"/>
          </w:tcPr>
          <w:p>
            <w:pPr>
              <w:ind w:left="120"/>
              <w:spacing w:after="0"/>
              <w:rPr>
                <w:sz w:val="20"/>
                <w:szCs w:val="20"/>
                <w:color w:val="auto"/>
              </w:rPr>
            </w:pPr>
            <w:r>
              <w:rPr>
                <w:rFonts w:ascii="Arial" w:cs="Arial" w:eastAsia="Arial" w:hAnsi="Arial"/>
                <w:sz w:val="14"/>
                <w:szCs w:val="14"/>
                <w:color w:val="auto"/>
                <w:w w:val="99"/>
              </w:rPr>
              <w:t>For the nine months ended</w:t>
            </w:r>
          </w:p>
        </w:tc>
      </w:tr>
      <w:tr>
        <w:trPr>
          <w:trHeight w:val="149"/>
        </w:trPr>
        <w:tc>
          <w:tcPr>
            <w:tcW w:w="74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7"/>
              </w:rPr>
              <w:t>October 29,</w:t>
            </w:r>
          </w:p>
        </w:tc>
        <w:tc>
          <w:tcPr>
            <w:tcW w:w="4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October 30,</w:t>
            </w:r>
          </w:p>
        </w:tc>
        <w:tc>
          <w:tcPr>
            <w:tcW w:w="1060" w:type="dxa"/>
            <w:vAlign w:val="bottom"/>
            <w:gridSpan w:val="2"/>
          </w:tcPr>
          <w:p>
            <w:pPr>
              <w:spacing w:after="0" w:line="149" w:lineRule="exact"/>
              <w:rPr>
                <w:sz w:val="20"/>
                <w:szCs w:val="20"/>
                <w:color w:val="auto"/>
              </w:rPr>
            </w:pPr>
            <w:r>
              <w:rPr>
                <w:rFonts w:ascii="Arial" w:cs="Arial" w:eastAsia="Arial" w:hAnsi="Arial"/>
                <w:sz w:val="14"/>
                <w:szCs w:val="14"/>
                <w:color w:val="auto"/>
              </w:rPr>
              <w:t>October 29,</w:t>
            </w: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8"/>
              </w:rPr>
              <w:t>October 30,</w:t>
            </w:r>
          </w:p>
        </w:tc>
      </w:tr>
      <w:tr>
        <w:trPr>
          <w:trHeight w:val="159"/>
        </w:trPr>
        <w:tc>
          <w:tcPr>
            <w:tcW w:w="744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660" w:type="dxa"/>
            <w:vAlign w:val="bottom"/>
          </w:tcPr>
          <w:p>
            <w:pPr>
              <w:jc w:val="right"/>
              <w:ind w:right="122"/>
              <w:spacing w:after="0" w:line="159" w:lineRule="exact"/>
              <w:rPr>
                <w:sz w:val="20"/>
                <w:szCs w:val="20"/>
                <w:color w:val="auto"/>
              </w:rPr>
            </w:pPr>
            <w:r>
              <w:rPr>
                <w:rFonts w:ascii="Arial" w:cs="Arial" w:eastAsia="Arial" w:hAnsi="Arial"/>
                <w:sz w:val="14"/>
                <w:szCs w:val="14"/>
                <w:color w:val="auto"/>
              </w:rPr>
              <w:t>2011</w:t>
            </w:r>
          </w:p>
        </w:tc>
        <w:tc>
          <w:tcPr>
            <w:tcW w:w="1100" w:type="dxa"/>
            <w:vAlign w:val="bottom"/>
            <w:gridSpan w:val="2"/>
          </w:tcPr>
          <w:p>
            <w:pPr>
              <w:jc w:val="right"/>
              <w:ind w:right="142"/>
              <w:spacing w:after="0" w:line="159" w:lineRule="exact"/>
              <w:rPr>
                <w:sz w:val="20"/>
                <w:szCs w:val="20"/>
                <w:color w:val="auto"/>
              </w:rPr>
            </w:pPr>
            <w:r>
              <w:rPr>
                <w:rFonts w:ascii="Arial" w:cs="Arial" w:eastAsia="Arial" w:hAnsi="Arial"/>
                <w:sz w:val="14"/>
                <w:szCs w:val="14"/>
                <w:color w:val="auto"/>
              </w:rPr>
              <w:t>2010</w:t>
            </w:r>
          </w:p>
        </w:tc>
        <w:tc>
          <w:tcPr>
            <w:tcW w:w="420" w:type="dxa"/>
            <w:vAlign w:val="bottom"/>
          </w:tcPr>
          <w:p>
            <w:pPr>
              <w:spacing w:after="0"/>
              <w:rPr>
                <w:sz w:val="13"/>
                <w:szCs w:val="13"/>
                <w:color w:val="auto"/>
              </w:rPr>
            </w:pPr>
          </w:p>
        </w:tc>
        <w:tc>
          <w:tcPr>
            <w:tcW w:w="640" w:type="dxa"/>
            <w:vAlign w:val="bottom"/>
          </w:tcPr>
          <w:p>
            <w:pPr>
              <w:jc w:val="right"/>
              <w:ind w:right="122"/>
              <w:spacing w:after="0" w:line="159" w:lineRule="exact"/>
              <w:rPr>
                <w:sz w:val="20"/>
                <w:szCs w:val="20"/>
                <w:color w:val="auto"/>
              </w:rPr>
            </w:pPr>
            <w:r>
              <w:rPr>
                <w:rFonts w:ascii="Arial" w:cs="Arial" w:eastAsia="Arial" w:hAnsi="Arial"/>
                <w:sz w:val="14"/>
                <w:szCs w:val="14"/>
                <w:color w:val="auto"/>
              </w:rPr>
              <w:t>2011</w:t>
            </w:r>
          </w:p>
        </w:tc>
        <w:tc>
          <w:tcPr>
            <w:tcW w:w="420" w:type="dxa"/>
            <w:vAlign w:val="bottom"/>
          </w:tcPr>
          <w:p>
            <w:pPr>
              <w:spacing w:after="0"/>
              <w:rPr>
                <w:sz w:val="13"/>
                <w:szCs w:val="13"/>
                <w:color w:val="auto"/>
              </w:rPr>
            </w:pPr>
          </w:p>
        </w:tc>
        <w:tc>
          <w:tcPr>
            <w:tcW w:w="64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196"/>
        </w:trPr>
        <w:tc>
          <w:tcPr>
            <w:tcW w:w="7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 Outstanding</w:t>
            </w: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660" w:type="dxa"/>
            <w:vAlign w:val="bottom"/>
          </w:tcPr>
          <w:p>
            <w:pPr>
              <w:jc w:val="right"/>
              <w:spacing w:after="0"/>
              <w:rPr>
                <w:sz w:val="20"/>
                <w:szCs w:val="20"/>
                <w:color w:val="auto"/>
              </w:rPr>
            </w:pPr>
            <w:r>
              <w:rPr>
                <w:rFonts w:ascii="Arial" w:cs="Arial" w:eastAsia="Arial" w:hAnsi="Arial"/>
                <w:sz w:val="18"/>
                <w:szCs w:val="18"/>
                <w:color w:val="auto"/>
              </w:rPr>
              <w:t>47,533</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47,041</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47,385</w:t>
            </w:r>
          </w:p>
        </w:tc>
        <w:tc>
          <w:tcPr>
            <w:tcW w:w="640" w:type="dxa"/>
            <w:vAlign w:val="bottom"/>
          </w:tcPr>
          <w:p>
            <w:pPr>
              <w:jc w:val="right"/>
              <w:spacing w:after="0"/>
              <w:rPr>
                <w:sz w:val="20"/>
                <w:szCs w:val="20"/>
                <w:color w:val="auto"/>
              </w:rPr>
            </w:pPr>
            <w:r>
              <w:rPr>
                <w:rFonts w:ascii="Arial" w:cs="Arial" w:eastAsia="Arial" w:hAnsi="Arial"/>
                <w:sz w:val="18"/>
                <w:szCs w:val="18"/>
                <w:color w:val="auto"/>
              </w:rPr>
              <w:t>46,895</w:t>
            </w:r>
          </w:p>
        </w:tc>
        <w:tc>
          <w:tcPr>
            <w:tcW w:w="100" w:type="dxa"/>
            <w:vAlign w:val="bottom"/>
          </w:tcPr>
          <w:p>
            <w:pPr>
              <w:spacing w:after="0"/>
              <w:rPr>
                <w:sz w:val="18"/>
                <w:szCs w:val="18"/>
                <w:color w:val="auto"/>
              </w:rPr>
            </w:pPr>
          </w:p>
        </w:tc>
      </w:tr>
      <w:tr>
        <w:trPr>
          <w:trHeight w:val="20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Equivalents –Stock options and restricted stock, excludes anti-dilutive options of</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645 shares for the three months ended October 29, 2011</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4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660" w:type="dxa"/>
            <w:vAlign w:val="bottom"/>
          </w:tcPr>
          <w:p>
            <w:pPr>
              <w:jc w:val="right"/>
              <w:spacing w:after="0"/>
              <w:rPr>
                <w:sz w:val="20"/>
                <w:szCs w:val="20"/>
                <w:color w:val="auto"/>
              </w:rPr>
            </w:pPr>
            <w:r>
              <w:rPr>
                <w:rFonts w:ascii="Arial" w:cs="Arial" w:eastAsia="Arial" w:hAnsi="Arial"/>
                <w:sz w:val="18"/>
                <w:szCs w:val="18"/>
                <w:color w:val="auto"/>
              </w:rPr>
              <w:t>47,533</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47,548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48,120</w:t>
            </w:r>
          </w:p>
        </w:tc>
        <w:tc>
          <w:tcPr>
            <w:tcW w:w="640" w:type="dxa"/>
            <w:vAlign w:val="bottom"/>
          </w:tcPr>
          <w:p>
            <w:pPr>
              <w:jc w:val="right"/>
              <w:spacing w:after="0"/>
              <w:rPr>
                <w:sz w:val="20"/>
                <w:szCs w:val="20"/>
                <w:color w:val="auto"/>
              </w:rPr>
            </w:pPr>
            <w:r>
              <w:rPr>
                <w:rFonts w:ascii="Arial" w:cs="Arial" w:eastAsia="Arial" w:hAnsi="Arial"/>
                <w:sz w:val="18"/>
                <w:szCs w:val="18"/>
                <w:color w:val="auto"/>
              </w:rPr>
              <w:t>47,435</w:t>
            </w:r>
          </w:p>
        </w:tc>
        <w:tc>
          <w:tcPr>
            <w:tcW w:w="10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color w:val="auto"/>
              </w:rPr>
              <w:t>For the three months ended</w:t>
            </w:r>
          </w:p>
        </w:tc>
        <w:tc>
          <w:tcPr>
            <w:tcW w:w="2480" w:type="dxa"/>
            <w:vAlign w:val="bottom"/>
            <w:gridSpan w:val="4"/>
          </w:tcPr>
          <w:p>
            <w:pPr>
              <w:ind w:left="480"/>
              <w:spacing w:after="0"/>
              <w:rPr>
                <w:sz w:val="20"/>
                <w:szCs w:val="20"/>
                <w:color w:val="auto"/>
              </w:rPr>
            </w:pPr>
            <w:r>
              <w:rPr>
                <w:rFonts w:ascii="Arial" w:cs="Arial" w:eastAsia="Arial" w:hAnsi="Arial"/>
                <w:sz w:val="14"/>
                <w:szCs w:val="14"/>
                <w:color w:val="auto"/>
              </w:rPr>
              <w:t>For the nine months ended</w:t>
            </w:r>
          </w:p>
        </w:tc>
      </w:tr>
      <w:tr>
        <w:trPr>
          <w:trHeight w:val="149"/>
        </w:trPr>
        <w:tc>
          <w:tcPr>
            <w:tcW w:w="6240" w:type="dxa"/>
            <w:vAlign w:val="bottom"/>
          </w:tcPr>
          <w:p>
            <w:pPr>
              <w:spacing w:after="0"/>
              <w:rPr>
                <w:sz w:val="12"/>
                <w:szCs w:val="12"/>
                <w:color w:val="auto"/>
              </w:rPr>
            </w:pPr>
          </w:p>
        </w:tc>
        <w:tc>
          <w:tcPr>
            <w:tcW w:w="1040" w:type="dxa"/>
            <w:vAlign w:val="bottom"/>
          </w:tcPr>
          <w:p>
            <w:pPr>
              <w:jc w:val="right"/>
              <w:ind w:right="124"/>
              <w:spacing w:after="0" w:line="149" w:lineRule="exact"/>
              <w:rPr>
                <w:sz w:val="20"/>
                <w:szCs w:val="20"/>
                <w:color w:val="auto"/>
              </w:rPr>
            </w:pPr>
            <w:r>
              <w:rPr>
                <w:rFonts w:ascii="Arial" w:cs="Arial" w:eastAsia="Arial" w:hAnsi="Arial"/>
                <w:sz w:val="14"/>
                <w:szCs w:val="14"/>
                <w:color w:val="auto"/>
              </w:rPr>
              <w:t>October 29,</w:t>
            </w:r>
          </w:p>
        </w:tc>
        <w:tc>
          <w:tcPr>
            <w:tcW w:w="3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October 30,</w:t>
            </w:r>
          </w:p>
        </w:tc>
        <w:tc>
          <w:tcPr>
            <w:tcW w:w="1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October 29,</w:t>
            </w: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October 30,</w:t>
            </w:r>
          </w:p>
        </w:tc>
      </w:tr>
      <w:tr>
        <w:trPr>
          <w:trHeight w:val="159"/>
        </w:trPr>
        <w:tc>
          <w:tcPr>
            <w:tcW w:w="624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 except exercise prices)</w:t>
            </w:r>
          </w:p>
        </w:tc>
        <w:tc>
          <w:tcPr>
            <w:tcW w:w="1040" w:type="dxa"/>
            <w:vAlign w:val="bottom"/>
          </w:tcPr>
          <w:p>
            <w:pPr>
              <w:jc w:val="right"/>
              <w:ind w:right="324"/>
              <w:spacing w:after="0" w:line="159" w:lineRule="exact"/>
              <w:rPr>
                <w:sz w:val="20"/>
                <w:szCs w:val="20"/>
                <w:color w:val="auto"/>
              </w:rPr>
            </w:pPr>
            <w:r>
              <w:rPr>
                <w:rFonts w:ascii="Arial" w:cs="Arial" w:eastAsia="Arial" w:hAnsi="Arial"/>
                <w:sz w:val="14"/>
                <w:szCs w:val="14"/>
                <w:color w:val="auto"/>
              </w:rPr>
              <w:t>2011</w:t>
            </w:r>
          </w:p>
        </w:tc>
        <w:tc>
          <w:tcPr>
            <w:tcW w:w="1340" w:type="dxa"/>
            <w:vAlign w:val="bottom"/>
            <w:gridSpan w:val="2"/>
          </w:tcPr>
          <w:p>
            <w:pPr>
              <w:jc w:val="right"/>
              <w:ind w:right="302"/>
              <w:spacing w:after="0" w:line="159" w:lineRule="exact"/>
              <w:rPr>
                <w:sz w:val="20"/>
                <w:szCs w:val="20"/>
                <w:color w:val="auto"/>
              </w:rPr>
            </w:pPr>
            <w:r>
              <w:rPr>
                <w:rFonts w:ascii="Arial" w:cs="Arial" w:eastAsia="Arial" w:hAnsi="Arial"/>
                <w:sz w:val="14"/>
                <w:szCs w:val="14"/>
                <w:color w:val="auto"/>
              </w:rPr>
              <w:t>2010</w:t>
            </w:r>
          </w:p>
        </w:tc>
        <w:tc>
          <w:tcPr>
            <w:tcW w:w="320" w:type="dxa"/>
            <w:vAlign w:val="bottom"/>
          </w:tcPr>
          <w:p>
            <w:pPr>
              <w:spacing w:after="0"/>
              <w:rPr>
                <w:sz w:val="13"/>
                <w:szCs w:val="13"/>
                <w:color w:val="auto"/>
              </w:rPr>
            </w:pPr>
          </w:p>
        </w:tc>
        <w:tc>
          <w:tcPr>
            <w:tcW w:w="1040" w:type="dxa"/>
            <w:vAlign w:val="bottom"/>
          </w:tcPr>
          <w:p>
            <w:pPr>
              <w:jc w:val="right"/>
              <w:ind w:right="324"/>
              <w:spacing w:after="0" w:line="159" w:lineRule="exact"/>
              <w:rPr>
                <w:sz w:val="20"/>
                <w:szCs w:val="20"/>
                <w:color w:val="auto"/>
              </w:rPr>
            </w:pPr>
            <w:r>
              <w:rPr>
                <w:rFonts w:ascii="Arial" w:cs="Arial" w:eastAsia="Arial" w:hAnsi="Arial"/>
                <w:sz w:val="14"/>
                <w:szCs w:val="14"/>
                <w:color w:val="auto"/>
              </w:rPr>
              <w:t>2011</w:t>
            </w:r>
          </w:p>
        </w:tc>
        <w:tc>
          <w:tcPr>
            <w:tcW w:w="300" w:type="dxa"/>
            <w:vAlign w:val="bottom"/>
          </w:tcPr>
          <w:p>
            <w:pPr>
              <w:spacing w:after="0"/>
              <w:rPr>
                <w:sz w:val="13"/>
                <w:szCs w:val="13"/>
                <w:color w:val="auto"/>
              </w:rPr>
            </w:pPr>
          </w:p>
        </w:tc>
        <w:tc>
          <w:tcPr>
            <w:tcW w:w="1040" w:type="dxa"/>
            <w:vAlign w:val="bottom"/>
          </w:tcPr>
          <w:p>
            <w:pPr>
              <w:jc w:val="right"/>
              <w:ind w:right="302"/>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322"/>
        </w:trPr>
        <w:tc>
          <w:tcPr>
            <w:tcW w:w="6240" w:type="dxa"/>
            <w:vAlign w:val="bottom"/>
          </w:tcPr>
          <w:p>
            <w:pPr>
              <w:spacing w:after="0"/>
              <w:rPr>
                <w:sz w:val="20"/>
                <w:szCs w:val="20"/>
                <w:color w:val="auto"/>
              </w:rPr>
            </w:pPr>
            <w:r>
              <w:rPr>
                <w:rFonts w:ascii="Arial" w:cs="Arial" w:eastAsia="Arial" w:hAnsi="Arial"/>
                <w:sz w:val="18"/>
                <w:szCs w:val="18"/>
                <w:color w:val="auto"/>
              </w:rPr>
              <w:t>Range of exercise prices of such options</w:t>
            </w:r>
          </w:p>
        </w:tc>
        <w:tc>
          <w:tcPr>
            <w:tcW w:w="1040" w:type="dxa"/>
            <w:vAlign w:val="bottom"/>
          </w:tcPr>
          <w:p>
            <w:pPr>
              <w:jc w:val="right"/>
              <w:spacing w:after="0"/>
              <w:rPr>
                <w:sz w:val="20"/>
                <w:szCs w:val="20"/>
                <w:color w:val="auto"/>
              </w:rPr>
            </w:pPr>
            <w:r>
              <w:rPr>
                <w:rFonts w:ascii="Arial" w:cs="Arial" w:eastAsia="Arial" w:hAnsi="Arial"/>
                <w:sz w:val="18"/>
                <w:szCs w:val="18"/>
                <w:color w:val="auto"/>
                <w:w w:val="87"/>
              </w:rPr>
              <w:t>$3.98 - $10.26</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$3.88 - $10.26</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$4.14 - $10.26</w:t>
            </w:r>
          </w:p>
        </w:tc>
        <w:tc>
          <w:tcPr>
            <w:tcW w:w="1040" w:type="dxa"/>
            <w:vAlign w:val="bottom"/>
          </w:tcPr>
          <w:p>
            <w:pPr>
              <w:jc w:val="right"/>
              <w:spacing w:after="0"/>
              <w:rPr>
                <w:sz w:val="20"/>
                <w:szCs w:val="20"/>
                <w:color w:val="auto"/>
              </w:rPr>
            </w:pPr>
            <w:r>
              <w:rPr>
                <w:rFonts w:ascii="Arial" w:cs="Arial" w:eastAsia="Arial" w:hAnsi="Arial"/>
                <w:sz w:val="18"/>
                <w:szCs w:val="18"/>
                <w:color w:val="auto"/>
                <w:w w:val="87"/>
              </w:rPr>
              <w:t>$3.88 - $10.26</w:t>
            </w:r>
          </w:p>
        </w:tc>
        <w:tc>
          <w:tcPr>
            <w:tcW w:w="100" w:type="dxa"/>
            <w:vAlign w:val="bottom"/>
          </w:tcPr>
          <w:p>
            <w:pPr>
              <w:spacing w:after="0"/>
              <w:rPr>
                <w:sz w:val="24"/>
                <w:szCs w:val="24"/>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October 29, 2011, expire from May 1, 2012 to August 31, 2021.</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October 29, 2011, the Company had a valuation allowance of approximately $47.1 million against its deferred tax assets. The deferred tax assets include approximately $19.7 million of net operating loss carryforwards that expire through 2029 and approximately $8.2 million of deferred gain on sale-leaseback and, to a lesser extent, other book/tax timing differences.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ability to reduce the valuation allowance of $47.1 million is dependent upon the Company’s ability to achieve sustained taxable income to realize its deferred tax assets. Because fiscal 2011 earnings will be a significant factor in determining the amount of the valuation allowance that can be reversed, the deferred tax assets remain fully reserved at October 29, 2011. However, based on the Company’s results of operations for the past two fiscal years as well as its projected earnings for fiscal 2011, the Company expects to be able to reverse substantially all of the valuation allowance in the fourth quarter of fiscal 2011. The Company expects the reversal of the valuation allowance will increase net income for fiscal 2011 by approximately $40.0 million.</w:t>
      </w:r>
    </w:p>
    <w:p>
      <w:pPr>
        <w:spacing w:after="0" w:line="1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Company’s effective tax rate for the first nine months of fiscal 2011 has been reduced from the statutory rate due to the utilization of the Company’s fully reserved net operating loss carryforwards. The Company expects its effective rate to return to a normalized rate of approximately 40% once the valuation allowance is reversed.</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 that the position would be sustained upon audit based solely on the technical merits of the tax position. At October 29, 2011, the Company had no material unrecognized tax benefits. During the third quarter of fiscal 2010, the Company recognized a tax benefit of $0.8 million, or $0.02 per diluted share, as a result of the reduction in its liability for uncertain tax positions, due to the expiration of certain statutes of limitation.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subject to U.S. federal income tax as well as income tax of multiple state and foreign jurisdictions. The Company has concluded all U.S. federal income tax matters for years through fiscal 1998, with remaining fiscal years subject to income tax examination by federal tax authorities.</w:t>
      </w:r>
    </w:p>
    <w:p>
      <w:pPr>
        <w:spacing w:after="0" w:line="85"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nine months of fiscal 2011.</w:t>
      </w:r>
    </w:p>
    <w:p>
      <w:pPr>
        <w:spacing w:after="0" w:line="20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 accounts for litigation and claims in accordance with Topic 450, </w:t>
      </w:r>
      <w:r>
        <w:rPr>
          <w:rFonts w:ascii="Arial" w:cs="Arial" w:eastAsia="Arial" w:hAnsi="Arial"/>
          <w:sz w:val="18"/>
          <w:szCs w:val="18"/>
          <w:i w:val="1"/>
          <w:iCs w:val="1"/>
          <w:color w:val="auto"/>
        </w:rPr>
        <w:t>Contingencies</w:t>
      </w:r>
      <w:r>
        <w:rPr>
          <w:rFonts w:ascii="Arial" w:cs="Arial" w:eastAsia="Arial" w:hAnsi="Arial"/>
          <w:sz w:val="18"/>
          <w:szCs w:val="18"/>
          <w:color w:val="auto"/>
        </w:rPr>
        <w:t>. Pursuant to Topic 450, loss contingency provisions are recorded for probable and estimable losses based upon the Company’s best estimate of a loss, or when a best estimate cannot be made, at its estimate of the minimum loss. These estimates are refined each accounting period as additional information becomes known.</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is subject to various legal proceedings and claims that arise in the ordinary course of business. For example, the Company is involved in two California meal and rest breaks class action suits. During the third quarter of fiscal 2011, the Company recorded a charge of approximately $1.4 million, which represents an accrual for the Company’s estimate of potential obligations for certain of its outstanding litigation, primarily related to the two California class action lawsuits, as well as incurred legal fees to date. Management believes that it has sufficiently accrued for such matters and that the resolution of those matters will not have a material adverse impact on the results of operations or the financial position of the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January 29, 2011, filed with the Securities and Exchange Commission on March 18, 2011, and Part II, Item 1A of our Quarterly Reports, including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Casual Male Retail Group, Inc. together with our subsidiaries is the largest specialty retailer of big &amp; tall men’s apparel with retail operations in the United States and London, England and direct businesses throughout the United States, Canada and Europe. We operate under the trade names of Casual Male XL, Casual Male XL Outlets, DestinationXL</w:t>
      </w:r>
      <w:r>
        <w:rPr>
          <w:rFonts w:ascii="Arial" w:cs="Arial" w:eastAsia="Arial" w:hAnsi="Arial"/>
          <w:sz w:val="10"/>
          <w:szCs w:val="10"/>
          <w:color w:val="auto"/>
        </w:rPr>
        <w:t>®</w:t>
      </w:r>
      <w:r>
        <w:rPr>
          <w:rFonts w:ascii="Arial" w:cs="Arial" w:eastAsia="Arial" w:hAnsi="Arial"/>
          <w:sz w:val="16"/>
          <w:szCs w:val="16"/>
          <w:color w:val="auto"/>
        </w:rPr>
        <w:t>, Rochester Clothing, B&amp;T Factory Direct, ShoesXL</w:t>
      </w:r>
      <w:r>
        <w:rPr>
          <w:rFonts w:ascii="Arial" w:cs="Arial" w:eastAsia="Arial" w:hAnsi="Arial"/>
          <w:sz w:val="10"/>
          <w:szCs w:val="10"/>
          <w:color w:val="auto"/>
        </w:rPr>
        <w:t>®</w:t>
      </w:r>
      <w:r>
        <w:rPr>
          <w:rFonts w:ascii="Arial" w:cs="Arial" w:eastAsia="Arial" w:hAnsi="Arial"/>
          <w:sz w:val="16"/>
          <w:szCs w:val="16"/>
          <w:color w:val="auto"/>
        </w:rPr>
        <w:t xml:space="preserve"> and LivingXL</w:t>
      </w:r>
      <w:r>
        <w:rPr>
          <w:rFonts w:ascii="Arial" w:cs="Arial" w:eastAsia="Arial" w:hAnsi="Arial"/>
          <w:sz w:val="10"/>
          <w:szCs w:val="10"/>
          <w:color w:val="auto"/>
        </w:rPr>
        <w:t>®</w:t>
      </w:r>
      <w:r>
        <w:rPr>
          <w:rFonts w:ascii="Arial" w:cs="Arial" w:eastAsia="Arial" w:hAnsi="Arial"/>
          <w:sz w:val="16"/>
          <w:szCs w:val="16"/>
          <w:color w:val="auto"/>
        </w:rPr>
        <w:t>. At October 29, 2011, we operated 371 Casual Male XL retail stores, 60 Casual Male XL outlet stores, 11 DestinationXL (“DXL</w:t>
      </w:r>
      <w:r>
        <w:rPr>
          <w:rFonts w:ascii="Arial" w:cs="Arial" w:eastAsia="Arial" w:hAnsi="Arial"/>
          <w:sz w:val="10"/>
          <w:szCs w:val="10"/>
          <w:color w:val="auto"/>
        </w:rPr>
        <w:t>®</w:t>
      </w:r>
      <w:r>
        <w:rPr>
          <w:rFonts w:ascii="Arial" w:cs="Arial" w:eastAsia="Arial" w:hAnsi="Arial"/>
          <w:sz w:val="16"/>
          <w:szCs w:val="16"/>
          <w:color w:val="auto"/>
        </w:rPr>
        <w:t>”) stores and 14 Rochester Clothing stores. Our direct business includes several catalogs and e-commerce sites which support our brands and product extensions.</w:t>
      </w:r>
    </w:p>
    <w:p>
      <w:pPr>
        <w:spacing w:after="0" w:line="116"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Unless the context indicates otherwise, all references to “we,” “our,” “ours,” “us” and “the Company” refer to Casual Male Retail Group, Inc. and our consolidated subsidiaries. We refer to our fiscal years which end on January 28, 2012 and January 29, 2011 as “fiscal 2011” and “fiscal 2010,” respectively.</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Our DestinationXL stores are considered relocations and comparable to all the closed stores in each respective market area. We include our direct businesses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third quarter of fiscal 2011, we had a net loss of $(1.6) million or $(0.03) per diluted share as compared to net income of $0.3 million, or $0.01 per diluted share, for the third quarter of fiscal 2010. For the first nine months of fiscal 2011, net income was $9.2 million, or $0.19 per diluted share, as compared to $10.0 million, or $0.21 per diluted share, for the first nine months of fiscal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 for the third quarter of fiscal 2011 were below our expectations. Total sales for the third quarter of fiscal 2011 were down 0.6% as compared to the third quarter of fiscal 2010. During the third quarter, we experienced a decrease in our store traffic of approximately 6% from the prior year’s third quarter, as compared to our trend through the second quarter of a 1% decrease, which directly impacted our top line. As a result, we have revised our earnings expectations for fiscal 2011 - see “Fiscal 2011 Outlook” below.</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Even though we are still experiencing negative store traffic, comparable sales increased 0.7% and 2.6%, respectively, for the third quarter and first nine months of fiscal 2011, as a result of both modest product price increases (which we started to implement during the first quarter of fiscal 2011) and continued improvements in sales productivity driven by our customer service initiatives.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From a liquidity perspective, at October 29, 2011, we have $5.6 million in cash and cash equivalents, no outstanding debt and full availability under our credit facility of $68.8 million. We continue to generate positive free cash flow (see “Presentation of Non-GAAP Measure” below) and manage our inventory, which has been a key component in optimizing our merchandise margins, enabling us to avoid excessive promotional and clearance activity.</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first nine months of fiscal 2011, we have opened seven DXL</w:t>
      </w:r>
      <w:r>
        <w:rPr>
          <w:rFonts w:ascii="Arial" w:cs="Arial" w:eastAsia="Arial" w:hAnsi="Arial"/>
          <w:sz w:val="11"/>
          <w:szCs w:val="11"/>
          <w:color w:val="auto"/>
        </w:rPr>
        <w:t>®</w:t>
      </w:r>
      <w:r>
        <w:rPr>
          <w:rFonts w:ascii="Arial" w:cs="Arial" w:eastAsia="Arial" w:hAnsi="Arial"/>
          <w:sz w:val="18"/>
          <w:szCs w:val="18"/>
          <w:color w:val="auto"/>
        </w:rPr>
        <w:t xml:space="preserve"> stores. In aggregate, for the first nine months of fiscal 2011, the DXL stores continue to show improved sales within their respective markets of approximately 15%, on a comparable basis, versus the first nine months of fiscal 2010, with all stores showing some improvement. During the fourth quarter of fiscal 2011, we expect to open an additional 5 DXL stores for a total of 16 DXL stores operating by the end of fiscal 2011 (down from our previous estimate of 19 to 20 DXL stores).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During the third quarter of fiscal 2011, we introduced our DXL catalog and launched our new DXL website at www.destinationxl.com. Our DXL website, with a multi-channel solution similar to the DXL store experience, has state-of-the-art functionality, enabling our customers to shop across all brands and product extensions with ease. The DXL website and catalog launched during the third quarter of fiscal 2011 with minimal advertising. Subsequently, we will increase the marketing of our new DXL website and DXL catalog by introducing our existing customer base to the DXL concept.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2011 Outlook</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As a result of the lower than expected sales during the third quarter, we have revised our earnings expectations for fiscal 2011 to reflect this lower sales base. For fiscal 2011, we expect earnings to be $0.35 to $0.38 per diluted share. This is a decrease from our previous guidance of $0.40 to $0.45 per diluted share.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Our revised earnings guidance is based on:</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sales of approximately $397.5 to $402.5 million (a decrease from our previous guidance of $405.0-$410.0 million).</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rate of 46.9% to 47.3% (no change from our previous guidance). This represents an improvement of 105 to 150 basis points from fiscal 2010’s gross margin rate.</w:t>
      </w:r>
    </w:p>
    <w:p>
      <w:pPr>
        <w:spacing w:after="0" w:line="5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reinstated our employer match for our 401K Plans and have given modest salary increases to some of our employees, resulting in an expected increase in SG&amp;A of approximately 3.0% to $156.0 million (no change from our previous guidance). The modest salary increases are the first increases since the economic difficulties began in fiscal 2008.</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From a liquidity perspective, we expect cash flow from operating activities to be $27.5 to $30.0 million (a decrease from our previously reported range of $37.5 to $40.0 million), resulting in free cash flow (as defined below under “Presentation of Non-GAAP Measure”) of approximately $9.5 to $12.0 million (down from a range of $17.5 to $20.0 million previously reported). We expect our cash balances to be approximately $13.0-$14.0 million by the end of fiscal 2011 (a decrease from our previously reported estimate of $22.0-$25.0 million). Our capital expenditures for fiscal 2011 will be approximately $18.0 million (down from the $20.0 million previously reported). These expenditures are primarily related to our planned opening of 12 new DXL stores during fiscal 2011 and capital being spent on investing in the infrastructure of our direct channel in connection with the launch of our new DXL</w:t>
      </w:r>
      <w:r>
        <w:rPr>
          <w:rFonts w:ascii="Arial" w:cs="Arial" w:eastAsia="Arial" w:hAnsi="Arial"/>
          <w:sz w:val="10"/>
          <w:szCs w:val="10"/>
          <w:color w:val="auto"/>
        </w:rPr>
        <w:t>®</w:t>
      </w:r>
      <w:r>
        <w:rPr>
          <w:rFonts w:ascii="Arial" w:cs="Arial" w:eastAsia="Arial" w:hAnsi="Arial"/>
          <w:sz w:val="16"/>
          <w:szCs w:val="16"/>
          <w:color w:val="auto"/>
        </w:rPr>
        <w:t xml:space="preserve"> website during the third quarter of fiscal 2011. As we open new DXL stores, we will be closing existing stores in the area. For fiscal 2011, we currently expect to close 15 to 20 existing stores. By the end of fiscal 2011, our total store count is expected to be approximately 450 stores.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fiscal 2012, we plan to open 35-40 additional DXL stores, resulting in approximately 51-56 DXL stores operating at the end of fiscal 2012, with at least one store located in most of the major metropolitan cities across the United States. At the same time, we expect to close approximately 55-65 existing stores in connection with opening these DXL stores, resulting in an estimated store count of approximately 425 stores at the end of fiscal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4"/>
          </w:tcPr>
          <w:p>
            <w:pPr>
              <w:ind w:left="240"/>
              <w:spacing w:after="0"/>
              <w:rPr>
                <w:sz w:val="20"/>
                <w:szCs w:val="20"/>
                <w:color w:val="auto"/>
              </w:rPr>
            </w:pPr>
            <w:r>
              <w:rPr>
                <w:rFonts w:ascii="Arial" w:cs="Arial" w:eastAsia="Arial" w:hAnsi="Arial"/>
                <w:sz w:val="14"/>
                <w:szCs w:val="14"/>
                <w:color w:val="auto"/>
                <w:w w:val="93"/>
              </w:rPr>
              <w:t>For the nine months ended:</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4"/>
              </w:rPr>
              <w:t>Projected Cash Flow</w:t>
            </w:r>
          </w:p>
        </w:tc>
      </w:tr>
      <w:tr>
        <w:trPr>
          <w:trHeight w:val="159"/>
        </w:trPr>
        <w:tc>
          <w:tcPr>
            <w:tcW w:w="6800" w:type="dxa"/>
            <w:vAlign w:val="bottom"/>
          </w:tcPr>
          <w:p>
            <w:pPr>
              <w:ind w:left="2740"/>
              <w:spacing w:after="0" w:line="159" w:lineRule="exact"/>
              <w:rPr>
                <w:sz w:val="20"/>
                <w:szCs w:val="20"/>
                <w:color w:val="auto"/>
              </w:rPr>
            </w:pPr>
            <w:r>
              <w:rPr>
                <w:rFonts w:ascii="Arial" w:cs="Arial" w:eastAsia="Arial" w:hAnsi="Arial"/>
                <w:sz w:val="14"/>
                <w:szCs w:val="14"/>
                <w:i w:val="1"/>
                <w:iCs w:val="1"/>
                <w:color w:val="auto"/>
              </w:rPr>
              <w:t>(in millions)</w:t>
            </w:r>
          </w:p>
        </w:tc>
        <w:tc>
          <w:tcPr>
            <w:tcW w:w="1680" w:type="dxa"/>
            <w:vAlign w:val="bottom"/>
            <w:gridSpan w:val="4"/>
          </w:tcPr>
          <w:p>
            <w:pPr>
              <w:spacing w:after="0" w:line="159" w:lineRule="exact"/>
              <w:rPr>
                <w:sz w:val="20"/>
                <w:szCs w:val="20"/>
                <w:color w:val="auto"/>
              </w:rPr>
            </w:pPr>
            <w:r>
              <w:rPr>
                <w:rFonts w:ascii="Arial" w:cs="Arial" w:eastAsia="Arial" w:hAnsi="Arial"/>
                <w:sz w:val="14"/>
                <w:szCs w:val="14"/>
                <w:color w:val="auto"/>
              </w:rPr>
              <w:t>October 29, 2011</w:t>
            </w:r>
          </w:p>
        </w:tc>
        <w:tc>
          <w:tcPr>
            <w:tcW w:w="136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October 30, 2010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7"/>
              </w:rPr>
              <w:t>Fiscal 2011</w:t>
            </w: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flow from operating activities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340" w:type="dxa"/>
            <w:vAlign w:val="bottom"/>
          </w:tcPr>
          <w:p>
            <w:pPr>
              <w:spacing w:after="0"/>
              <w:rPr>
                <w:sz w:val="18"/>
                <w:szCs w:val="18"/>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8"/>
                <w:szCs w:val="18"/>
                <w:color w:val="auto"/>
              </w:rPr>
              <w:t>(11.0)</w:t>
            </w:r>
          </w:p>
        </w:tc>
        <w:tc>
          <w:tcPr>
            <w:tcW w:w="5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Less: discretionary store asset acquisitions</w:t>
            </w:r>
          </w:p>
        </w:tc>
        <w:tc>
          <w:tcPr>
            <w:tcW w:w="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Free cash flow</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7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9.5-$12.0</w:t>
            </w:r>
          </w:p>
        </w:tc>
      </w:tr>
      <w:tr>
        <w:trPr>
          <w:trHeight w:val="20"/>
        </w:trPr>
        <w:tc>
          <w:tcPr>
            <w:tcW w:w="6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the third quarter of fiscal 2011, total sales decreased by 0.6% to $89.4 million when compared to total sales of $89.9 million for the third quarter of fiscal 2010. Comparable sales for the third quarter increased 0.7% when compared to the same period of the prior year. On a comparable basis, sales from our retail business increased 1.5% for the third quarter and sales from our direct businesses decreased 2.5%. As planned, during the first quarter of fiscal 2011, we started to increase prices within certain merchandise categories. For the third quarter of fiscal 2011, our average unit retail increased approximately 8% over the prior year’s third quarter. This increase is due partly to product price increases, and partly to the result of improved sales productivity by our selling associates.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sales for the third quarter of fiscal 2011 were below expectations and were primarily driven by a decrease in store traffic of approximately 6% when compared to the third quarter of fiscal 2010. While we continue to experience improvement in our “average retail” metrics, decreased store traffic had a negative impact on our sales trend for the third quarter of fiscal 2011.</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first nine months of fiscal 2011, total sales increased by 1.4% to $286.2 million as compared to $282.2 million for the first nine months of the prior year. Comparable sales for the first nine months increased 2.6% when compared to the first nine months of fiscal 2010. The increase consisted of a 2.8% increase in our retail business and a 1.9% increase in our direct business.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Because of our sales shortfall during the third quarter of fiscal 2011, we have lowered our expected sales volumes for fiscal 2011 to a range of $397.5 million to $402.5 million from our previous guidance of $405.0 million to $410.0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For the third quarter of fiscal 2011, our gross margin rate, inclusive of occupancy costs, was 45.0% as compared to a gross margin rate of 45.7% for the third quarter of fiscal 2010. The decrease of 70 basis points for the third quarter of fiscal 2011 was the result of a decrease of 20 basis points in merchandise margins plus an increase of 50 basis points related to higher occupancy costs against a lower sales base. On a dollar basis, occupancy costs for the third quarter of fiscal 2011 increased 2.8% when compared to the third quarter of fiscal 2010. This increase is primarily related to the addition of our 7 new DXL stores.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nine months of fiscal 2011, our gross margin rate, inclusive of occupancy costs, was 46.8% as compared to a gross margin rate of 46.0% for the first nine months of fiscal 2010. The increase of 80 basis points for the first nine months of fiscal 2011 was the result of an increase of 60 basis points in merchandise margins plus 20 basis points related to the leveraging of occupancy costs on sales. On a dollar basis, occupancy costs for the first nine months of fiscal 2011 were flat when compared to the first nine months of fiscal 2010.</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While we have adjusted our sales guidance for fiscal 2011, we continue to expect that our gross margin will improve by approximately 105 to 150 basis points. We are expecting that our occupancy costs, on a dollar-basis, will remain flat to fiscal 2010. As a result, we expect to leverage occupancy costs by approximately 30 to 50 basis points in fiscal 2011. In addition, we are planning on continued improvement of 75 to 100 basis points in merchandise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SG&amp;A expenses for the third quarter of fiscal 2011 were 43.2% of sales as compared to 43.1% of sales for the third quarter of fiscal 2010. On a dollar basis, SG&amp;A expenses slightly decreased by $0.2 million, or 0.5%, for the third quarter of fiscal 2011 as compared to the third quarter of fiscal 2010. This decrease is primarily due to lower bonus accruals which have been adjusted as a result of our revised fiscal 2011 earnings expectations. This decrease was offset by an increase of approximately $1.4 million related to accruals for anticipated litigation settlements, primarily associated with two California meal and rest breaks class actions suits, and legal expense to date.</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the first nine months of fiscal 2011, SG&amp;A expenses were 39.9% of sales as compared to 38.9% for the first nine months of fiscal 2010. On a dollar basis, SG&amp;A expenses increased $4.2 million, or 3.8%, for the first nine months of fiscal 2011 as compared to the first nine months of fiscal 2010. In addition to the legal accruals mentioned above, the remainder of the increase is primarily due to payroll-related expenses, such as modest salary increases, severance payments, reinstatement of the 401K employer match, as well as increased staffing in our global sourcing and merchandise areas.</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While SG&amp;A expense management is a significant priority for us, we are expecting our SG&amp;A expenses to increase by approximately 3% for fiscal 2011. This increase is primarily related to our incremental marketing costs associated with targeting our new DXL stores as well as the reinstatement of our 401K employer match and modest salary increases to some of our associates. Overall, we expect to limit our SG&amp;A growth rates, except where necessary to support our growth activities or where there are unanticipated costs that are necessary to support our overall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third quarter and first nine months of fiscal 2011, we recorded other expense of $0.3 million for professional services related to non-operating activities. For the third quarter and first nine months of fiscal 2010, other income was $0.3 million and $0.5 million, respectively, related to the remaining income recognized on our sale of LP Innovations,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interest expense was $0.1 million for the third quarter of fiscal 2011 as compared to $0.2 million for the third quarter of fiscal 2010. For the first nine months of fiscal 2011 net interest expense was $0.4 million as compared to $0.5 million for the first nine months of fiscal 2010. The interest expense for the third quarter and first nine months of fiscal 2011 primarily relates to the unused line fee on our credit facility as a result of having minimal borrowings during the first nine months of fiscal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October 29, 2011, we had a valuation allowance of approximately $47.1 million against our deferred tax assets. The deferred tax assets include approximately $19.7 million of net operating loss carryforwards that expire through 2029 and approximately $8.2 million of deferred gain on our sale-leaseback and, to a lesser extent, other book/tax timing differences.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4" w:name="page15"/>
    <w:bookmarkEnd w:id="14"/>
    <w:p>
      <w:pPr>
        <w:ind w:right="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 of the weakened economy on our retail business, especially in fiscal 2008, had a significant impact upon our revenue and profitability. Further, the conditions of the economy also negatively impacted our market value as a result of the deterioration of the capital markets and resulted in substantial impairments in fiscal 2008. Accordingly, due to our cumulative operating losses as well as our uncertainty regarding the economy and our ability to generate future taxable income to realize all of our deferred tax assets, in the fourth quarter of fiscal 2008, we established a valuation allowance against our deferred tax assets.</w:t>
      </w:r>
    </w:p>
    <w:p>
      <w:pPr>
        <w:spacing w:after="0" w:line="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ability to reduce this valuation allowance of $47.1 million is dependent upon our ability to achieve sustained taxable income to realize our deferred tax assets. Because our fiscal 2011 earnings will be a significant factor in determining the amount of the valuation allowance that can be reversed, our deferred tax assets remain fully reserved at October 29, 2011. However, based on our results of operations for the past two fiscal years as well as our projected earnings for fiscal 2011 and beyond, we expect, barring any unforeseen circumstances, to be able to reverse substantially all of the valuation allowance in the fourth quarter of fiscal 2011. We expect that the reversal of the valuation allowance will increase net income for fiscal 2011 by approximately $40.0 million.</w:t>
      </w:r>
    </w:p>
    <w:p>
      <w:pPr>
        <w:spacing w:after="0" w:line="1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effective tax rate for the third quarter and first nine months of fiscal 2011 has been reduced from the statutory rate due to the utilization of fully reserved net operating loss carryforwards. We expect our effective rate to return to a rate of approximately 40% when the current valuation allowance is reversed. During the third quarter of fiscal 2010, we recognized a tax benefit of $0.8 million, or $0.02 per diluted share, as a result of a reduction in our liability for uncertain tax positions, due to the expiration of certain statutes of limitation.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third quarter of fiscal 2011, we had a net loss of $(1.6) million, or $(0.03) per diluted share, as compared to net income of $0.3 million, or $0.01 per diluted share, for the third quarter of fiscal 2010. For the first nine months of fiscal 2011, net income was $9.1 million, or $0.19 per diluted share, as compared to net income of $10.0 million, or $0.21 per diluted share, for the first nine months of fiscal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October 29, 2011, total inventory was $114.9 million compared to $92.9 million at January 29, 2011 and $109.6 million at October 30, 2010. Because of the upcoming “Holiday” selling season, our inventory levels are typically higher when compared to year-end balances.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Inventory at the end of the third quarter of fiscal 2011 increased by approximately $5.3 million as compared to October 30, 2010. This increase over the prior year is primarily related to cost increases. We continue to make a concerted effort to manage our inventory levels, which continue to remain in line with our year-end projections.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primary cash needs are for working capital (essentially inventory requirements), capital expenditures and our growth initiatives. As discussed below, our capital expenditure program for fiscal 2011 is $18.0 million, which is greater than fiscal 2010 primarily due to the opening of 12 DestinationXL stores as well as the upgrading of our e-commerce sites to a single platform, multi-brand format.</w:t>
      </w:r>
    </w:p>
    <w:p>
      <w:pPr>
        <w:spacing w:after="0" w:line="140"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We currently believe that our existing cash generated by operations together with our availability under our credit facility will be sufficient within current forecasts for us to meet our foreseeable liquidity requirements and capital needs to support our DestinationXL expansion and growth plans. Furthermore, we believe that our cash flow from operations will be sufficient to support our DXL expansion plans of opening 35-40 stores during fiscal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nine months of fiscal 2011, free cash flow, which we define as cash flow from operating activities, less capital expenditures and discretionary store asset acquisitions, if any, improved by $3.1 million to $0.7 million from $(2.4) million for the first nine months of fiscal 2010. See “Presentation of Non-GAAP Measure” above regarding non-GAAP free cash flow. The improvement in free cash flow of $3.1 million in the first nine months of fiscal 2011 was due to improved operating income partially offset by our increase in capital expenditures to support our DXL growth initiative.</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to cash flow from operations, our other primary source of working capital is our credit facility, which we amended and restated with Bank of America, N.A. (the “Credit Facility”) during the fourth quarter of fiscal 2010. The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letters of credit and a sublimit of up to $15 million for Swingline Loans. The maturity date of the Credit Facility is November 10, 2014. Our Credit Facility is described in more detail in Note 2 to the Notes to the Consolidated Financial Statements.</w:t>
      </w:r>
    </w:p>
    <w:p>
      <w:pPr>
        <w:spacing w:after="0" w:line="1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had no borrowings outstanding under the Credit Facility at October 29, 2011. Outstanding standby letters of credit were $2.3 million and outstanding documentary letters of credit were $3.9 million. The average monthly borrowing outstanding under this facility during the first nine months of fiscal 2011 was approximately $147,000, resulting in an average unused excess availability of approximately $65.6 million. Unused excess availability at October 29, 2011 was $68.8 million. Our obligations under the Credit Facility are secured by a lien on all of our assets. The facility contains no 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October 29, 2011 and October 30, 2010,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color w:val="auto"/>
                <w:w w:val="87"/>
              </w:rPr>
              <w:t>Store Concept</w:t>
            </w:r>
          </w:p>
        </w:tc>
        <w:tc>
          <w:tcPr>
            <w:tcW w:w="2700" w:type="dxa"/>
            <w:vAlign w:val="bottom"/>
          </w:tcPr>
          <w:p>
            <w:pPr>
              <w:spacing w:after="0"/>
              <w:rPr>
                <w:sz w:val="14"/>
                <w:szCs w:val="14"/>
                <w:color w:val="auto"/>
              </w:rPr>
            </w:pPr>
          </w:p>
        </w:tc>
        <w:tc>
          <w:tcPr>
            <w:tcW w:w="3160" w:type="dxa"/>
            <w:vAlign w:val="bottom"/>
            <w:gridSpan w:val="4"/>
          </w:tcPr>
          <w:p>
            <w:pPr>
              <w:ind w:left="680"/>
              <w:spacing w:after="0"/>
              <w:rPr>
                <w:sz w:val="20"/>
                <w:szCs w:val="20"/>
                <w:color w:val="auto"/>
              </w:rPr>
            </w:pPr>
            <w:r>
              <w:rPr>
                <w:rFonts w:ascii="Arial" w:cs="Arial" w:eastAsia="Arial" w:hAnsi="Arial"/>
                <w:sz w:val="14"/>
                <w:szCs w:val="14"/>
                <w:color w:val="auto"/>
              </w:rPr>
              <w:t>At October 29, 2011</w:t>
            </w:r>
          </w:p>
        </w:tc>
        <w:tc>
          <w:tcPr>
            <w:tcW w:w="2600" w:type="dxa"/>
            <w:vAlign w:val="bottom"/>
            <w:gridSpan w:val="4"/>
          </w:tcPr>
          <w:p>
            <w:pPr>
              <w:ind w:left="700"/>
              <w:spacing w:after="0"/>
              <w:rPr>
                <w:sz w:val="20"/>
                <w:szCs w:val="20"/>
                <w:color w:val="auto"/>
              </w:rPr>
            </w:pPr>
            <w:r>
              <w:rPr>
                <w:rFonts w:ascii="Arial" w:cs="Arial" w:eastAsia="Arial" w:hAnsi="Arial"/>
                <w:sz w:val="14"/>
                <w:szCs w:val="14"/>
                <w:color w:val="auto"/>
              </w:rPr>
              <w:t>At October 30, 2010</w:t>
            </w:r>
          </w:p>
        </w:tc>
        <w:tc>
          <w:tcPr>
            <w:tcW w:w="0" w:type="dxa"/>
            <w:vAlign w:val="bottom"/>
          </w:tcPr>
          <w:p>
            <w:pPr>
              <w:spacing w:after="0"/>
              <w:rPr>
                <w:sz w:val="1"/>
                <w:szCs w:val="1"/>
                <w:color w:val="auto"/>
              </w:rPr>
            </w:pPr>
          </w:p>
        </w:tc>
      </w:tr>
      <w:tr>
        <w:trPr>
          <w:trHeight w:val="166"/>
        </w:trPr>
        <w:tc>
          <w:tcPr>
            <w:tcW w:w="2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jc w:val="right"/>
              <w:spacing w:after="0" w:line="146" w:lineRule="exact"/>
              <w:rPr>
                <w:sz w:val="20"/>
                <w:szCs w:val="20"/>
                <w:color w:val="auto"/>
              </w:rPr>
            </w:pPr>
            <w:r>
              <w:rPr>
                <w:rFonts w:ascii="Arial" w:cs="Arial" w:eastAsia="Arial" w:hAnsi="Arial"/>
                <w:sz w:val="14"/>
                <w:szCs w:val="14"/>
                <w:color w:val="auto"/>
                <w:w w:val="85"/>
              </w:rPr>
              <w:t>Number of Stores</w:t>
            </w:r>
          </w:p>
        </w:tc>
        <w:tc>
          <w:tcPr>
            <w:tcW w:w="680" w:type="dxa"/>
            <w:vAlign w:val="bottom"/>
          </w:tcPr>
          <w:p>
            <w:pPr>
              <w:spacing w:after="0"/>
              <w:rPr>
                <w:sz w:val="14"/>
                <w:szCs w:val="14"/>
                <w:color w:val="auto"/>
              </w:rPr>
            </w:pPr>
          </w:p>
        </w:tc>
        <w:tc>
          <w:tcPr>
            <w:tcW w:w="1520" w:type="dxa"/>
            <w:vAlign w:val="bottom"/>
            <w:gridSpan w:val="2"/>
          </w:tcPr>
          <w:p>
            <w:pPr>
              <w:spacing w:after="0" w:line="146" w:lineRule="exact"/>
              <w:rPr>
                <w:sz w:val="20"/>
                <w:szCs w:val="20"/>
                <w:color w:val="auto"/>
              </w:rPr>
            </w:pPr>
            <w:r>
              <w:rPr>
                <w:rFonts w:ascii="Arial" w:cs="Arial" w:eastAsia="Arial" w:hAnsi="Arial"/>
                <w:sz w:val="14"/>
                <w:szCs w:val="14"/>
                <w:color w:val="auto"/>
              </w:rPr>
              <w:t>Square Footage</w:t>
            </w:r>
          </w:p>
        </w:tc>
        <w:tc>
          <w:tcPr>
            <w:tcW w:w="166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Number of Stores</w:t>
            </w:r>
          </w:p>
        </w:tc>
        <w:tc>
          <w:tcPr>
            <w:tcW w:w="940" w:type="dxa"/>
            <w:vAlign w:val="bottom"/>
            <w:gridSpan w:val="2"/>
          </w:tcPr>
          <w:p>
            <w:pPr>
              <w:spacing w:after="0" w:line="146" w:lineRule="exact"/>
              <w:rPr>
                <w:sz w:val="20"/>
                <w:szCs w:val="20"/>
                <w:color w:val="auto"/>
              </w:rPr>
            </w:pPr>
            <w:r>
              <w:rPr>
                <w:rFonts w:ascii="Arial" w:cs="Arial" w:eastAsia="Arial" w:hAnsi="Arial"/>
                <w:sz w:val="14"/>
                <w:szCs w:val="14"/>
                <w:color w:val="auto"/>
                <w:w w:val="91"/>
              </w:rPr>
              <w:t>Square Footage</w:t>
            </w:r>
          </w:p>
        </w:tc>
        <w:tc>
          <w:tcPr>
            <w:tcW w:w="0" w:type="dxa"/>
            <w:vAlign w:val="bottom"/>
          </w:tcPr>
          <w:p>
            <w:pPr>
              <w:spacing w:after="0"/>
              <w:rPr>
                <w:sz w:val="1"/>
                <w:szCs w:val="1"/>
                <w:color w:val="auto"/>
              </w:rPr>
            </w:pPr>
          </w:p>
        </w:tc>
      </w:tr>
      <w:tr>
        <w:trPr>
          <w:trHeight w:val="136"/>
        </w:trPr>
        <w:tc>
          <w:tcPr>
            <w:tcW w:w="296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square footage in thousands</w:t>
            </w:r>
            <w:r>
              <w:rPr>
                <w:rFonts w:ascii="Arial" w:cs="Arial" w:eastAsia="Arial" w:hAnsi="Arial"/>
                <w:sz w:val="14"/>
                <w:szCs w:val="14"/>
                <w:b w:val="1"/>
                <w:bCs w:val="1"/>
                <w:color w:val="auto"/>
              </w:rPr>
              <w:t>)</w:t>
            </w:r>
          </w:p>
        </w:tc>
        <w:tc>
          <w:tcPr>
            <w:tcW w:w="27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DXL</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114</w:t>
            </w: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Clothing</w:t>
            </w:r>
          </w:p>
        </w:tc>
        <w:tc>
          <w:tcPr>
            <w:tcW w:w="27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gridSpan w:val="2"/>
          </w:tcPr>
          <w:p>
            <w:pPr>
              <w:spacing w:after="0"/>
              <w:rPr>
                <w:sz w:val="20"/>
                <w:szCs w:val="20"/>
                <w:color w:val="auto"/>
              </w:rPr>
            </w:pPr>
            <w:r>
              <w:rPr>
                <w:rFonts w:ascii="Arial" w:cs="Arial" w:eastAsia="Arial" w:hAnsi="Arial"/>
                <w:sz w:val="18"/>
                <w:szCs w:val="18"/>
                <w:color w:val="auto"/>
              </w:rPr>
              <w:t>Total Stores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1,793</w:t>
            </w:r>
          </w:p>
        </w:tc>
        <w:tc>
          <w:tcPr>
            <w:tcW w:w="66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466</w:t>
            </w:r>
          </w:p>
        </w:tc>
        <w:tc>
          <w:tcPr>
            <w:tcW w:w="84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Total cash outlays for capital expenditures for the first nine months of fiscal 2011 and fiscal 2010 were $11.0 million and $7.3 million, respectively.</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fiscal 2011, our capital expenditures are expected to be approximately $18.0 million. The budget includes approximately $8.0 million related to the opening of 12 DestinationXL stores and approximately $5.0 million for continued information technology projects, including the launch of our enhanced multi-branded e-commerce site, with the remainder for general overhead projects. In addition, for fiscal 2011, we expect to close approximately 15 to 20 existing stores (12 of which have already been closed during the first nine months of fiscal 2011). By the end of fiscal 2011, our total store count is expected to be approximately 450 stores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DXL store openings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the strong performance of the four DXL stores opened in fiscal 2010, we plan to open 12 new stores during fiscal 2011 (7 of which have been opened during the first nine months of fiscal 2011). Because of the real estate and market demographics for each of these store locations, the size of each store ranges from 6,000 to 12,000 square feet, to accommodate each market. As mentioned above, for fiscal 2012, we plan to open 35-40 additional DXL stores, while at the same time closing 55-65 existing stores in connection with opening these DXL stores, resulting in an estimated store count of approximately 425 stores at the end of fiscal 2012.</w:t>
      </w:r>
    </w:p>
    <w:p>
      <w:pPr>
        <w:spacing w:after="0" w:line="14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third quarter we introduced our DXL catalog and launched our DXL website, with minimal advertising. During the fourth quarter of fiscal 2011, we will be marketing our new DXL website and catalogs to our existing customer base. This website, www.destinationxl.com, combines all of our existing e-commerce sites into one enhanced website, with state-of-the-art features and best practices. This enables our customers to shop across all of our brands and product extensions with ease and brings all of our customers under one concept. Their classification as a “Rochester” customer or a “Casual Male” customer no longer limits their ability to access our full product assortment.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Store 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29, 2011:</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w w:val="81"/>
              </w:rPr>
              <w:t>Rochester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6360" w:type="dxa"/>
            <w:vAlign w:val="bottom"/>
          </w:tcPr>
          <w:p>
            <w:pPr>
              <w:spacing w:after="0"/>
              <w:rPr>
                <w:sz w:val="13"/>
                <w:szCs w:val="13"/>
                <w:color w:val="auto"/>
              </w:rPr>
            </w:pPr>
          </w:p>
        </w:tc>
        <w:tc>
          <w:tcPr>
            <w:tcW w:w="13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w w:val="84"/>
              </w:rPr>
              <w:t>Casual Male</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DXL</w:t>
            </w:r>
          </w:p>
        </w:tc>
        <w:tc>
          <w:tcPr>
            <w:tcW w:w="620" w:type="dxa"/>
            <w:vAlign w:val="bottom"/>
          </w:tcPr>
          <w:p>
            <w:pPr>
              <w:spacing w:after="0"/>
              <w:rPr>
                <w:sz w:val="13"/>
                <w:szCs w:val="13"/>
                <w:color w:val="auto"/>
              </w:rPr>
            </w:pPr>
          </w:p>
        </w:tc>
        <w:tc>
          <w:tcPr>
            <w:tcW w:w="11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93"/>
              </w:rPr>
              <w:t>Clothing</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1"/>
              </w:rPr>
              <w:t>Total stores</w:t>
            </w:r>
          </w:p>
        </w:tc>
      </w:tr>
      <w:tr>
        <w:trPr>
          <w:trHeight w:val="210"/>
        </w:trPr>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At January 29, 2011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New stores</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Closed stores</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21"/>
        </w:trPr>
        <w:tc>
          <w:tcPr>
            <w:tcW w:w="6360" w:type="dxa"/>
            <w:vAlign w:val="bottom"/>
          </w:tcPr>
          <w:p>
            <w:pPr>
              <w:spacing w:after="0"/>
              <w:rPr>
                <w:sz w:val="20"/>
                <w:szCs w:val="20"/>
                <w:color w:val="auto"/>
              </w:rPr>
            </w:pPr>
            <w:r>
              <w:rPr>
                <w:rFonts w:ascii="Arial" w:cs="Arial" w:eastAsia="Arial" w:hAnsi="Arial"/>
                <w:sz w:val="18"/>
                <w:szCs w:val="18"/>
                <w:color w:val="auto"/>
              </w:rPr>
              <w:t>At October 29, 2011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6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29, 2011 filed with the SEC on March 18, 2011.</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240" w:top="280" w:right="699" w:bottom="1440" w:gutter="0" w:footer="0" w:header="0"/>
        </w:sectPr>
      </w:pPr>
    </w:p>
    <w:bookmarkStart w:id="17" w:name="page18"/>
    <w:bookmarkEnd w:id="1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October 29, 2011, we had no outstanding borrowings. Because our average outstanding borrowings during the first nine months of fiscal 2011 were approximately $147,000, any increase in interest rates would have been immaterial to the financial results for the first nine months of fiscal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October 29, 2011,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29, 2011.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October 29, 2011,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October 29, 2011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1040"/>
        <w:spacing w:after="0" w:line="294" w:lineRule="auto"/>
        <w:rPr>
          <w:sz w:val="20"/>
          <w:szCs w:val="20"/>
          <w:color w:val="auto"/>
        </w:rPr>
      </w:pPr>
      <w:r>
        <w:rPr>
          <w:rFonts w:ascii="Arial" w:cs="Arial" w:eastAsia="Arial" w:hAnsi="Arial"/>
          <w:sz w:val="16"/>
          <w:szCs w:val="16"/>
          <w:color w:val="auto"/>
        </w:rPr>
        <w:t>We are subject to various legal proceedings and claims that arise in the ordinary course of business. For example, we are involved in two California meal and rest breaks class action suits. During the third quarter of fiscal 2011, we recorded a charge of approximately $1.4 million, which represents an accrual for our estimate of potential obligations for certain of our outstanding litigation, primarily related to the two California class action lawsuits, as well as incurred legal fees to date. Management believes that is has sufficiently accrued for such matters and that the resolution of those matters will not have a material adverse impact on our results of operations or financial position.</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1040" w:right="14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29, 2011 filed with the SEC on March 18,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19" w:name="page20"/>
    <w:bookmarkEnd w:id="19"/>
    <w:p>
      <w:pPr>
        <w:jc w:val="both"/>
        <w:ind w:left="712" w:right="140" w:hanging="712"/>
        <w:spacing w:after="0" w:line="306" w:lineRule="auto"/>
        <w:tabs>
          <w:tab w:leader="none" w:pos="712"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materials from the Company’s Quarterly Report on Form 10-Q for the quarter ended October 29, 2011, formatted in XBRL (eXtensible Business Reporting Language): (i) Consolidated Balance Sheets, (ii) Consolidated Statements of Operations, (iii) Consolidated Statements of Changes in Stockholders’ Equity, (iv) Consolidated Statements of Cash Flows, and (v) Notes to Consolidated Financial Statements.**</w:t>
      </w:r>
    </w:p>
    <w:p>
      <w:pPr>
        <w:spacing w:after="0" w:line="53" w:lineRule="exact"/>
        <w:rPr>
          <w:sz w:val="20"/>
          <w:szCs w:val="20"/>
          <w:color w:val="auto"/>
        </w:rPr>
      </w:pPr>
    </w:p>
    <w:p>
      <w:pPr>
        <w:ind w:left="712" w:hanging="712"/>
        <w:spacing w:after="0" w:line="306" w:lineRule="auto"/>
        <w:tabs>
          <w:tab w:leader="none" w:pos="712"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38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7700" w:type="dxa"/>
            <w:vAlign w:val="bottom"/>
            <w:gridSpan w:val="2"/>
          </w:tcPr>
          <w:p>
            <w:pPr>
              <w:ind w:left="2200"/>
              <w:spacing w:after="0"/>
              <w:rPr>
                <w:sz w:val="20"/>
                <w:szCs w:val="20"/>
                <w:color w:val="auto"/>
              </w:rPr>
            </w:pPr>
            <w:r>
              <w:rPr>
                <w:rFonts w:ascii="Arial" w:cs="Arial" w:eastAsia="Arial" w:hAnsi="Arial"/>
                <w:sz w:val="18"/>
                <w:szCs w:val="18"/>
                <w:color w:val="auto"/>
              </w:rPr>
              <w:t>CASUAL MALE RETAIL GROUP, INC.</w:t>
            </w:r>
          </w:p>
        </w:tc>
      </w:tr>
      <w:tr>
        <w:trPr>
          <w:trHeight w:val="433"/>
        </w:trPr>
        <w:tc>
          <w:tcPr>
            <w:tcW w:w="3720" w:type="dxa"/>
            <w:vAlign w:val="bottom"/>
          </w:tcPr>
          <w:p>
            <w:pPr>
              <w:spacing w:after="0"/>
              <w:rPr>
                <w:sz w:val="20"/>
                <w:szCs w:val="20"/>
                <w:color w:val="auto"/>
              </w:rPr>
            </w:pPr>
            <w:r>
              <w:rPr>
                <w:rFonts w:ascii="Arial" w:cs="Arial" w:eastAsia="Arial" w:hAnsi="Arial"/>
                <w:sz w:val="18"/>
                <w:szCs w:val="18"/>
                <w:color w:val="auto"/>
              </w:rPr>
              <w:t>Date: November 18, 2011</w:t>
            </w:r>
          </w:p>
        </w:tc>
        <w:tc>
          <w:tcPr>
            <w:tcW w:w="7700" w:type="dxa"/>
            <w:vAlign w:val="bottom"/>
            <w:gridSpan w:val="2"/>
          </w:tcPr>
          <w:p>
            <w:pPr>
              <w:ind w:left="2200"/>
              <w:spacing w:after="0"/>
              <w:rPr>
                <w:sz w:val="20"/>
                <w:szCs w:val="20"/>
                <w:color w:val="auto"/>
              </w:rPr>
            </w:pPr>
            <w:r>
              <w:rPr>
                <w:rFonts w:ascii="Arial" w:cs="Arial" w:eastAsia="Arial" w:hAnsi="Arial"/>
                <w:sz w:val="18"/>
                <w:szCs w:val="18"/>
                <w:color w:val="auto"/>
              </w:rPr>
              <w:t>By: /S/  PETER H. STRATTON, JR.</w:t>
            </w:r>
          </w:p>
        </w:tc>
      </w:tr>
      <w:tr>
        <w:trPr>
          <w:trHeight w:val="202"/>
        </w:trPr>
        <w:tc>
          <w:tcPr>
            <w:tcW w:w="3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Peter H. Stratton, Jr.</w:t>
            </w:r>
          </w:p>
        </w:tc>
      </w:tr>
      <w:tr>
        <w:trPr>
          <w:trHeight w:val="216"/>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of Finance, Corporate Controller</w:t>
            </w:r>
          </w:p>
        </w:tc>
      </w:tr>
      <w:tr>
        <w:trPr>
          <w:trHeight w:val="222"/>
        </w:trPr>
        <w:tc>
          <w:tcPr>
            <w:tcW w:w="37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and Chief Accounting Officer</w:t>
            </w:r>
          </w:p>
        </w:tc>
      </w:tr>
      <w:tr>
        <w:trPr>
          <w:trHeight w:val="365"/>
        </w:trPr>
        <w:tc>
          <w:tcPr>
            <w:tcW w:w="3720" w:type="dxa"/>
            <w:vAlign w:val="bottom"/>
          </w:tcPr>
          <w:p>
            <w:pPr>
              <w:spacing w:after="0"/>
              <w:rPr>
                <w:sz w:val="24"/>
                <w:szCs w:val="24"/>
                <w:color w:val="auto"/>
              </w:rPr>
            </w:pPr>
          </w:p>
        </w:tc>
        <w:tc>
          <w:tcPr>
            <w:tcW w:w="2460" w:type="dxa"/>
            <w:vAlign w:val="bottom"/>
          </w:tcPr>
          <w:p>
            <w:pPr>
              <w:jc w:val="right"/>
              <w:ind w:right="292"/>
              <w:spacing w:after="0"/>
              <w:rPr>
                <w:sz w:val="20"/>
                <w:szCs w:val="20"/>
                <w:color w:val="auto"/>
              </w:rPr>
            </w:pPr>
            <w:r>
              <w:rPr>
                <w:rFonts w:ascii="Arial" w:cs="Arial" w:eastAsia="Arial" w:hAnsi="Arial"/>
                <w:sz w:val="18"/>
                <w:szCs w:val="18"/>
                <w:color w:val="auto"/>
              </w:rPr>
              <w:t>21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2011</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6452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28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2011</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895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29, 2011,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November 18,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6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29, 2011,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November 18, 2011</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6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0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2019-12-10T08:45:17Z</dcterms:created>
  <dcterms:modified xsi:type="dcterms:W3CDTF">2019-12-10T08:45:17Z</dcterms:modified>
</cp:coreProperties>
</file>