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1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119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DAVID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p>
      <w:pPr>
        <w:spacing w:after="0" w:line="174"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11/22/2011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03"/>
        <w:spacing w:after="0"/>
        <w:rPr>
          <w:sz w:val="20"/>
          <w:szCs w:val="20"/>
          <w:color w:val="auto"/>
        </w:rPr>
      </w:pPr>
      <w:r>
        <w:rPr>
          <w:rFonts w:ascii="Arial" w:cs="Arial" w:eastAsia="Arial" w:hAnsi="Arial"/>
          <w:sz w:val="18"/>
          <w:szCs w:val="18"/>
          <w:color w:val="0000FF"/>
        </w:rPr>
        <w:t>President, CEO</w:t>
      </w:r>
    </w:p>
    <w:p>
      <w:pPr>
        <w:spacing w:after="0" w:line="180" w:lineRule="exact"/>
        <w:rPr>
          <w:sz w:val="24"/>
          <w:szCs w:val="24"/>
          <w:color w:val="auto"/>
        </w:rPr>
      </w:pPr>
    </w:p>
    <w:p>
      <w:pPr>
        <w:sectPr>
          <w:pgSz w:w="11900" w:h="16838" w:orient="portrait"/>
          <w:cols w:equalWidth="0" w:num="3">
            <w:col w:w="3360" w:space="720"/>
            <w:col w:w="3660" w:space="31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0" w:type="dxa"/>
            <w:vAlign w:val="bottom"/>
            <w:gridSpan w:val="5"/>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00" w:type="dxa"/>
            <w:vAlign w:val="bottom"/>
            <w:gridSpan w:val="5"/>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1540" w:type="dxa"/>
            <w:vAlign w:val="bottom"/>
            <w:tcBorders>
              <w:bottom w:val="single" w:sz="8" w:color="9A9A9A"/>
            </w:tcBorders>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700" w:type="dxa"/>
            <w:vAlign w:val="bottom"/>
            <w:gridSpan w:val="5"/>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420" w:type="dxa"/>
            <w:vAlign w:val="bottom"/>
            <w:vMerge w:val="restart"/>
          </w:tcPr>
          <w:p>
            <w:pPr>
              <w:ind w:left="440"/>
              <w:spacing w:after="0"/>
              <w:rPr>
                <w:sz w:val="20"/>
                <w:szCs w:val="20"/>
                <w:color w:val="auto"/>
              </w:rPr>
            </w:pPr>
            <w:r>
              <w:rPr>
                <w:rFonts w:ascii="Arial" w:cs="Arial" w:eastAsia="Arial" w:hAnsi="Arial"/>
                <w:sz w:val="14"/>
                <w:szCs w:val="14"/>
                <w:color w:val="auto"/>
              </w:rPr>
              <w:t>(State)</w:t>
            </w:r>
          </w:p>
        </w:tc>
        <w:tc>
          <w:tcPr>
            <w:tcW w:w="2060" w:type="dxa"/>
            <w:vAlign w:val="bottom"/>
            <w:gridSpan w:val="2"/>
            <w:vMerge w:val="restart"/>
          </w:tcPr>
          <w:p>
            <w:pPr>
              <w:ind w:left="28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0" w:type="dxa"/>
            <w:vAlign w:val="bottom"/>
            <w:gridSpan w:val="4"/>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20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8"/>
          </w:tcPr>
          <w:p>
            <w:pP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6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6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60" w:type="dxa"/>
            <w:vAlign w:val="bottom"/>
            <w:gridSpan w:val="2"/>
          </w:tcPr>
          <w:p>
            <w:pPr>
              <w:ind w:left="10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Common Stock, $0.01 par value</w:t>
            </w:r>
          </w:p>
        </w:tc>
        <w:tc>
          <w:tcPr>
            <w:tcW w:w="2060" w:type="dxa"/>
            <w:vAlign w:val="bottom"/>
            <w:tcBorders>
              <w:bottom w:val="single" w:sz="8" w:color="2C2C2C"/>
            </w:tcBorders>
            <w:gridSpan w:val="2"/>
          </w:tcPr>
          <w:p>
            <w:pPr>
              <w:jc w:val="right"/>
              <w:ind w:right="92"/>
              <w:spacing w:after="0"/>
              <w:rPr>
                <w:sz w:val="20"/>
                <w:szCs w:val="20"/>
                <w:color w:val="auto"/>
              </w:rPr>
            </w:pPr>
            <w:r>
              <w:rPr>
                <w:rFonts w:ascii="Arial" w:cs="Arial" w:eastAsia="Arial" w:hAnsi="Arial"/>
                <w:sz w:val="18"/>
                <w:szCs w:val="18"/>
                <w:color w:val="0000FF"/>
              </w:rPr>
              <w:t>11/22/2011</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40,000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3.13</w:t>
            </w:r>
            <w:r>
              <w:rPr>
                <w:rFonts w:ascii="Arial" w:cs="Arial" w:eastAsia="Arial" w:hAnsi="Arial"/>
                <w:sz w:val="22"/>
                <w:szCs w:val="22"/>
                <w:color w:val="008000"/>
                <w:w w:val="98"/>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1,047,528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8"/>
              </w:rPr>
              <w:t>Common Stock, $0.01 par value</w:t>
            </w: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15,500</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spouse's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w w:val="97"/>
              </w:rPr>
              <w:t>Reporting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held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Issuer's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$0.01 par value</w:t>
            </w:r>
          </w:p>
        </w:tc>
        <w:tc>
          <w:tcPr>
            <w:tcW w:w="1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3,539</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bl>
    <w:p>
      <w:pPr>
        <w:ind w:left="10640"/>
        <w:spacing w:after="0"/>
        <w:rPr>
          <w:sz w:val="20"/>
          <w:szCs w:val="20"/>
          <w:color w:val="auto"/>
        </w:rPr>
      </w:pPr>
      <w:r>
        <w:rPr>
          <w:rFonts w:ascii="Arial" w:cs="Arial" w:eastAsia="Arial" w:hAnsi="Arial"/>
          <w:sz w:val="18"/>
          <w:szCs w:val="18"/>
          <w:color w:val="0000FF"/>
        </w:rPr>
        <w:t>Plan as</w:t>
      </w:r>
    </w:p>
    <w:p>
      <w:pPr>
        <w:spacing w:after="0" w:line="1" w:lineRule="exact"/>
        <w:rPr>
          <w:sz w:val="24"/>
          <w:szCs w:val="24"/>
          <w:color w:val="auto"/>
        </w:rPr>
      </w:pPr>
    </w:p>
    <w:p>
      <w:pPr>
        <w:ind w:left="10640"/>
        <w:spacing w:after="0"/>
        <w:rPr>
          <w:sz w:val="20"/>
          <w:szCs w:val="20"/>
          <w:color w:val="auto"/>
        </w:rPr>
      </w:pPr>
      <w:r>
        <w:rPr>
          <w:rFonts w:ascii="Arial" w:cs="Arial" w:eastAsia="Arial" w:hAnsi="Arial"/>
          <w:sz w:val="18"/>
          <w:szCs w:val="18"/>
          <w:color w:val="0000FF"/>
        </w:rPr>
        <w:t>stated in</w:t>
      </w:r>
    </w:p>
    <w:p>
      <w:pPr>
        <w:spacing w:after="0" w:line="9" w:lineRule="exact"/>
        <w:rPr>
          <w:sz w:val="24"/>
          <w:szCs w:val="24"/>
          <w:color w:val="auto"/>
        </w:rPr>
      </w:pPr>
    </w:p>
    <w:p>
      <w:pPr>
        <w:ind w:left="10640"/>
        <w:spacing w:after="0"/>
        <w:rPr>
          <w:sz w:val="20"/>
          <w:szCs w:val="20"/>
          <w:color w:val="auto"/>
        </w:rPr>
      </w:pPr>
      <w:r>
        <w:rPr>
          <w:rFonts w:ascii="Arial" w:cs="Arial" w:eastAsia="Arial" w:hAnsi="Arial"/>
          <w:sz w:val="18"/>
          <w:szCs w:val="18"/>
          <w:color w:val="0000FF"/>
        </w:rPr>
        <w:t>Plan</w:t>
      </w:r>
    </w:p>
    <w:p>
      <w:pPr>
        <w:spacing w:after="0" w:line="9" w:lineRule="exact"/>
        <w:rPr>
          <w:sz w:val="24"/>
          <w:szCs w:val="24"/>
          <w:color w:val="auto"/>
        </w:rPr>
      </w:pPr>
    </w:p>
    <w:p>
      <w:pPr>
        <w:ind w:left="10640"/>
        <w:spacing w:after="0"/>
        <w:rPr>
          <w:sz w:val="20"/>
          <w:szCs w:val="20"/>
          <w:color w:val="auto"/>
        </w:rPr>
      </w:pPr>
      <w:r>
        <w:rPr>
          <w:rFonts w:ascii="Arial" w:cs="Arial" w:eastAsia="Arial" w:hAnsi="Arial"/>
          <w:sz w:val="16"/>
          <w:szCs w:val="16"/>
          <w:color w:val="0000FF"/>
        </w:rPr>
        <w:t>Statement</w:t>
      </w:r>
    </w:p>
    <w:p>
      <w:pPr>
        <w:spacing w:after="0" w:line="32" w:lineRule="exact"/>
        <w:rPr>
          <w:sz w:val="24"/>
          <w:szCs w:val="24"/>
          <w:color w:val="auto"/>
        </w:rPr>
      </w:pPr>
    </w:p>
    <w:p>
      <w:pPr>
        <w:ind w:left="1064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640"/>
        <w:spacing w:after="0"/>
        <w:rPr>
          <w:sz w:val="20"/>
          <w:szCs w:val="20"/>
          <w:color w:val="auto"/>
        </w:rPr>
      </w:pPr>
      <w:r>
        <w:rPr>
          <w:rFonts w:ascii="Arial" w:cs="Arial" w:eastAsia="Arial" w:hAnsi="Arial"/>
          <w:sz w:val="18"/>
          <w:szCs w:val="18"/>
          <w:color w:val="0000FF"/>
        </w:rPr>
        <w:t>11/21/11.</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This transaction was executed in multiple trades ranging from $3.08 to $3.17. The Reporting Person hereby undertakes to provide upon request to the SEC, the Issuer of any stockholder of the Issuer, full information regarding the number of shares and prices which the transation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David A. Levin,</w:t>
            </w: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11/23/2011</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2019-12-16T04:46:20Z</dcterms:created>
  <dcterms:modified xsi:type="dcterms:W3CDTF">2019-12-16T04:46:20Z</dcterms:modified>
</cp:coreProperties>
</file>