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left="220" w:right="2519" w:hanging="210"/>
        <w:spacing w:after="0" w:line="235" w:lineRule="auto"/>
        <w:rPr>
          <w:sz w:val="20"/>
          <w:szCs w:val="20"/>
          <w:color w:val="auto"/>
        </w:rPr>
      </w:pPr>
      <w:r>
        <w:rPr>
          <w:rFonts w:ascii="Courier New" w:cs="Courier New" w:eastAsia="Courier New" w:hAnsi="Courier New"/>
          <w:sz w:val="18"/>
          <w:szCs w:val="18"/>
          <w:color w:val="auto"/>
        </w:rPr>
        <w:t>SCHEDULE 13G.</w:t>
      </w:r>
      <w:r>
        <w:rPr>
          <w:sz w:val="20"/>
          <w:szCs w:val="20"/>
          <w:color w:val="auto"/>
        </w:rPr>
        <w:t xml:space="preserve"> </w:t>
      </w:r>
      <w:r>
        <w:rPr>
          <w:rFonts w:ascii="Courier New" w:cs="Courier New" w:eastAsia="Courier New" w:hAnsi="Courier New"/>
          <w:sz w:val="18"/>
          <w:szCs w:val="18"/>
          <w:color w:val="auto"/>
        </w:rPr>
        <w:t>INFORMATION TO BE INCLUDED IN STATEMENTS FILED PURSUANT TO 13D-1(B) AND AMENDMENTS THERETO FILED PURSUANT TO 13D-2(B)</w:t>
      </w:r>
    </w:p>
    <w:p>
      <w:pPr>
        <w:spacing w:after="0" w:line="20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tabs>
          <w:tab w:leader="none" w:pos="526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Designs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jc w:val="center"/>
        <w:ind w:right="2199"/>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25057L10</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 /X/</w:t>
      </w:r>
    </w:p>
    <w:p>
      <w:pPr>
        <w:spacing w:after="0" w:line="204" w:lineRule="exact"/>
        <w:rPr>
          <w:sz w:val="24"/>
          <w:szCs w:val="24"/>
          <w:color w:val="auto"/>
        </w:rPr>
      </w:pPr>
    </w:p>
    <w:p>
      <w:pPr>
        <w:ind w:left="320"/>
        <w:spacing w:after="0"/>
        <w:tabs>
          <w:tab w:leader="none" w:pos="2300" w:val="left"/>
          <w:tab w:leader="none" w:pos="3560" w:val="left"/>
          <w:tab w:leader="none" w:pos="4200" w:val="left"/>
          <w:tab w:leader="none" w:pos="4940" w:val="left"/>
          <w:tab w:leader="none" w:pos="5360" w:val="left"/>
          <w:tab w:leader="none" w:pos="6200" w:val="left"/>
          <w:tab w:leader="none" w:pos="6720" w:val="left"/>
        </w:tabs>
        <w:rPr>
          <w:sz w:val="20"/>
          <w:szCs w:val="20"/>
          <w:color w:val="auto"/>
        </w:rPr>
      </w:pPr>
      <w:r>
        <w:rPr>
          <w:rFonts w:ascii="Courier New" w:cs="Courier New" w:eastAsia="Courier New" w:hAnsi="Courier New"/>
          <w:sz w:val="18"/>
          <w:szCs w:val="18"/>
          <w:color w:val="auto"/>
        </w:rPr>
        <w:t>*The remainder of</w:t>
        <w:tab/>
        <w:t>this cover</w:t>
        <w:tab/>
        <w:t>page</w:t>
        <w:tab/>
        <w:t>shall</w:t>
        <w:tab/>
        <w:t>be</w:t>
        <w:tab/>
        <w:t>filled</w:t>
        <w:tab/>
        <w:t>out</w:t>
      </w:r>
      <w:r>
        <w:rPr>
          <w:sz w:val="20"/>
          <w:szCs w:val="20"/>
          <w:color w:val="auto"/>
        </w:rPr>
        <w:tab/>
      </w:r>
      <w:r>
        <w:rPr>
          <w:rFonts w:ascii="Courier New" w:cs="Courier New" w:eastAsia="Courier New" w:hAnsi="Courier New"/>
          <w:sz w:val="16"/>
          <w:szCs w:val="16"/>
          <w:color w:val="auto"/>
        </w:rPr>
        <w:t>for a reporting</w:t>
      </w:r>
    </w:p>
    <w:p>
      <w:pPr>
        <w:spacing w:after="0"/>
        <w:tabs>
          <w:tab w:leader="none" w:pos="1040" w:val="left"/>
          <w:tab w:leader="none" w:pos="1980" w:val="left"/>
          <w:tab w:leader="none" w:pos="3680" w:val="left"/>
          <w:tab w:leader="none" w:pos="4840" w:val="left"/>
          <w:tab w:leader="none" w:pos="6520" w:val="left"/>
          <w:tab w:leader="none" w:pos="7460" w:val="left"/>
        </w:tabs>
        <w:rPr>
          <w:sz w:val="20"/>
          <w:szCs w:val="20"/>
          <w:color w:val="auto"/>
        </w:rPr>
      </w:pPr>
      <w:r>
        <w:rPr>
          <w:rFonts w:ascii="Courier New" w:cs="Courier New" w:eastAsia="Courier New" w:hAnsi="Courier New"/>
          <w:sz w:val="18"/>
          <w:szCs w:val="18"/>
          <w:color w:val="auto"/>
        </w:rPr>
        <w:t>person's</w:t>
        <w:tab/>
        <w:t>initial</w:t>
        <w:tab/>
        <w:t>filing on this</w:t>
        <w:tab/>
        <w:t>form with</w:t>
        <w:tab/>
        <w:t>respect to the</w:t>
        <w:tab/>
        <w:t>subject</w:t>
      </w:r>
      <w:r>
        <w:rPr>
          <w:sz w:val="20"/>
          <w:szCs w:val="20"/>
          <w:color w:val="auto"/>
        </w:rPr>
        <w:tab/>
      </w:r>
      <w:r>
        <w:rPr>
          <w:rFonts w:ascii="Courier New" w:cs="Courier New" w:eastAsia="Courier New" w:hAnsi="Courier New"/>
          <w:sz w:val="16"/>
          <w:szCs w:val="16"/>
          <w:color w:val="auto"/>
        </w:rPr>
        <w:t>class of</w:t>
      </w:r>
    </w:p>
    <w:p>
      <w:pPr>
        <w:spacing w:after="0"/>
        <w:tabs>
          <w:tab w:leader="none" w:pos="1360" w:val="left"/>
          <w:tab w:leader="none" w:pos="2720" w:val="left"/>
          <w:tab w:leader="none" w:pos="4000" w:val="left"/>
          <w:tab w:leader="none" w:pos="5140" w:val="left"/>
          <w:tab w:leader="none" w:pos="6420" w:val="left"/>
          <w:tab w:leader="none" w:pos="7780" w:val="left"/>
        </w:tabs>
        <w:rPr>
          <w:sz w:val="20"/>
          <w:szCs w:val="20"/>
          <w:color w:val="auto"/>
        </w:rPr>
      </w:pPr>
      <w:r>
        <w:rPr>
          <w:rFonts w:ascii="Courier New" w:cs="Courier New" w:eastAsia="Courier New" w:hAnsi="Courier New"/>
          <w:sz w:val="18"/>
          <w:szCs w:val="18"/>
          <w:color w:val="auto"/>
        </w:rPr>
        <w:t>securities,</w:t>
        <w:tab/>
        <w:t>and for any</w:t>
        <w:tab/>
        <w:t>subsequent</w:t>
        <w:tab/>
        <w:t>amendment</w:t>
        <w:tab/>
        <w:t>containing</w:t>
        <w:tab/>
        <w:t>information</w:t>
        <w:tab/>
        <w:t>which</w:t>
      </w:r>
    </w:p>
    <w:p>
      <w:pPr>
        <w:spacing w:after="0" w:line="237" w:lineRule="auto"/>
        <w:rPr>
          <w:sz w:val="20"/>
          <w:szCs w:val="20"/>
          <w:color w:val="auto"/>
        </w:rPr>
      </w:pPr>
      <w:r>
        <w:rPr>
          <w:rFonts w:ascii="Courier New" w:cs="Courier New" w:eastAsia="Courier New" w:hAnsi="Courier New"/>
          <w:sz w:val="18"/>
          <w:szCs w:val="18"/>
          <w:color w:val="auto"/>
        </w:rPr>
        <w:t>would alter the disclosures provided in a prior page.</w:t>
      </w:r>
    </w:p>
    <w:p>
      <w:pPr>
        <w:spacing w:after="0" w:line="207"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No. 25057L10</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099" w:hanging="427"/>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Montgomery Asset Management, L.P. IRS ID #94-3115321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540" w:right="44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(See Instructions)             (b)  /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000"/>
        <w:spacing w:after="0"/>
        <w:rPr>
          <w:sz w:val="20"/>
          <w:szCs w:val="20"/>
          <w:color w:val="auto"/>
        </w:rPr>
      </w:pPr>
      <w:r>
        <w:rPr>
          <w:rFonts w:ascii="Courier New" w:cs="Courier New" w:eastAsia="Courier New" w:hAnsi="Courier New"/>
          <w:sz w:val="18"/>
          <w:szCs w:val="18"/>
          <w:color w:val="auto"/>
        </w:rPr>
        <w:t>California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18"/>
              <w:spacing w:after="0"/>
              <w:rPr>
                <w:sz w:val="20"/>
                <w:szCs w:val="20"/>
                <w:color w:val="auto"/>
              </w:rPr>
            </w:pPr>
            <w:r>
              <w:rPr>
                <w:rFonts w:ascii="Courier New" w:cs="Courier New" w:eastAsia="Courier New" w:hAnsi="Courier New"/>
                <w:sz w:val="18"/>
                <w:szCs w:val="18"/>
                <w:color w:val="auto"/>
              </w:rPr>
              <w:t>(5)</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740" w:type="dxa"/>
            <w:vAlign w:val="bottom"/>
          </w:tcPr>
          <w:p>
            <w:pPr>
              <w:spacing w:after="0"/>
              <w:rPr>
                <w:sz w:val="17"/>
                <w:szCs w:val="17"/>
                <w:color w:val="auto"/>
              </w:rPr>
            </w:pPr>
          </w:p>
        </w:tc>
        <w:tc>
          <w:tcPr>
            <w:tcW w:w="25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978,152</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32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(as of December 31, 1993).</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2680" w:type="dxa"/>
            <w:vAlign w:val="bottom"/>
            <w:gridSpan w:val="2"/>
          </w:tcPr>
          <w:p>
            <w:pPr>
              <w:ind w:left="680"/>
              <w:spacing w:after="0"/>
              <w:rPr>
                <w:sz w:val="20"/>
                <w:szCs w:val="20"/>
                <w:color w:val="auto"/>
              </w:rPr>
            </w:pPr>
            <w:r>
              <w:rPr>
                <w:rFonts w:ascii="Courier New" w:cs="Courier New" w:eastAsia="Courier New" w:hAnsi="Courier New"/>
                <w:sz w:val="9"/>
                <w:szCs w:val="9"/>
                <w:color w:val="auto"/>
                <w:w w:val="73"/>
              </w:rPr>
              <w:t>--------------------------------------------------</w:t>
            </w:r>
          </w:p>
        </w:tc>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 Reporting</w:t>
            </w:r>
          </w:p>
        </w:tc>
        <w:tc>
          <w:tcPr>
            <w:tcW w:w="12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(6)</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740" w:type="dxa"/>
            <w:vAlign w:val="bottom"/>
          </w:tcPr>
          <w:p>
            <w:pPr>
              <w:spacing w:after="0"/>
              <w:rPr>
                <w:sz w:val="17"/>
                <w:szCs w:val="17"/>
                <w:color w:val="auto"/>
              </w:rPr>
            </w:pPr>
          </w:p>
        </w:tc>
        <w:tc>
          <w:tcPr>
            <w:tcW w:w="2540" w:type="dxa"/>
            <w:vAlign w:val="bottom"/>
          </w:tcPr>
          <w:p>
            <w:pPr>
              <w:jc w:val="right"/>
              <w:ind w:right="15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(7)</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5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978,152</w:t>
            </w: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32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(as of December 31, 1993).</w:t>
            </w:r>
          </w:p>
        </w:tc>
      </w:tr>
      <w:tr>
        <w:trPr>
          <w:trHeight w:val="203"/>
        </w:trPr>
        <w:tc>
          <w:tcPr>
            <w:tcW w:w="2380" w:type="dxa"/>
            <w:vAlign w:val="bottom"/>
          </w:tcPr>
          <w:p>
            <w:pPr>
              <w:spacing w:after="0"/>
              <w:rPr>
                <w:sz w:val="17"/>
                <w:szCs w:val="17"/>
                <w:color w:val="auto"/>
              </w:rPr>
            </w:pPr>
          </w:p>
        </w:tc>
        <w:tc>
          <w:tcPr>
            <w:tcW w:w="596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540" w:type="dxa"/>
            <w:vAlign w:val="bottom"/>
          </w:tcPr>
          <w:p>
            <w:pPr>
              <w:jc w:val="right"/>
              <w:ind w:right="15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74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w:t>
      </w:r>
    </w:p>
    <w:p>
      <w:pPr>
        <w:ind w:left="540"/>
        <w:spacing w:after="0"/>
        <w:tabs>
          <w:tab w:leader="none" w:pos="2620" w:val="left"/>
          <w:tab w:leader="none" w:pos="4000" w:val="left"/>
        </w:tabs>
        <w:rPr>
          <w:sz w:val="20"/>
          <w:szCs w:val="20"/>
          <w:color w:val="auto"/>
        </w:rPr>
      </w:pPr>
      <w:r>
        <w:rPr>
          <w:rFonts w:ascii="Courier New" w:cs="Courier New" w:eastAsia="Courier New" w:hAnsi="Courier New"/>
          <w:sz w:val="18"/>
          <w:szCs w:val="18"/>
          <w:color w:val="auto"/>
        </w:rPr>
        <w:t>(See Instructions)</w:t>
        <w:tab/>
        <w:t>/ /</w:t>
      </w:r>
      <w:r>
        <w:rPr>
          <w:sz w:val="20"/>
          <w:szCs w:val="20"/>
          <w:color w:val="auto"/>
        </w:rPr>
        <w:tab/>
      </w:r>
      <w:r>
        <w:rPr>
          <w:rFonts w:ascii="Courier New" w:cs="Courier New" w:eastAsia="Courier New" w:hAnsi="Courier New"/>
          <w:sz w:val="16"/>
          <w:szCs w:val="16"/>
          <w:color w:val="auto"/>
        </w:rPr>
        <w:t>Not applicable</w:t>
      </w:r>
    </w:p>
    <w:p>
      <w:pPr>
        <w:spacing w:after="0" w:line="3"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ind w:left="2220"/>
        <w:spacing w:after="0"/>
        <w:tabs>
          <w:tab w:leader="none" w:pos="28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(as of December 31, 1993).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tabs>
          <w:tab w:leader="none" w:pos="1460" w:val="left"/>
          <w:tab w:leader="none" w:pos="1980" w:val="left"/>
        </w:tabs>
        <w:rPr>
          <w:sz w:val="20"/>
          <w:szCs w:val="20"/>
          <w:color w:val="auto"/>
        </w:rPr>
      </w:pPr>
      <w:r>
        <w:rPr>
          <w:rFonts w:ascii="Courier New" w:cs="Courier New" w:eastAsia="Courier New" w:hAnsi="Courier New"/>
          <w:sz w:val="18"/>
          <w:szCs w:val="18"/>
          <w:color w:val="auto"/>
        </w:rPr>
        <w:t>Fee enclosed</w:t>
        <w:tab/>
        <w:t>/ /</w:t>
      </w:r>
      <w:r>
        <w:rPr>
          <w:sz w:val="20"/>
          <w:szCs w:val="20"/>
          <w:color w:val="auto"/>
        </w:rPr>
        <w:tab/>
      </w:r>
      <w:r>
        <w:rPr>
          <w:rFonts w:ascii="Courier New" w:cs="Courier New" w:eastAsia="Courier New" w:hAnsi="Courier New"/>
          <w:sz w:val="16"/>
          <w:szCs w:val="16"/>
          <w:color w:val="auto"/>
        </w:rPr>
        <w:t>or Amendment No.</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3999"/>
        <w:spacing w:after="0"/>
        <w:tabs>
          <w:tab w:leader="none" w:pos="2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jc w:val="center"/>
        <w:ind w:right="3999"/>
        <w:spacing w:after="0" w:line="238" w:lineRule="auto"/>
        <w:rPr>
          <w:sz w:val="20"/>
          <w:szCs w:val="20"/>
          <w:color w:val="auto"/>
        </w:rPr>
      </w:pPr>
      <w:r>
        <w:rPr>
          <w:rFonts w:ascii="Courier New" w:cs="Courier New" w:eastAsia="Courier New" w:hAnsi="Courier New"/>
          <w:sz w:val="18"/>
          <w:szCs w:val="18"/>
          <w:color w:val="auto"/>
        </w:rPr>
        <w:t>1244 Boylston St., Chestnut Hill, Massachusetts 02167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580"/>
        <w:spacing w:after="0" w:line="238" w:lineRule="auto"/>
        <w:rPr>
          <w:sz w:val="20"/>
          <w:szCs w:val="20"/>
          <w:color w:val="auto"/>
        </w:rPr>
      </w:pPr>
      <w:r>
        <w:rPr>
          <w:rFonts w:ascii="Courier New" w:cs="Courier New" w:eastAsia="Courier New" w:hAnsi="Courier New"/>
          <w:sz w:val="18"/>
          <w:szCs w:val="18"/>
          <w:color w:val="auto"/>
        </w:rPr>
        <w:t>Montgomery Asset Management,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280" w:right="2739" w:hanging="1579"/>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2(B).</w:t>
        <w:tab/>
        <w:t>ADDRESS OF PRINCIPAL BUSINESS OFFICE OR, IF NONE, RESIDENCE 600 Montgomery Street, San Francisco, CA 94111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California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580"/>
        <w:spacing w:after="0" w:line="238" w:lineRule="auto"/>
        <w:rPr>
          <w:sz w:val="20"/>
          <w:szCs w:val="20"/>
          <w:color w:val="auto"/>
        </w:rPr>
      </w:pPr>
      <w:r>
        <w:rPr>
          <w:rFonts w:ascii="Courier New" w:cs="Courier New" w:eastAsia="Courier New" w:hAnsi="Courier New"/>
          <w:sz w:val="18"/>
          <w:szCs w:val="18"/>
          <w:color w:val="auto"/>
        </w:rPr>
        <w:t>25057L10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22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2099" w:hanging="851"/>
        <w:spacing w:after="0" w:line="235" w:lineRule="auto"/>
        <w:tabs>
          <w:tab w:leader="none" w:pos="8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280" w:right="2099" w:hanging="851"/>
        <w:spacing w:after="0" w:line="236" w:lineRule="auto"/>
        <w:tabs>
          <w:tab w:leader="none" w:pos="8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Rule 13d-1(b)(1)(ii)(F)</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 (Note: See Item 7)</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ind w:left="2220"/>
        <w:spacing w:after="0"/>
        <w:tabs>
          <w:tab w:leader="none" w:pos="3140" w:val="left"/>
        </w:tabs>
        <w:rPr>
          <w:sz w:val="20"/>
          <w:szCs w:val="20"/>
          <w:color w:val="auto"/>
        </w:rPr>
      </w:pPr>
      <w:r>
        <w:rPr>
          <w:rFonts w:ascii="Courier New" w:cs="Courier New" w:eastAsia="Courier New" w:hAnsi="Courier New"/>
          <w:sz w:val="18"/>
          <w:szCs w:val="18"/>
          <w:color w:val="auto"/>
        </w:rPr>
        <w:t>978,152</w:t>
      </w:r>
      <w:r>
        <w:rPr>
          <w:sz w:val="20"/>
          <w:szCs w:val="20"/>
          <w:color w:val="auto"/>
        </w:rPr>
        <w:tab/>
      </w:r>
      <w:r>
        <w:rPr>
          <w:rFonts w:ascii="Courier New" w:cs="Courier New" w:eastAsia="Courier New" w:hAnsi="Courier New"/>
          <w:sz w:val="16"/>
          <w:szCs w:val="16"/>
          <w:color w:val="auto"/>
        </w:rPr>
        <w:t>(as of December 31, 1993).</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Percent of Class:</w:t>
      </w:r>
    </w:p>
    <w:p>
      <w:pPr>
        <w:ind w:left="2220"/>
        <w:spacing w:after="0"/>
        <w:tabs>
          <w:tab w:leader="none" w:pos="28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(as of December 31, 1993).</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7" w:lineRule="exact"/>
        <w:rPr>
          <w:sz w:val="20"/>
          <w:szCs w:val="20"/>
          <w:color w:val="auto"/>
        </w:rPr>
      </w:pPr>
    </w:p>
    <w:p>
      <w:pPr>
        <w:ind w:left="2120" w:right="4419" w:hanging="1059"/>
        <w:spacing w:after="0" w:line="268" w:lineRule="auto"/>
        <w:tabs>
          <w:tab w:leader="none" w:pos="148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978,152 (as of December 31, 1993).</w:t>
      </w:r>
    </w:p>
    <w:p>
      <w:pPr>
        <w:ind w:left="14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0" w:right="4319" w:hanging="1164"/>
        <w:spacing w:after="0" w:line="235"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120" w:right="3159" w:hanging="1269"/>
        <w:spacing w:after="0" w:line="235"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978,152 (as of December 31, 1993).</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120" w:right="2939" w:hanging="1164"/>
        <w:spacing w:after="0" w:line="235"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ind w:left="960" w:right="2619" w:hanging="1895"/>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Not applicable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220" w:right="2319" w:hanging="210"/>
        <w:spacing w:after="0" w:line="235"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3259" w:hanging="1895"/>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9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R. Stephen Doyle</w:t>
      </w:r>
    </w:p>
    <w:p>
      <w:pPr>
        <w:ind w:left="4320"/>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ind w:left="4540"/>
        <w:spacing w:after="0"/>
        <w:rPr>
          <w:sz w:val="20"/>
          <w:szCs w:val="20"/>
          <w:color w:val="auto"/>
        </w:rPr>
      </w:pPr>
      <w:r>
        <w:rPr>
          <w:rFonts w:ascii="Courier New" w:cs="Courier New" w:eastAsia="Courier New" w:hAnsi="Courier New"/>
          <w:sz w:val="18"/>
          <w:szCs w:val="18"/>
          <w:color w:val="auto"/>
        </w:rPr>
        <w:t>Montgomery Asset Management, L.P.</w:t>
      </w:r>
    </w:p>
    <w:p>
      <w:pPr>
        <w:ind w:left="412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4" w:name="page5"/>
    <w:bookmarkEnd w:id="4"/>
    <w:p>
      <w:pPr>
        <w:ind w:left="2920"/>
        <w:spacing w:after="0"/>
        <w:rPr>
          <w:sz w:val="20"/>
          <w:szCs w:val="20"/>
          <w:color w:val="auto"/>
        </w:rPr>
      </w:pPr>
      <w:r>
        <w:rPr>
          <w:rFonts w:ascii="Courier New" w:cs="Courier New" w:eastAsia="Courier New" w:hAnsi="Courier New"/>
          <w:sz w:val="16"/>
          <w:szCs w:val="16"/>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1"/>
    </w:lvl>
  </w:abstractNum>
  <w:abstractNum w:abstractNumId="1">
    <w:nsid w:val="41B71EFB"/>
    <w:multiLevelType w:val="hybridMultilevel"/>
    <w:lvl w:ilvl="0">
      <w:lvlJc w:val="left"/>
      <w:lvlText w:val="-"/>
      <w:numFmt w:val="bullet"/>
      <w:start w:val="1"/>
    </w:lvl>
    <w:lvl w:ilvl="1">
      <w:lvlJc w:val="left"/>
      <w:lvlText w:val="(%2)"/>
      <w:numFmt w:val="decimal"/>
      <w:start w:val="3"/>
    </w:lvl>
  </w:abstractNum>
  <w:abstractNum w:abstractNumId="2">
    <w:nsid w:val="79E2A9E3"/>
    <w:multiLevelType w:val="hybridMultilevel"/>
    <w:lvl w:ilvl="0">
      <w:lvlJc w:val="left"/>
      <w:lvlText w:val="-"/>
      <w:numFmt w:val="bullet"/>
      <w:start w:val="1"/>
    </w:lvl>
    <w:lvl w:ilvl="1">
      <w:lvlJc w:val="left"/>
      <w:lvlText w:val="(%2)"/>
      <w:numFmt w:val="decimal"/>
      <w:start w:val="4"/>
    </w:lvl>
  </w:abstractNum>
  <w:abstractNum w:abstractNumId="3">
    <w:nsid w:val="7545E146"/>
    <w:multiLevelType w:val="hybridMultilevel"/>
    <w:lvl w:ilvl="0">
      <w:lvlJc w:val="left"/>
      <w:lvlText w:val="-"/>
      <w:numFmt w:val="bullet"/>
      <w:start w:val="1"/>
    </w:lvl>
    <w:lvl w:ilvl="1">
      <w:lvlJc w:val="left"/>
      <w:lvlText w:val="(%2)"/>
      <w:numFmt w:val="decimal"/>
      <w:start w:val="9"/>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2019-12-20T00:43:57Z</dcterms:created>
  <dcterms:modified xsi:type="dcterms:W3CDTF">2019-12-20T00:43:57Z</dcterms:modified>
</cp:coreProperties>
</file>