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RULES 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13d-2(b)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7)*</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Casual Male Retail Group,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Common Stock, $0.01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27" w:lineRule="exact"/>
        <w:rPr>
          <w:sz w:val="24"/>
          <w:szCs w:val="24"/>
          <w:color w:val="auto"/>
        </w:rPr>
      </w:pPr>
    </w:p>
    <w:p>
      <w:pPr>
        <w:ind w:left="5340"/>
        <w:spacing w:after="0"/>
        <w:rPr>
          <w:sz w:val="20"/>
          <w:szCs w:val="20"/>
          <w:color w:val="auto"/>
        </w:rPr>
      </w:pPr>
      <w:r>
        <w:rPr>
          <w:rFonts w:ascii="Arial" w:cs="Arial" w:eastAsia="Arial" w:hAnsi="Arial"/>
          <w:sz w:val="18"/>
          <w:szCs w:val="18"/>
          <w:color w:val="auto"/>
        </w:rPr>
        <w:t>148711104</w:t>
      </w:r>
    </w:p>
    <w:p>
      <w:pPr>
        <w:spacing w:after="0" w:line="23"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300" w:hanging="482"/>
        <w:spacing w:after="0"/>
        <w:tabs>
          <w:tab w:leader="none" w:pos="13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1300" w:hanging="482"/>
        <w:spacing w:after="0"/>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Rule 13d-1(c)</w:t>
      </w:r>
    </w:p>
    <w:p>
      <w:pPr>
        <w:spacing w:after="0" w:line="252" w:lineRule="exact"/>
        <w:rPr>
          <w:rFonts w:ascii="Arial" w:cs="Arial" w:eastAsia="Arial" w:hAnsi="Arial"/>
          <w:sz w:val="18"/>
          <w:szCs w:val="18"/>
          <w:b w:val="1"/>
          <w:bCs w:val="1"/>
          <w:color w:val="auto"/>
        </w:rPr>
      </w:pPr>
    </w:p>
    <w:p>
      <w:pPr>
        <w:ind w:left="1300" w:hanging="482"/>
        <w:spacing w:after="0"/>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Rule 13d-1(d)</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98"/>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148711104</w:t>
            </w:r>
          </w:p>
        </w:tc>
        <w:tc>
          <w:tcPr>
            <w:tcW w:w="3900" w:type="dxa"/>
            <w:vAlign w:val="bottom"/>
            <w:tcBorders>
              <w:right w:val="single" w:sz="8" w:color="auto"/>
            </w:tcBorders>
          </w:tcPr>
          <w:p>
            <w:pPr>
              <w:ind w:left="1780"/>
              <w:spacing w:after="0"/>
              <w:rPr>
                <w:sz w:val="20"/>
                <w:szCs w:val="20"/>
                <w:color w:val="auto"/>
              </w:rPr>
            </w:pPr>
            <w:r>
              <w:rPr>
                <w:rFonts w:ascii="Arial" w:cs="Arial" w:eastAsia="Arial" w:hAnsi="Arial"/>
                <w:sz w:val="22"/>
                <w:szCs w:val="22"/>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2 of 3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46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6466205"/>
                    </a:xfrm>
                    <a:prstGeom prst="rect">
                      <a:avLst/>
                    </a:prstGeom>
                    <a:noFill/>
                  </pic:spPr>
                </pic:pic>
              </a:graphicData>
            </a:graphic>
          </wp:anchor>
        </w:drawing>
      </w:r>
    </w:p>
    <w:p>
      <w:pPr>
        <w:spacing w:after="0" w:line="307" w:lineRule="exact"/>
        <w:rPr>
          <w:sz w:val="20"/>
          <w:szCs w:val="20"/>
          <w:color w:val="auto"/>
        </w:rPr>
      </w:pPr>
    </w:p>
    <w:p>
      <w:pPr>
        <w:ind w:left="640" w:hanging="429"/>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25" w:lineRule="exact"/>
        <w:rPr>
          <w:rFonts w:ascii="Arial" w:cs="Arial" w:eastAsia="Arial" w:hAnsi="Arial"/>
          <w:sz w:val="18"/>
          <w:szCs w:val="18"/>
          <w:b w:val="1"/>
          <w:bCs w:val="1"/>
          <w:color w:val="auto"/>
        </w:rPr>
      </w:pPr>
    </w:p>
    <w:p>
      <w:pPr>
        <w:ind w:left="640" w:right="518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Chilton Investment Company, LLC</w:t>
      </w:r>
    </w:p>
    <w:p>
      <w:pPr>
        <w:spacing w:after="0" w:line="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87-0742367</w:t>
      </w:r>
    </w:p>
    <w:p>
      <w:pPr>
        <w:spacing w:after="0" w:line="156" w:lineRule="exact"/>
        <w:rPr>
          <w:rFonts w:ascii="Arial" w:cs="Arial" w:eastAsia="Arial" w:hAnsi="Arial"/>
          <w:sz w:val="18"/>
          <w:szCs w:val="18"/>
          <w:b w:val="1"/>
          <w:bCs w:val="1"/>
          <w:color w:val="auto"/>
        </w:rPr>
      </w:pPr>
    </w:p>
    <w:p>
      <w:pPr>
        <w:ind w:left="640" w:hanging="429"/>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77"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89" w:lineRule="exact"/>
        <w:rPr>
          <w:sz w:val="20"/>
          <w:szCs w:val="20"/>
          <w:color w:val="auto"/>
        </w:rPr>
      </w:pPr>
    </w:p>
    <w:p>
      <w:pPr>
        <w:ind w:left="640" w:hanging="429"/>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3" w:lineRule="exact"/>
        <w:rPr>
          <w:rFonts w:ascii="Arial" w:cs="Arial" w:eastAsia="Arial" w:hAnsi="Arial"/>
          <w:sz w:val="18"/>
          <w:szCs w:val="18"/>
          <w:b w:val="1"/>
          <w:bCs w:val="1"/>
          <w:color w:val="auto"/>
        </w:rPr>
      </w:pPr>
    </w:p>
    <w:p>
      <w:pPr>
        <w:ind w:left="640" w:right="7100" w:hanging="429"/>
        <w:spacing w:after="0" w:line="467" w:lineRule="auto"/>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State of Delaware</w:t>
      </w:r>
    </w:p>
    <w:p>
      <w:pPr>
        <w:spacing w:after="0" w:line="4" w:lineRule="exact"/>
        <w:rPr>
          <w:rFonts w:ascii="Arial" w:cs="Arial" w:eastAsia="Arial" w:hAnsi="Arial"/>
          <w:sz w:val="18"/>
          <w:szCs w:val="18"/>
          <w:b w:val="1"/>
          <w:bCs w:val="1"/>
          <w:color w:val="auto"/>
        </w:rPr>
      </w:pPr>
    </w:p>
    <w:p>
      <w:pPr>
        <w:ind w:left="3200" w:right="6340" w:hanging="410"/>
        <w:spacing w:after="0" w:line="467" w:lineRule="auto"/>
        <w:tabs>
          <w:tab w:leader="none" w:pos="320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SOLE VOTING POWER 5,577,290</w:t>
      </w:r>
    </w:p>
    <w:p>
      <w:pPr>
        <w:spacing w:after="0" w:line="4" w:lineRule="exact"/>
        <w:rPr>
          <w:rFonts w:ascii="Arial" w:cs="Arial" w:eastAsia="Arial" w:hAnsi="Arial"/>
          <w:sz w:val="18"/>
          <w:szCs w:val="18"/>
          <w:b w:val="1"/>
          <w:bCs w:val="1"/>
          <w:color w:val="auto"/>
        </w:rPr>
      </w:pPr>
    </w:p>
    <w:p>
      <w:pPr>
        <w:ind w:left="3200" w:hanging="410"/>
        <w:spacing w:after="0"/>
        <w:tabs>
          <w:tab w:leader="none" w:pos="320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100"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820" w:type="dxa"/>
            <w:vAlign w:val="bottom"/>
            <w:vMerge w:val="restart"/>
          </w:tcPr>
          <w:p>
            <w:pPr>
              <w:ind w:left="6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25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BENEFICIALLY OWNED BY</w:t>
            </w:r>
          </w:p>
        </w:tc>
        <w:tc>
          <w:tcPr>
            <w:tcW w:w="8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500" w:type="dxa"/>
            <w:vAlign w:val="bottom"/>
            <w:vMerge w:val="continue"/>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5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EACH REPORTING PERSON</w:t>
            </w:r>
          </w:p>
        </w:tc>
        <w:tc>
          <w:tcPr>
            <w:tcW w:w="88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6"/>
        </w:trPr>
        <w:tc>
          <w:tcPr>
            <w:tcW w:w="25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8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500" w:type="dxa"/>
            <w:vAlign w:val="bottom"/>
            <w:vMerge w:val="continue"/>
          </w:tcPr>
          <w:p>
            <w:pPr>
              <w:spacing w:after="0"/>
              <w:rPr>
                <w:sz w:val="12"/>
                <w:szCs w:val="12"/>
                <w:color w:val="auto"/>
              </w:rPr>
            </w:pPr>
          </w:p>
        </w:tc>
        <w:tc>
          <w:tcPr>
            <w:tcW w:w="8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500" w:type="dxa"/>
            <w:vAlign w:val="bottom"/>
          </w:tcPr>
          <w:p>
            <w:pPr>
              <w:spacing w:after="0"/>
              <w:rPr>
                <w:sz w:val="24"/>
                <w:szCs w:val="24"/>
                <w:color w:val="auto"/>
              </w:rPr>
            </w:pPr>
          </w:p>
        </w:tc>
        <w:tc>
          <w:tcPr>
            <w:tcW w:w="8820" w:type="dxa"/>
            <w:vAlign w:val="bottom"/>
          </w:tcPr>
          <w:p>
            <w:pPr>
              <w:ind w:left="620"/>
              <w:spacing w:after="0"/>
              <w:rPr>
                <w:sz w:val="20"/>
                <w:szCs w:val="20"/>
                <w:color w:val="auto"/>
              </w:rPr>
            </w:pPr>
            <w:r>
              <w:rPr>
                <w:rFonts w:ascii="Arial" w:cs="Arial" w:eastAsia="Arial" w:hAnsi="Arial"/>
                <w:sz w:val="18"/>
                <w:szCs w:val="18"/>
                <w:color w:val="auto"/>
              </w:rPr>
              <w:t>5,577,290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200" w:right="5660" w:hanging="410"/>
        <w:spacing w:after="0" w:line="467" w:lineRule="auto"/>
        <w:tabs>
          <w:tab w:leader="none" w:pos="320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SHARED DISPOSITIVE POWER 0</w:t>
      </w:r>
    </w:p>
    <w:p>
      <w:pPr>
        <w:spacing w:after="0" w:line="4" w:lineRule="exact"/>
        <w:rPr>
          <w:rFonts w:ascii="Arial" w:cs="Arial" w:eastAsia="Arial" w:hAnsi="Arial"/>
          <w:sz w:val="18"/>
          <w:szCs w:val="18"/>
          <w:b w:val="1"/>
          <w:bCs w:val="1"/>
          <w:color w:val="auto"/>
        </w:rPr>
      </w:pPr>
    </w:p>
    <w:p>
      <w:pPr>
        <w:ind w:left="640" w:right="4200" w:hanging="429"/>
        <w:spacing w:after="0" w:line="467" w:lineRule="auto"/>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5,577,290</w:t>
      </w:r>
    </w:p>
    <w:p>
      <w:pPr>
        <w:spacing w:after="0" w:line="5" w:lineRule="exact"/>
        <w:rPr>
          <w:sz w:val="20"/>
          <w:szCs w:val="20"/>
          <w:color w:val="auto"/>
        </w:rPr>
      </w:pPr>
    </w:p>
    <w:p>
      <w:pPr>
        <w:ind w:left="640" w:hanging="474"/>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17"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79" w:lineRule="exact"/>
        <w:rPr>
          <w:sz w:val="20"/>
          <w:szCs w:val="20"/>
          <w:color w:val="auto"/>
        </w:rPr>
      </w:pPr>
    </w:p>
    <w:p>
      <w:pPr>
        <w:ind w:left="640" w:right="5700" w:hanging="469"/>
        <w:spacing w:after="0" w:line="467" w:lineRule="auto"/>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11.7%</w:t>
      </w:r>
    </w:p>
    <w:p>
      <w:pPr>
        <w:spacing w:after="0" w:line="4" w:lineRule="exact"/>
        <w:rPr>
          <w:rFonts w:ascii="Arial" w:cs="Arial" w:eastAsia="Arial" w:hAnsi="Arial"/>
          <w:sz w:val="18"/>
          <w:szCs w:val="18"/>
          <w:b w:val="1"/>
          <w:bCs w:val="1"/>
          <w:color w:val="auto"/>
        </w:rPr>
      </w:pPr>
    </w:p>
    <w:p>
      <w:pPr>
        <w:ind w:left="640" w:right="8260" w:hanging="474"/>
        <w:spacing w:after="0" w:line="528" w:lineRule="auto"/>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466090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758"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98"/>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148711104</w:t>
            </w:r>
          </w:p>
        </w:tc>
        <w:tc>
          <w:tcPr>
            <w:tcW w:w="3900" w:type="dxa"/>
            <w:vAlign w:val="bottom"/>
            <w:tcBorders>
              <w:right w:val="single" w:sz="8" w:color="auto"/>
            </w:tcBorders>
          </w:tcPr>
          <w:p>
            <w:pPr>
              <w:ind w:left="1780"/>
              <w:spacing w:after="0"/>
              <w:rPr>
                <w:sz w:val="20"/>
                <w:szCs w:val="20"/>
                <w:color w:val="auto"/>
              </w:rPr>
            </w:pPr>
            <w:r>
              <w:rPr>
                <w:rFonts w:ascii="Arial" w:cs="Arial" w:eastAsia="Arial" w:hAnsi="Arial"/>
                <w:sz w:val="22"/>
                <w:szCs w:val="22"/>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3 of 3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Rule 13d-2(b) of Regulation 13D-G under the Securities Exchange Act of 1934, as amended, the Schedule 13G initially filed on November 10, 2005 by Chilton Investment Company, LLC (the “Reporting Person”) with respect to the Common Stock, $0.01 par value (the “Common Stock”), of Casual Male Retail Group, Inc., a Delaware corporation (the “Schedule 13G”), as amended by Amendment No. 1 to the Schedule 13G filed on February 14, 2006, replaced by the Schedule 13D filed on May 9, 2006, as amended by Amendment No.1 to the 13D filed on June 9, 2006, Amendment No. 2 to the 13D filed on June 29, 2006, Amendment No. 3 to the 13D filed on April 13, 2006 and Amendment No. 4 to the 13D filed on July 19, 2007, replaced by Amendment No. 2 to the Schedule 13G filed on July 20, 2007, replaced by Amendment No. 5 to the Schedule 13D filed on October 23, 2007, as amended by Amendment No. 6 to the Schedule 13D filed on November 28, 2007 and Amendment No. 7 to the Schedule 13D filed on October 21, 2008, replaced by Amendment No. 3 to the Schedule 13G filed on October 21, 2008, as amended by Amendment No. 4 to the Schedule 13G filed on February 13, 2009, Amendment No. 5 to the 13G filed on December 10, 2009 and Amendment No. 6 to the 13G filed on February 12, 2010, is hereby amended by this Amendment No. 7 to the Schedule 13G to report a change in the information reported in the Schedule 13G. The Schedule 13G is hereby amended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restated in its entirety to read:</w:t>
      </w:r>
    </w:p>
    <w:p>
      <w:pPr>
        <w:spacing w:after="0" w:line="221"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(a)Amount beneficially owned</w:t>
      </w:r>
      <w:r>
        <w:rPr>
          <w:rFonts w:ascii="Arial" w:cs="Arial" w:eastAsia="Arial" w:hAnsi="Arial"/>
          <w:sz w:val="18"/>
          <w:szCs w:val="18"/>
          <w:color w:val="FF0000"/>
        </w:rPr>
        <w:t>:</w:t>
      </w:r>
      <w:r>
        <w:rPr>
          <w:rFonts w:ascii="Arial" w:cs="Arial" w:eastAsia="Arial" w:hAnsi="Arial"/>
          <w:sz w:val="18"/>
          <w:szCs w:val="18"/>
          <w:color w:val="auto"/>
        </w:rPr>
        <w:t xml:space="preserve"> 5,577,290 shares</w:t>
      </w:r>
    </w:p>
    <w:p>
      <w:pPr>
        <w:spacing w:after="0" w:line="225" w:lineRule="exact"/>
        <w:rPr>
          <w:sz w:val="20"/>
          <w:szCs w:val="20"/>
          <w:color w:val="auto"/>
        </w:rPr>
      </w:pPr>
    </w:p>
    <w:p>
      <w:pPr>
        <w:ind w:left="3120" w:hanging="708"/>
        <w:spacing w:after="0"/>
        <w:tabs>
          <w:tab w:leader="none" w:pos="3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11.7%</w:t>
      </w:r>
    </w:p>
    <w:p>
      <w:pPr>
        <w:spacing w:after="0" w:line="225" w:lineRule="exact"/>
        <w:rPr>
          <w:rFonts w:ascii="Arial" w:cs="Arial" w:eastAsia="Arial" w:hAnsi="Arial"/>
          <w:sz w:val="18"/>
          <w:szCs w:val="18"/>
          <w:color w:val="auto"/>
        </w:rPr>
      </w:pPr>
    </w:p>
    <w:p>
      <w:pPr>
        <w:ind w:left="3100" w:hanging="688"/>
        <w:spacing w:after="0"/>
        <w:tabs>
          <w:tab w:leader="none" w:pos="3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3720" w:hanging="660"/>
        <w:spacing w:after="0"/>
        <w:tabs>
          <w:tab w:leader="none" w:pos="3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5,577,290</w:t>
      </w:r>
    </w:p>
    <w:p>
      <w:pPr>
        <w:spacing w:after="0" w:line="23" w:lineRule="exact"/>
        <w:rPr>
          <w:rFonts w:ascii="Arial" w:cs="Arial" w:eastAsia="Arial" w:hAnsi="Arial"/>
          <w:sz w:val="18"/>
          <w:szCs w:val="18"/>
          <w:color w:val="auto"/>
        </w:rPr>
      </w:pPr>
    </w:p>
    <w:p>
      <w:pPr>
        <w:ind w:left="3740" w:hanging="680"/>
        <w:spacing w:after="0"/>
        <w:tabs>
          <w:tab w:leader="none" w:pos="3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3740" w:hanging="680"/>
        <w:spacing w:after="0"/>
        <w:tabs>
          <w:tab w:leader="none" w:pos="3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5,577,290</w:t>
      </w:r>
    </w:p>
    <w:p>
      <w:pPr>
        <w:spacing w:after="0" w:line="9" w:lineRule="exact"/>
        <w:rPr>
          <w:rFonts w:ascii="Arial" w:cs="Arial" w:eastAsia="Arial" w:hAnsi="Arial"/>
          <w:sz w:val="18"/>
          <w:szCs w:val="18"/>
          <w:color w:val="auto"/>
        </w:rPr>
      </w:pPr>
    </w:p>
    <w:p>
      <w:pPr>
        <w:ind w:left="3720" w:hanging="660"/>
        <w:spacing w:after="0"/>
        <w:tabs>
          <w:tab w:leader="none" w:pos="3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2011</w:t>
      </w: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Chilton Investment Company, LLC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James Steinthal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James Steinthal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809625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3"/>
    </w:lvl>
    <w:lvl w:ilvl="1">
      <w:lvlJc w:val="left"/>
      <w:lvlText w:val="%2."/>
      <w:numFmt w:val="decimal"/>
      <w:start w:val="5"/>
    </w:lvl>
  </w:abstractNum>
  <w:abstractNum w:abstractNumId="4">
    <w:nsid w:val="41B71EFB"/>
    <w:multiLevelType w:val="hybridMultilevel"/>
    <w:lvl w:ilvl="0">
      <w:lvlJc w:val="left"/>
      <w:lvlText w:val="%1"/>
      <w:numFmt w:val="decimal"/>
      <w:start w:val="1"/>
    </w:lvl>
    <w:lvl w:ilvl="1">
      <w:lvlJc w:val="left"/>
      <w:lvlText w:val="%2."/>
      <w:numFmt w:val="decimal"/>
      <w:start w:val="8"/>
    </w:lvl>
  </w:abstractNum>
  <w:abstractNum w:abstractNumId="5">
    <w:nsid w:val="79E2A9E3"/>
    <w:multiLevelType w:val="hybridMultilevel"/>
    <w:lvl w:ilvl="0">
      <w:lvlJc w:val="left"/>
      <w:lvlText w:val="%1."/>
      <w:numFmt w:val="decimal"/>
      <w:start w:val="9"/>
    </w:lvl>
    <w:lvl w:ilvl="1">
      <w:lvlJc w:val="left"/>
      <w:lvlText w:val="%2"/>
      <w:numFmt w:val="decimal"/>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2019-12-10T07:04:29Z</dcterms:created>
  <dcterms:modified xsi:type="dcterms:W3CDTF">2019-12-10T07:04:29Z</dcterms:modified>
</cp:coreProperties>
</file>