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13G/A</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29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148711302</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29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2012</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224790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sz w:val="24"/>
          <w:szCs w:val="24"/>
          <w:color w:val="auto"/>
        </w:rPr>
      </w:pPr>
    </w:p>
    <w:p>
      <w:pPr>
        <w:ind w:left="1120" w:hanging="199"/>
        <w:spacing w:after="0"/>
        <w:tabs>
          <w:tab w:leader="none" w:pos="11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460" w:right="140" w:hanging="44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1"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148711302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54875" cy="4896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4896485"/>
                    </a:xfrm>
                    <a:prstGeom prst="rect">
                      <a:avLst/>
                    </a:prstGeom>
                    <a:noFill/>
                  </pic:spPr>
                </pic:pic>
              </a:graphicData>
            </a:graphic>
          </wp:anchor>
        </w:drawing>
      </w:r>
    </w:p>
    <w:p>
      <w:pPr>
        <w:spacing w:after="0" w:line="84" w:lineRule="exact"/>
        <w:rPr>
          <w:sz w:val="20"/>
          <w:szCs w:val="20"/>
          <w:color w:val="auto"/>
        </w:rPr>
      </w:pPr>
    </w:p>
    <w:p>
      <w:pPr>
        <w:ind w:left="220"/>
        <w:spacing w:after="0"/>
        <w:tabs>
          <w:tab w:leader="none" w:pos="4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Glenhill Advisors, LLC</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1106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78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20" w:type="dxa"/>
            <w:vAlign w:val="bottom"/>
          </w:tcPr>
          <w:p>
            <w:pPr>
              <w:spacing w:after="0"/>
              <w:rPr>
                <w:sz w:val="23"/>
                <w:szCs w:val="23"/>
                <w:color w:val="auto"/>
              </w:rPr>
            </w:pPr>
          </w:p>
        </w:tc>
        <w:tc>
          <w:tcPr>
            <w:tcW w:w="1016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11060" w:type="dxa"/>
            <w:vAlign w:val="bottom"/>
            <w:tcBorders>
              <w:bottom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1106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60" w:type="dxa"/>
            <w:vAlign w:val="bottom"/>
            <w:tcBorders>
              <w:right w:val="single" w:sz="8" w:color="auto"/>
            </w:tcBorders>
          </w:tcPr>
          <w:p>
            <w:pPr>
              <w:spacing w:after="0"/>
              <w:rPr>
                <w:sz w:val="18"/>
                <w:szCs w:val="18"/>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2"/>
              </w:rPr>
              <w:t>Number of</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10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4,470,718</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Shares</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60" w:type="dxa"/>
            <w:vAlign w:val="bottom"/>
            <w:tcBorders>
              <w:right w:val="single" w:sz="8" w:color="auto"/>
            </w:tcBorders>
          </w:tcPr>
          <w:p>
            <w:pPr>
              <w:spacing w:after="0"/>
              <w:rPr>
                <w:sz w:val="19"/>
                <w:szCs w:val="19"/>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4"/>
              </w:rPr>
              <w:t>Beneficially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restart"/>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1"/>
              </w:rPr>
              <w:t>Owned by</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10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720" w:type="dxa"/>
            <w:vAlign w:val="bottom"/>
            <w:tcBorders>
              <w:right w:val="single" w:sz="8" w:color="auto"/>
            </w:tcBorders>
          </w:tcPr>
          <w:p>
            <w:pPr>
              <w:jc w:val="center"/>
              <w:ind w:right="166"/>
              <w:spacing w:after="0" w:line="190" w:lineRule="exact"/>
              <w:rPr>
                <w:sz w:val="20"/>
                <w:szCs w:val="20"/>
                <w:color w:val="auto"/>
              </w:rPr>
            </w:pPr>
            <w:r>
              <w:rPr>
                <w:rFonts w:ascii="Arial" w:cs="Arial" w:eastAsia="Arial" w:hAnsi="Arial"/>
                <w:sz w:val="18"/>
                <w:szCs w:val="18"/>
                <w:color w:val="auto"/>
                <w:w w:val="82"/>
              </w:rPr>
              <w:t>Each</w:t>
            </w:r>
          </w:p>
        </w:tc>
        <w:tc>
          <w:tcPr>
            <w:tcW w:w="60" w:type="dxa"/>
            <w:vAlign w:val="bottom"/>
          </w:tcPr>
          <w:p>
            <w:pPr>
              <w:spacing w:after="0"/>
              <w:rPr>
                <w:sz w:val="16"/>
                <w:szCs w:val="16"/>
                <w:color w:val="auto"/>
              </w:rPr>
            </w:pPr>
          </w:p>
        </w:tc>
        <w:tc>
          <w:tcPr>
            <w:tcW w:w="120" w:type="dxa"/>
            <w:vAlign w:val="bottom"/>
          </w:tcPr>
          <w:p>
            <w:pPr>
              <w:jc w:val="right"/>
              <w:spacing w:after="0" w:line="190" w:lineRule="exact"/>
              <w:rPr>
                <w:sz w:val="20"/>
                <w:szCs w:val="20"/>
                <w:color w:val="auto"/>
              </w:rPr>
            </w:pPr>
            <w:r>
              <w:rPr>
                <w:rFonts w:ascii="Arial" w:cs="Arial" w:eastAsia="Arial" w:hAnsi="Arial"/>
                <w:sz w:val="18"/>
                <w:szCs w:val="18"/>
                <w:color w:val="auto"/>
                <w:w w:val="99"/>
              </w:rPr>
              <w:t>7</w:t>
            </w:r>
          </w:p>
        </w:tc>
        <w:tc>
          <w:tcPr>
            <w:tcW w:w="60" w:type="dxa"/>
            <w:vAlign w:val="bottom"/>
            <w:tcBorders>
              <w:right w:val="single" w:sz="8" w:color="auto"/>
            </w:tcBorders>
          </w:tcPr>
          <w:p>
            <w:pPr>
              <w:spacing w:after="0"/>
              <w:rPr>
                <w:sz w:val="16"/>
                <w:szCs w:val="16"/>
                <w:color w:val="auto"/>
              </w:rPr>
            </w:pPr>
          </w:p>
        </w:tc>
        <w:tc>
          <w:tcPr>
            <w:tcW w:w="1010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89"/>
              </w:rPr>
              <w:t>Reporting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restart"/>
          </w:tcPr>
          <w:p>
            <w:pPr>
              <w:ind w:left="300"/>
              <w:spacing w:after="0"/>
              <w:rPr>
                <w:sz w:val="20"/>
                <w:szCs w:val="20"/>
                <w:color w:val="auto"/>
              </w:rPr>
            </w:pPr>
            <w:r>
              <w:rPr>
                <w:rFonts w:ascii="Arial" w:cs="Arial" w:eastAsia="Arial" w:hAnsi="Arial"/>
                <w:sz w:val="22"/>
                <w:szCs w:val="22"/>
                <w:color w:val="auto"/>
              </w:rPr>
              <w:t>4,470,718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Person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720" w:type="dxa"/>
            <w:vAlign w:val="bottom"/>
            <w:tcBorders>
              <w:right w:val="single" w:sz="8" w:color="auto"/>
            </w:tcBorders>
            <w:vMerge w:val="restart"/>
          </w:tcPr>
          <w:p>
            <w:pPr>
              <w:jc w:val="center"/>
              <w:ind w:right="166"/>
              <w:spacing w:after="0"/>
              <w:rPr>
                <w:sz w:val="20"/>
                <w:szCs w:val="20"/>
                <w:color w:val="auto"/>
              </w:rPr>
            </w:pPr>
            <w:r>
              <w:rPr>
                <w:rFonts w:ascii="Arial" w:cs="Arial" w:eastAsia="Arial" w:hAnsi="Arial"/>
                <w:sz w:val="18"/>
                <w:szCs w:val="18"/>
                <w:color w:val="auto"/>
                <w:w w:val="92"/>
              </w:rPr>
              <w:t>With:</w:t>
            </w: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0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8</w:t>
            </w:r>
          </w:p>
        </w:tc>
        <w:tc>
          <w:tcPr>
            <w:tcW w:w="60" w:type="dxa"/>
            <w:vAlign w:val="bottom"/>
            <w:tcBorders>
              <w:right w:val="single" w:sz="8" w:color="auto"/>
            </w:tcBorders>
          </w:tcPr>
          <w:p>
            <w:pPr>
              <w:spacing w:after="0"/>
              <w:rPr>
                <w:sz w:val="18"/>
                <w:szCs w:val="18"/>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10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960" w:type="dxa"/>
            <w:vAlign w:val="bottom"/>
            <w:gridSpan w:val="4"/>
          </w:tcPr>
          <w:p>
            <w:pPr>
              <w:ind w:left="100"/>
              <w:spacing w:after="0"/>
              <w:rPr>
                <w:sz w:val="20"/>
                <w:szCs w:val="20"/>
                <w:color w:val="auto"/>
              </w:rPr>
            </w:pPr>
            <w:r>
              <w:rPr>
                <w:rFonts w:ascii="Arial" w:cs="Arial" w:eastAsia="Arial" w:hAnsi="Arial"/>
                <w:sz w:val="18"/>
                <w:szCs w:val="18"/>
                <w:color w:val="auto"/>
                <w:w w:val="98"/>
              </w:rPr>
              <w:t>Aggregate</w:t>
            </w:r>
          </w:p>
        </w:tc>
        <w:tc>
          <w:tcPr>
            <w:tcW w:w="101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4,470,718</w:t>
            </w:r>
          </w:p>
        </w:tc>
        <w:tc>
          <w:tcPr>
            <w:tcW w:w="0" w:type="dxa"/>
            <w:vAlign w:val="bottom"/>
          </w:tcPr>
          <w:p>
            <w:pPr>
              <w:spacing w:after="0"/>
              <w:rPr>
                <w:sz w:val="1"/>
                <w:szCs w:val="1"/>
                <w:color w:val="auto"/>
              </w:rPr>
            </w:pPr>
          </w:p>
        </w:tc>
      </w:tr>
      <w:tr>
        <w:trPr>
          <w:trHeight w:val="270"/>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6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3"/>
          </w:tcPr>
          <w:p>
            <w:pPr>
              <w:spacing w:after="0"/>
              <w:rPr>
                <w:sz w:val="13"/>
                <w:szCs w:val="13"/>
                <w:color w:val="auto"/>
              </w:rPr>
            </w:pPr>
          </w:p>
        </w:tc>
        <w:tc>
          <w:tcPr>
            <w:tcW w:w="10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87"/>
              </w:rPr>
              <w:t>9.2%</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IA, HC</w:t>
            </w: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148711302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54875" cy="4896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4896485"/>
                    </a:xfrm>
                    <a:prstGeom prst="rect">
                      <a:avLst/>
                    </a:prstGeom>
                    <a:noFill/>
                  </pic:spPr>
                </pic:pic>
              </a:graphicData>
            </a:graphic>
          </wp:anchor>
        </w:drawing>
      </w:r>
    </w:p>
    <w:p>
      <w:pPr>
        <w:spacing w:after="0" w:line="84" w:lineRule="exact"/>
        <w:rPr>
          <w:sz w:val="20"/>
          <w:szCs w:val="20"/>
          <w:color w:val="auto"/>
        </w:rPr>
      </w:pPr>
    </w:p>
    <w:p>
      <w:pPr>
        <w:ind w:left="220"/>
        <w:spacing w:after="0"/>
        <w:tabs>
          <w:tab w:leader="none" w:pos="4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Glenn J. Krevlin</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1106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78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20" w:type="dxa"/>
            <w:vAlign w:val="bottom"/>
          </w:tcPr>
          <w:p>
            <w:pPr>
              <w:spacing w:after="0"/>
              <w:rPr>
                <w:sz w:val="23"/>
                <w:szCs w:val="23"/>
                <w:color w:val="auto"/>
              </w:rPr>
            </w:pPr>
          </w:p>
        </w:tc>
        <w:tc>
          <w:tcPr>
            <w:tcW w:w="1016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11060" w:type="dxa"/>
            <w:vAlign w:val="bottom"/>
            <w:tcBorders>
              <w:bottom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1106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60" w:type="dxa"/>
            <w:vAlign w:val="bottom"/>
            <w:tcBorders>
              <w:right w:val="single" w:sz="8" w:color="auto"/>
            </w:tcBorders>
          </w:tcPr>
          <w:p>
            <w:pPr>
              <w:spacing w:after="0"/>
              <w:rPr>
                <w:sz w:val="18"/>
                <w:szCs w:val="18"/>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2"/>
              </w:rPr>
              <w:t>Number of</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10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4,470,718</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Shares</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60" w:type="dxa"/>
            <w:vAlign w:val="bottom"/>
            <w:tcBorders>
              <w:right w:val="single" w:sz="8" w:color="auto"/>
            </w:tcBorders>
          </w:tcPr>
          <w:p>
            <w:pPr>
              <w:spacing w:after="0"/>
              <w:rPr>
                <w:sz w:val="19"/>
                <w:szCs w:val="19"/>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4"/>
              </w:rPr>
              <w:t>Beneficially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restart"/>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1"/>
              </w:rPr>
              <w:t>Owned by</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10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720" w:type="dxa"/>
            <w:vAlign w:val="bottom"/>
            <w:tcBorders>
              <w:right w:val="single" w:sz="8" w:color="auto"/>
            </w:tcBorders>
          </w:tcPr>
          <w:p>
            <w:pPr>
              <w:jc w:val="center"/>
              <w:ind w:right="166"/>
              <w:spacing w:after="0" w:line="190" w:lineRule="exact"/>
              <w:rPr>
                <w:sz w:val="20"/>
                <w:szCs w:val="20"/>
                <w:color w:val="auto"/>
              </w:rPr>
            </w:pPr>
            <w:r>
              <w:rPr>
                <w:rFonts w:ascii="Arial" w:cs="Arial" w:eastAsia="Arial" w:hAnsi="Arial"/>
                <w:sz w:val="18"/>
                <w:szCs w:val="18"/>
                <w:color w:val="auto"/>
                <w:w w:val="82"/>
              </w:rPr>
              <w:t>Each</w:t>
            </w:r>
          </w:p>
        </w:tc>
        <w:tc>
          <w:tcPr>
            <w:tcW w:w="60" w:type="dxa"/>
            <w:vAlign w:val="bottom"/>
          </w:tcPr>
          <w:p>
            <w:pPr>
              <w:spacing w:after="0"/>
              <w:rPr>
                <w:sz w:val="16"/>
                <w:szCs w:val="16"/>
                <w:color w:val="auto"/>
              </w:rPr>
            </w:pPr>
          </w:p>
        </w:tc>
        <w:tc>
          <w:tcPr>
            <w:tcW w:w="120" w:type="dxa"/>
            <w:vAlign w:val="bottom"/>
          </w:tcPr>
          <w:p>
            <w:pPr>
              <w:jc w:val="right"/>
              <w:spacing w:after="0" w:line="190" w:lineRule="exact"/>
              <w:rPr>
                <w:sz w:val="20"/>
                <w:szCs w:val="20"/>
                <w:color w:val="auto"/>
              </w:rPr>
            </w:pPr>
            <w:r>
              <w:rPr>
                <w:rFonts w:ascii="Arial" w:cs="Arial" w:eastAsia="Arial" w:hAnsi="Arial"/>
                <w:sz w:val="18"/>
                <w:szCs w:val="18"/>
                <w:color w:val="auto"/>
                <w:w w:val="99"/>
              </w:rPr>
              <w:t>7</w:t>
            </w:r>
          </w:p>
        </w:tc>
        <w:tc>
          <w:tcPr>
            <w:tcW w:w="60" w:type="dxa"/>
            <w:vAlign w:val="bottom"/>
            <w:tcBorders>
              <w:right w:val="single" w:sz="8" w:color="auto"/>
            </w:tcBorders>
          </w:tcPr>
          <w:p>
            <w:pPr>
              <w:spacing w:after="0"/>
              <w:rPr>
                <w:sz w:val="16"/>
                <w:szCs w:val="16"/>
                <w:color w:val="auto"/>
              </w:rPr>
            </w:pPr>
          </w:p>
        </w:tc>
        <w:tc>
          <w:tcPr>
            <w:tcW w:w="1010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89"/>
              </w:rPr>
              <w:t>Reporting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restart"/>
          </w:tcPr>
          <w:p>
            <w:pPr>
              <w:ind w:left="300"/>
              <w:spacing w:after="0"/>
              <w:rPr>
                <w:sz w:val="20"/>
                <w:szCs w:val="20"/>
                <w:color w:val="auto"/>
              </w:rPr>
            </w:pPr>
            <w:r>
              <w:rPr>
                <w:rFonts w:ascii="Arial" w:cs="Arial" w:eastAsia="Arial" w:hAnsi="Arial"/>
                <w:sz w:val="22"/>
                <w:szCs w:val="22"/>
                <w:color w:val="auto"/>
              </w:rPr>
              <w:t>4,470,718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Person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720" w:type="dxa"/>
            <w:vAlign w:val="bottom"/>
            <w:tcBorders>
              <w:right w:val="single" w:sz="8" w:color="auto"/>
            </w:tcBorders>
            <w:vMerge w:val="restart"/>
          </w:tcPr>
          <w:p>
            <w:pPr>
              <w:jc w:val="center"/>
              <w:ind w:right="166"/>
              <w:spacing w:after="0"/>
              <w:rPr>
                <w:sz w:val="20"/>
                <w:szCs w:val="20"/>
                <w:color w:val="auto"/>
              </w:rPr>
            </w:pPr>
            <w:r>
              <w:rPr>
                <w:rFonts w:ascii="Arial" w:cs="Arial" w:eastAsia="Arial" w:hAnsi="Arial"/>
                <w:sz w:val="18"/>
                <w:szCs w:val="18"/>
                <w:color w:val="auto"/>
                <w:w w:val="92"/>
              </w:rPr>
              <w:t>With:</w:t>
            </w: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0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8</w:t>
            </w:r>
          </w:p>
        </w:tc>
        <w:tc>
          <w:tcPr>
            <w:tcW w:w="60" w:type="dxa"/>
            <w:vAlign w:val="bottom"/>
            <w:tcBorders>
              <w:right w:val="single" w:sz="8" w:color="auto"/>
            </w:tcBorders>
          </w:tcPr>
          <w:p>
            <w:pPr>
              <w:spacing w:after="0"/>
              <w:rPr>
                <w:sz w:val="18"/>
                <w:szCs w:val="18"/>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10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960" w:type="dxa"/>
            <w:vAlign w:val="bottom"/>
            <w:gridSpan w:val="4"/>
          </w:tcPr>
          <w:p>
            <w:pPr>
              <w:ind w:left="100"/>
              <w:spacing w:after="0"/>
              <w:rPr>
                <w:sz w:val="20"/>
                <w:szCs w:val="20"/>
                <w:color w:val="auto"/>
              </w:rPr>
            </w:pPr>
            <w:r>
              <w:rPr>
                <w:rFonts w:ascii="Arial" w:cs="Arial" w:eastAsia="Arial" w:hAnsi="Arial"/>
                <w:sz w:val="18"/>
                <w:szCs w:val="18"/>
                <w:color w:val="auto"/>
                <w:w w:val="98"/>
              </w:rPr>
              <w:t>Aggregate</w:t>
            </w:r>
          </w:p>
        </w:tc>
        <w:tc>
          <w:tcPr>
            <w:tcW w:w="101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4,470,718</w:t>
            </w:r>
          </w:p>
        </w:tc>
        <w:tc>
          <w:tcPr>
            <w:tcW w:w="0" w:type="dxa"/>
            <w:vAlign w:val="bottom"/>
          </w:tcPr>
          <w:p>
            <w:pPr>
              <w:spacing w:after="0"/>
              <w:rPr>
                <w:sz w:val="1"/>
                <w:szCs w:val="1"/>
                <w:color w:val="auto"/>
              </w:rPr>
            </w:pPr>
          </w:p>
        </w:tc>
      </w:tr>
      <w:tr>
        <w:trPr>
          <w:trHeight w:val="270"/>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6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3"/>
          </w:tcPr>
          <w:p>
            <w:pPr>
              <w:spacing w:after="0"/>
              <w:rPr>
                <w:sz w:val="13"/>
                <w:szCs w:val="13"/>
                <w:color w:val="auto"/>
              </w:rPr>
            </w:pPr>
          </w:p>
        </w:tc>
        <w:tc>
          <w:tcPr>
            <w:tcW w:w="10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87"/>
              </w:rPr>
              <w:t>9.2%</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IN, HC</w:t>
            </w: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148711302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54875" cy="4896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4896485"/>
                    </a:xfrm>
                    <a:prstGeom prst="rect">
                      <a:avLst/>
                    </a:prstGeom>
                    <a:noFill/>
                  </pic:spPr>
                </pic:pic>
              </a:graphicData>
            </a:graphic>
          </wp:anchor>
        </w:drawing>
      </w:r>
    </w:p>
    <w:p>
      <w:pPr>
        <w:spacing w:after="0" w:line="84" w:lineRule="exact"/>
        <w:rPr>
          <w:sz w:val="20"/>
          <w:szCs w:val="20"/>
          <w:color w:val="auto"/>
        </w:rPr>
      </w:pPr>
    </w:p>
    <w:p>
      <w:pPr>
        <w:ind w:left="220"/>
        <w:spacing w:after="0"/>
        <w:tabs>
          <w:tab w:leader="none" w:pos="4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Glenhill Capital Advisors, LLC</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1106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78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20" w:type="dxa"/>
            <w:vAlign w:val="bottom"/>
          </w:tcPr>
          <w:p>
            <w:pPr>
              <w:spacing w:after="0"/>
              <w:rPr>
                <w:sz w:val="23"/>
                <w:szCs w:val="23"/>
                <w:color w:val="auto"/>
              </w:rPr>
            </w:pPr>
          </w:p>
        </w:tc>
        <w:tc>
          <w:tcPr>
            <w:tcW w:w="1016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11060" w:type="dxa"/>
            <w:vAlign w:val="bottom"/>
            <w:tcBorders>
              <w:bottom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1106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60" w:type="dxa"/>
            <w:vAlign w:val="bottom"/>
            <w:tcBorders>
              <w:right w:val="single" w:sz="8" w:color="auto"/>
            </w:tcBorders>
          </w:tcPr>
          <w:p>
            <w:pPr>
              <w:spacing w:after="0"/>
              <w:rPr>
                <w:sz w:val="18"/>
                <w:szCs w:val="18"/>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2"/>
              </w:rPr>
              <w:t>Number of</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10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Shares</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60" w:type="dxa"/>
            <w:vAlign w:val="bottom"/>
            <w:tcBorders>
              <w:right w:val="single" w:sz="8" w:color="auto"/>
            </w:tcBorders>
          </w:tcPr>
          <w:p>
            <w:pPr>
              <w:spacing w:after="0"/>
              <w:rPr>
                <w:sz w:val="19"/>
                <w:szCs w:val="19"/>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4"/>
              </w:rPr>
              <w:t>Beneficially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restart"/>
          </w:tcPr>
          <w:p>
            <w:pPr>
              <w:ind w:left="300"/>
              <w:spacing w:after="0"/>
              <w:rPr>
                <w:sz w:val="20"/>
                <w:szCs w:val="20"/>
                <w:color w:val="auto"/>
              </w:rPr>
            </w:pPr>
            <w:r>
              <w:rPr>
                <w:rFonts w:ascii="Arial" w:cs="Arial" w:eastAsia="Arial" w:hAnsi="Arial"/>
                <w:sz w:val="22"/>
                <w:szCs w:val="22"/>
                <w:color w:val="auto"/>
              </w:rPr>
              <w:t>4,470,718</w:t>
            </w:r>
          </w:p>
        </w:tc>
        <w:tc>
          <w:tcPr>
            <w:tcW w:w="0" w:type="dxa"/>
            <w:vAlign w:val="bottom"/>
          </w:tcPr>
          <w:p>
            <w:pPr>
              <w:spacing w:after="0"/>
              <w:rPr>
                <w:sz w:val="1"/>
                <w:szCs w:val="1"/>
                <w:color w:val="auto"/>
              </w:rPr>
            </w:pPr>
          </w:p>
        </w:tc>
      </w:tr>
      <w:tr>
        <w:trPr>
          <w:trHeight w:val="222"/>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1"/>
              </w:rPr>
              <w:t>Owned by</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10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720" w:type="dxa"/>
            <w:vAlign w:val="bottom"/>
            <w:tcBorders>
              <w:right w:val="single" w:sz="8" w:color="auto"/>
            </w:tcBorders>
          </w:tcPr>
          <w:p>
            <w:pPr>
              <w:jc w:val="center"/>
              <w:ind w:right="166"/>
              <w:spacing w:after="0" w:line="190" w:lineRule="exact"/>
              <w:rPr>
                <w:sz w:val="20"/>
                <w:szCs w:val="20"/>
                <w:color w:val="auto"/>
              </w:rPr>
            </w:pPr>
            <w:r>
              <w:rPr>
                <w:rFonts w:ascii="Arial" w:cs="Arial" w:eastAsia="Arial" w:hAnsi="Arial"/>
                <w:sz w:val="18"/>
                <w:szCs w:val="18"/>
                <w:color w:val="auto"/>
                <w:w w:val="82"/>
              </w:rPr>
              <w:t>Each</w:t>
            </w:r>
          </w:p>
        </w:tc>
        <w:tc>
          <w:tcPr>
            <w:tcW w:w="60" w:type="dxa"/>
            <w:vAlign w:val="bottom"/>
          </w:tcPr>
          <w:p>
            <w:pPr>
              <w:spacing w:after="0"/>
              <w:rPr>
                <w:sz w:val="16"/>
                <w:szCs w:val="16"/>
                <w:color w:val="auto"/>
              </w:rPr>
            </w:pPr>
          </w:p>
        </w:tc>
        <w:tc>
          <w:tcPr>
            <w:tcW w:w="120" w:type="dxa"/>
            <w:vAlign w:val="bottom"/>
          </w:tcPr>
          <w:p>
            <w:pPr>
              <w:jc w:val="right"/>
              <w:spacing w:after="0" w:line="190" w:lineRule="exact"/>
              <w:rPr>
                <w:sz w:val="20"/>
                <w:szCs w:val="20"/>
                <w:color w:val="auto"/>
              </w:rPr>
            </w:pPr>
            <w:r>
              <w:rPr>
                <w:rFonts w:ascii="Arial" w:cs="Arial" w:eastAsia="Arial" w:hAnsi="Arial"/>
                <w:sz w:val="18"/>
                <w:szCs w:val="18"/>
                <w:color w:val="auto"/>
                <w:w w:val="99"/>
              </w:rPr>
              <w:t>7</w:t>
            </w:r>
          </w:p>
        </w:tc>
        <w:tc>
          <w:tcPr>
            <w:tcW w:w="60" w:type="dxa"/>
            <w:vAlign w:val="bottom"/>
            <w:tcBorders>
              <w:right w:val="single" w:sz="8" w:color="auto"/>
            </w:tcBorders>
          </w:tcPr>
          <w:p>
            <w:pPr>
              <w:spacing w:after="0"/>
              <w:rPr>
                <w:sz w:val="16"/>
                <w:szCs w:val="16"/>
                <w:color w:val="auto"/>
              </w:rPr>
            </w:pPr>
          </w:p>
        </w:tc>
        <w:tc>
          <w:tcPr>
            <w:tcW w:w="1010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89"/>
              </w:rPr>
              <w:t>Reporting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restart"/>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Person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720" w:type="dxa"/>
            <w:vAlign w:val="bottom"/>
            <w:tcBorders>
              <w:right w:val="single" w:sz="8" w:color="auto"/>
            </w:tcBorders>
            <w:vMerge w:val="restart"/>
          </w:tcPr>
          <w:p>
            <w:pPr>
              <w:jc w:val="center"/>
              <w:ind w:right="166"/>
              <w:spacing w:after="0"/>
              <w:rPr>
                <w:sz w:val="20"/>
                <w:szCs w:val="20"/>
                <w:color w:val="auto"/>
              </w:rPr>
            </w:pPr>
            <w:r>
              <w:rPr>
                <w:rFonts w:ascii="Arial" w:cs="Arial" w:eastAsia="Arial" w:hAnsi="Arial"/>
                <w:sz w:val="18"/>
                <w:szCs w:val="18"/>
                <w:color w:val="auto"/>
                <w:w w:val="92"/>
              </w:rPr>
              <w:t>With:</w:t>
            </w: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0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8</w:t>
            </w:r>
          </w:p>
        </w:tc>
        <w:tc>
          <w:tcPr>
            <w:tcW w:w="60" w:type="dxa"/>
            <w:vAlign w:val="bottom"/>
            <w:tcBorders>
              <w:right w:val="single" w:sz="8" w:color="auto"/>
            </w:tcBorders>
          </w:tcPr>
          <w:p>
            <w:pPr>
              <w:spacing w:after="0"/>
              <w:rPr>
                <w:sz w:val="18"/>
                <w:szCs w:val="18"/>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10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4,470,718</w:t>
            </w: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960" w:type="dxa"/>
            <w:vAlign w:val="bottom"/>
            <w:gridSpan w:val="4"/>
          </w:tcPr>
          <w:p>
            <w:pPr>
              <w:ind w:left="100"/>
              <w:spacing w:after="0"/>
              <w:rPr>
                <w:sz w:val="20"/>
                <w:szCs w:val="20"/>
                <w:color w:val="auto"/>
              </w:rPr>
            </w:pPr>
            <w:r>
              <w:rPr>
                <w:rFonts w:ascii="Arial" w:cs="Arial" w:eastAsia="Arial" w:hAnsi="Arial"/>
                <w:sz w:val="18"/>
                <w:szCs w:val="18"/>
                <w:color w:val="auto"/>
                <w:w w:val="98"/>
              </w:rPr>
              <w:t>Aggregate</w:t>
            </w:r>
          </w:p>
        </w:tc>
        <w:tc>
          <w:tcPr>
            <w:tcW w:w="101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4,470,718</w:t>
            </w:r>
          </w:p>
        </w:tc>
        <w:tc>
          <w:tcPr>
            <w:tcW w:w="0" w:type="dxa"/>
            <w:vAlign w:val="bottom"/>
          </w:tcPr>
          <w:p>
            <w:pPr>
              <w:spacing w:after="0"/>
              <w:rPr>
                <w:sz w:val="1"/>
                <w:szCs w:val="1"/>
                <w:color w:val="auto"/>
              </w:rPr>
            </w:pPr>
          </w:p>
        </w:tc>
      </w:tr>
      <w:tr>
        <w:trPr>
          <w:trHeight w:val="270"/>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6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3"/>
          </w:tcPr>
          <w:p>
            <w:pPr>
              <w:spacing w:after="0"/>
              <w:rPr>
                <w:sz w:val="13"/>
                <w:szCs w:val="13"/>
                <w:color w:val="auto"/>
              </w:rPr>
            </w:pPr>
          </w:p>
        </w:tc>
        <w:tc>
          <w:tcPr>
            <w:tcW w:w="10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87"/>
              </w:rPr>
              <w:t>9.2%</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IA, HC</w:t>
            </w: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148711302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54875" cy="4896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4896485"/>
                    </a:xfrm>
                    <a:prstGeom prst="rect">
                      <a:avLst/>
                    </a:prstGeom>
                    <a:noFill/>
                  </pic:spPr>
                </pic:pic>
              </a:graphicData>
            </a:graphic>
          </wp:anchor>
        </w:drawing>
      </w:r>
    </w:p>
    <w:p>
      <w:pPr>
        <w:spacing w:after="0" w:line="84" w:lineRule="exact"/>
        <w:rPr>
          <w:sz w:val="20"/>
          <w:szCs w:val="20"/>
          <w:color w:val="auto"/>
        </w:rPr>
      </w:pPr>
    </w:p>
    <w:p>
      <w:pPr>
        <w:ind w:left="220"/>
        <w:spacing w:after="0"/>
        <w:tabs>
          <w:tab w:leader="none" w:pos="4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Glenhill Capital Management, LLC</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1106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78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20" w:type="dxa"/>
            <w:vAlign w:val="bottom"/>
          </w:tcPr>
          <w:p>
            <w:pPr>
              <w:spacing w:after="0"/>
              <w:rPr>
                <w:sz w:val="23"/>
                <w:szCs w:val="23"/>
                <w:color w:val="auto"/>
              </w:rPr>
            </w:pPr>
          </w:p>
        </w:tc>
        <w:tc>
          <w:tcPr>
            <w:tcW w:w="1016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11060" w:type="dxa"/>
            <w:vAlign w:val="bottom"/>
            <w:tcBorders>
              <w:bottom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1106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60" w:type="dxa"/>
            <w:vAlign w:val="bottom"/>
            <w:tcBorders>
              <w:right w:val="single" w:sz="8" w:color="auto"/>
            </w:tcBorders>
          </w:tcPr>
          <w:p>
            <w:pPr>
              <w:spacing w:after="0"/>
              <w:rPr>
                <w:sz w:val="18"/>
                <w:szCs w:val="18"/>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2"/>
              </w:rPr>
              <w:t>Number of</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10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Shares</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60" w:type="dxa"/>
            <w:vAlign w:val="bottom"/>
            <w:tcBorders>
              <w:right w:val="single" w:sz="8" w:color="auto"/>
            </w:tcBorders>
          </w:tcPr>
          <w:p>
            <w:pPr>
              <w:spacing w:after="0"/>
              <w:rPr>
                <w:sz w:val="19"/>
                <w:szCs w:val="19"/>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4"/>
              </w:rPr>
              <w:t>Beneficially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restart"/>
          </w:tcPr>
          <w:p>
            <w:pPr>
              <w:ind w:left="300"/>
              <w:spacing w:after="0"/>
              <w:rPr>
                <w:sz w:val="20"/>
                <w:szCs w:val="20"/>
                <w:color w:val="auto"/>
              </w:rPr>
            </w:pPr>
            <w:r>
              <w:rPr>
                <w:rFonts w:ascii="Arial" w:cs="Arial" w:eastAsia="Arial" w:hAnsi="Arial"/>
                <w:sz w:val="22"/>
                <w:szCs w:val="22"/>
                <w:color w:val="auto"/>
              </w:rPr>
              <w:t>4,470,718</w:t>
            </w:r>
          </w:p>
        </w:tc>
        <w:tc>
          <w:tcPr>
            <w:tcW w:w="0" w:type="dxa"/>
            <w:vAlign w:val="bottom"/>
          </w:tcPr>
          <w:p>
            <w:pPr>
              <w:spacing w:after="0"/>
              <w:rPr>
                <w:sz w:val="1"/>
                <w:szCs w:val="1"/>
                <w:color w:val="auto"/>
              </w:rPr>
            </w:pPr>
          </w:p>
        </w:tc>
      </w:tr>
      <w:tr>
        <w:trPr>
          <w:trHeight w:val="222"/>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1"/>
              </w:rPr>
              <w:t>Owned by</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10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720" w:type="dxa"/>
            <w:vAlign w:val="bottom"/>
            <w:tcBorders>
              <w:right w:val="single" w:sz="8" w:color="auto"/>
            </w:tcBorders>
          </w:tcPr>
          <w:p>
            <w:pPr>
              <w:jc w:val="center"/>
              <w:ind w:right="166"/>
              <w:spacing w:after="0" w:line="190" w:lineRule="exact"/>
              <w:rPr>
                <w:sz w:val="20"/>
                <w:szCs w:val="20"/>
                <w:color w:val="auto"/>
              </w:rPr>
            </w:pPr>
            <w:r>
              <w:rPr>
                <w:rFonts w:ascii="Arial" w:cs="Arial" w:eastAsia="Arial" w:hAnsi="Arial"/>
                <w:sz w:val="18"/>
                <w:szCs w:val="18"/>
                <w:color w:val="auto"/>
                <w:w w:val="82"/>
              </w:rPr>
              <w:t>Each</w:t>
            </w:r>
          </w:p>
        </w:tc>
        <w:tc>
          <w:tcPr>
            <w:tcW w:w="60" w:type="dxa"/>
            <w:vAlign w:val="bottom"/>
          </w:tcPr>
          <w:p>
            <w:pPr>
              <w:spacing w:after="0"/>
              <w:rPr>
                <w:sz w:val="16"/>
                <w:szCs w:val="16"/>
                <w:color w:val="auto"/>
              </w:rPr>
            </w:pPr>
          </w:p>
        </w:tc>
        <w:tc>
          <w:tcPr>
            <w:tcW w:w="120" w:type="dxa"/>
            <w:vAlign w:val="bottom"/>
          </w:tcPr>
          <w:p>
            <w:pPr>
              <w:jc w:val="right"/>
              <w:spacing w:after="0" w:line="190" w:lineRule="exact"/>
              <w:rPr>
                <w:sz w:val="20"/>
                <w:szCs w:val="20"/>
                <w:color w:val="auto"/>
              </w:rPr>
            </w:pPr>
            <w:r>
              <w:rPr>
                <w:rFonts w:ascii="Arial" w:cs="Arial" w:eastAsia="Arial" w:hAnsi="Arial"/>
                <w:sz w:val="18"/>
                <w:szCs w:val="18"/>
                <w:color w:val="auto"/>
                <w:w w:val="99"/>
              </w:rPr>
              <w:t>7</w:t>
            </w:r>
          </w:p>
        </w:tc>
        <w:tc>
          <w:tcPr>
            <w:tcW w:w="60" w:type="dxa"/>
            <w:vAlign w:val="bottom"/>
            <w:tcBorders>
              <w:right w:val="single" w:sz="8" w:color="auto"/>
            </w:tcBorders>
          </w:tcPr>
          <w:p>
            <w:pPr>
              <w:spacing w:after="0"/>
              <w:rPr>
                <w:sz w:val="16"/>
                <w:szCs w:val="16"/>
                <w:color w:val="auto"/>
              </w:rPr>
            </w:pPr>
          </w:p>
        </w:tc>
        <w:tc>
          <w:tcPr>
            <w:tcW w:w="1010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89"/>
              </w:rPr>
              <w:t>Reporting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restart"/>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Person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720" w:type="dxa"/>
            <w:vAlign w:val="bottom"/>
            <w:tcBorders>
              <w:right w:val="single" w:sz="8" w:color="auto"/>
            </w:tcBorders>
            <w:vMerge w:val="restart"/>
          </w:tcPr>
          <w:p>
            <w:pPr>
              <w:jc w:val="center"/>
              <w:ind w:right="166"/>
              <w:spacing w:after="0"/>
              <w:rPr>
                <w:sz w:val="20"/>
                <w:szCs w:val="20"/>
                <w:color w:val="auto"/>
              </w:rPr>
            </w:pPr>
            <w:r>
              <w:rPr>
                <w:rFonts w:ascii="Arial" w:cs="Arial" w:eastAsia="Arial" w:hAnsi="Arial"/>
                <w:sz w:val="18"/>
                <w:szCs w:val="18"/>
                <w:color w:val="auto"/>
                <w:w w:val="92"/>
              </w:rPr>
              <w:t>With:</w:t>
            </w: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0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8</w:t>
            </w:r>
          </w:p>
        </w:tc>
        <w:tc>
          <w:tcPr>
            <w:tcW w:w="60" w:type="dxa"/>
            <w:vAlign w:val="bottom"/>
            <w:tcBorders>
              <w:right w:val="single" w:sz="8" w:color="auto"/>
            </w:tcBorders>
          </w:tcPr>
          <w:p>
            <w:pPr>
              <w:spacing w:after="0"/>
              <w:rPr>
                <w:sz w:val="18"/>
                <w:szCs w:val="18"/>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10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4,470,718</w:t>
            </w: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960" w:type="dxa"/>
            <w:vAlign w:val="bottom"/>
            <w:gridSpan w:val="4"/>
          </w:tcPr>
          <w:p>
            <w:pPr>
              <w:ind w:left="100"/>
              <w:spacing w:after="0"/>
              <w:rPr>
                <w:sz w:val="20"/>
                <w:szCs w:val="20"/>
                <w:color w:val="auto"/>
              </w:rPr>
            </w:pPr>
            <w:r>
              <w:rPr>
                <w:rFonts w:ascii="Arial" w:cs="Arial" w:eastAsia="Arial" w:hAnsi="Arial"/>
                <w:sz w:val="18"/>
                <w:szCs w:val="18"/>
                <w:color w:val="auto"/>
                <w:w w:val="98"/>
              </w:rPr>
              <w:t>Aggregate</w:t>
            </w:r>
          </w:p>
        </w:tc>
        <w:tc>
          <w:tcPr>
            <w:tcW w:w="101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4,470,718</w:t>
            </w:r>
          </w:p>
        </w:tc>
        <w:tc>
          <w:tcPr>
            <w:tcW w:w="0" w:type="dxa"/>
            <w:vAlign w:val="bottom"/>
          </w:tcPr>
          <w:p>
            <w:pPr>
              <w:spacing w:after="0"/>
              <w:rPr>
                <w:sz w:val="1"/>
                <w:szCs w:val="1"/>
                <w:color w:val="auto"/>
              </w:rPr>
            </w:pPr>
          </w:p>
        </w:tc>
      </w:tr>
      <w:tr>
        <w:trPr>
          <w:trHeight w:val="270"/>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6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3"/>
          </w:tcPr>
          <w:p>
            <w:pPr>
              <w:spacing w:after="0"/>
              <w:rPr>
                <w:sz w:val="13"/>
                <w:szCs w:val="13"/>
                <w:color w:val="auto"/>
              </w:rPr>
            </w:pPr>
          </w:p>
        </w:tc>
        <w:tc>
          <w:tcPr>
            <w:tcW w:w="10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87"/>
              </w:rPr>
              <w:t>9.2%</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IA, HC</w:t>
            </w: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148711302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54875" cy="4896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4896485"/>
                    </a:xfrm>
                    <a:prstGeom prst="rect">
                      <a:avLst/>
                    </a:prstGeom>
                    <a:noFill/>
                  </pic:spPr>
                </pic:pic>
              </a:graphicData>
            </a:graphic>
          </wp:anchor>
        </w:drawing>
      </w:r>
    </w:p>
    <w:p>
      <w:pPr>
        <w:spacing w:after="0" w:line="84" w:lineRule="exact"/>
        <w:rPr>
          <w:sz w:val="20"/>
          <w:szCs w:val="20"/>
          <w:color w:val="auto"/>
        </w:rPr>
      </w:pPr>
    </w:p>
    <w:p>
      <w:pPr>
        <w:ind w:left="220"/>
        <w:spacing w:after="0"/>
        <w:tabs>
          <w:tab w:leader="none" w:pos="4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Glenhill Capital Overseas Master Fund, LP</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1106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78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20" w:type="dxa"/>
            <w:vAlign w:val="bottom"/>
          </w:tcPr>
          <w:p>
            <w:pPr>
              <w:spacing w:after="0"/>
              <w:rPr>
                <w:sz w:val="23"/>
                <w:szCs w:val="23"/>
                <w:color w:val="auto"/>
              </w:rPr>
            </w:pPr>
          </w:p>
        </w:tc>
        <w:tc>
          <w:tcPr>
            <w:tcW w:w="1016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11060" w:type="dxa"/>
            <w:vAlign w:val="bottom"/>
            <w:tcBorders>
              <w:bottom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1106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Cayman</w:t>
            </w: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60" w:type="dxa"/>
            <w:vAlign w:val="bottom"/>
            <w:tcBorders>
              <w:right w:val="single" w:sz="8" w:color="auto"/>
            </w:tcBorders>
          </w:tcPr>
          <w:p>
            <w:pPr>
              <w:spacing w:after="0"/>
              <w:rPr>
                <w:sz w:val="18"/>
                <w:szCs w:val="18"/>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2"/>
              </w:rPr>
              <w:t>Number of</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10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Shares</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60" w:type="dxa"/>
            <w:vAlign w:val="bottom"/>
            <w:tcBorders>
              <w:right w:val="single" w:sz="8" w:color="auto"/>
            </w:tcBorders>
          </w:tcPr>
          <w:p>
            <w:pPr>
              <w:spacing w:after="0"/>
              <w:rPr>
                <w:sz w:val="19"/>
                <w:szCs w:val="19"/>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4"/>
              </w:rPr>
              <w:t>Beneficially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restart"/>
          </w:tcPr>
          <w:p>
            <w:pPr>
              <w:ind w:left="300"/>
              <w:spacing w:after="0"/>
              <w:rPr>
                <w:sz w:val="20"/>
                <w:szCs w:val="20"/>
                <w:color w:val="auto"/>
              </w:rPr>
            </w:pPr>
            <w:r>
              <w:rPr>
                <w:rFonts w:ascii="Arial" w:cs="Arial" w:eastAsia="Arial" w:hAnsi="Arial"/>
                <w:sz w:val="22"/>
                <w:szCs w:val="22"/>
                <w:color w:val="auto"/>
              </w:rPr>
              <w:t>2,964,177</w:t>
            </w:r>
          </w:p>
        </w:tc>
        <w:tc>
          <w:tcPr>
            <w:tcW w:w="0" w:type="dxa"/>
            <w:vAlign w:val="bottom"/>
          </w:tcPr>
          <w:p>
            <w:pPr>
              <w:spacing w:after="0"/>
              <w:rPr>
                <w:sz w:val="1"/>
                <w:szCs w:val="1"/>
                <w:color w:val="auto"/>
              </w:rPr>
            </w:pPr>
          </w:p>
        </w:tc>
      </w:tr>
      <w:tr>
        <w:trPr>
          <w:trHeight w:val="222"/>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1"/>
              </w:rPr>
              <w:t>Owned by</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10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720" w:type="dxa"/>
            <w:vAlign w:val="bottom"/>
            <w:tcBorders>
              <w:right w:val="single" w:sz="8" w:color="auto"/>
            </w:tcBorders>
          </w:tcPr>
          <w:p>
            <w:pPr>
              <w:jc w:val="center"/>
              <w:ind w:right="166"/>
              <w:spacing w:after="0" w:line="190" w:lineRule="exact"/>
              <w:rPr>
                <w:sz w:val="20"/>
                <w:szCs w:val="20"/>
                <w:color w:val="auto"/>
              </w:rPr>
            </w:pPr>
            <w:r>
              <w:rPr>
                <w:rFonts w:ascii="Arial" w:cs="Arial" w:eastAsia="Arial" w:hAnsi="Arial"/>
                <w:sz w:val="18"/>
                <w:szCs w:val="18"/>
                <w:color w:val="auto"/>
                <w:w w:val="82"/>
              </w:rPr>
              <w:t>Each</w:t>
            </w:r>
          </w:p>
        </w:tc>
        <w:tc>
          <w:tcPr>
            <w:tcW w:w="60" w:type="dxa"/>
            <w:vAlign w:val="bottom"/>
          </w:tcPr>
          <w:p>
            <w:pPr>
              <w:spacing w:after="0"/>
              <w:rPr>
                <w:sz w:val="16"/>
                <w:szCs w:val="16"/>
                <w:color w:val="auto"/>
              </w:rPr>
            </w:pPr>
          </w:p>
        </w:tc>
        <w:tc>
          <w:tcPr>
            <w:tcW w:w="120" w:type="dxa"/>
            <w:vAlign w:val="bottom"/>
          </w:tcPr>
          <w:p>
            <w:pPr>
              <w:jc w:val="right"/>
              <w:spacing w:after="0" w:line="190" w:lineRule="exact"/>
              <w:rPr>
                <w:sz w:val="20"/>
                <w:szCs w:val="20"/>
                <w:color w:val="auto"/>
              </w:rPr>
            </w:pPr>
            <w:r>
              <w:rPr>
                <w:rFonts w:ascii="Arial" w:cs="Arial" w:eastAsia="Arial" w:hAnsi="Arial"/>
                <w:sz w:val="18"/>
                <w:szCs w:val="18"/>
                <w:color w:val="auto"/>
                <w:w w:val="99"/>
              </w:rPr>
              <w:t>7</w:t>
            </w:r>
          </w:p>
        </w:tc>
        <w:tc>
          <w:tcPr>
            <w:tcW w:w="60" w:type="dxa"/>
            <w:vAlign w:val="bottom"/>
            <w:tcBorders>
              <w:right w:val="single" w:sz="8" w:color="auto"/>
            </w:tcBorders>
          </w:tcPr>
          <w:p>
            <w:pPr>
              <w:spacing w:after="0"/>
              <w:rPr>
                <w:sz w:val="16"/>
                <w:szCs w:val="16"/>
                <w:color w:val="auto"/>
              </w:rPr>
            </w:pPr>
          </w:p>
        </w:tc>
        <w:tc>
          <w:tcPr>
            <w:tcW w:w="1010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89"/>
              </w:rPr>
              <w:t>Reporting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restart"/>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Person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720" w:type="dxa"/>
            <w:vAlign w:val="bottom"/>
            <w:tcBorders>
              <w:right w:val="single" w:sz="8" w:color="auto"/>
            </w:tcBorders>
            <w:vMerge w:val="restart"/>
          </w:tcPr>
          <w:p>
            <w:pPr>
              <w:jc w:val="center"/>
              <w:ind w:right="166"/>
              <w:spacing w:after="0"/>
              <w:rPr>
                <w:sz w:val="20"/>
                <w:szCs w:val="20"/>
                <w:color w:val="auto"/>
              </w:rPr>
            </w:pPr>
            <w:r>
              <w:rPr>
                <w:rFonts w:ascii="Arial" w:cs="Arial" w:eastAsia="Arial" w:hAnsi="Arial"/>
                <w:sz w:val="18"/>
                <w:szCs w:val="18"/>
                <w:color w:val="auto"/>
                <w:w w:val="92"/>
              </w:rPr>
              <w:t>With:</w:t>
            </w: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0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8</w:t>
            </w:r>
          </w:p>
        </w:tc>
        <w:tc>
          <w:tcPr>
            <w:tcW w:w="60" w:type="dxa"/>
            <w:vAlign w:val="bottom"/>
            <w:tcBorders>
              <w:right w:val="single" w:sz="8" w:color="auto"/>
            </w:tcBorders>
          </w:tcPr>
          <w:p>
            <w:pPr>
              <w:spacing w:after="0"/>
              <w:rPr>
                <w:sz w:val="18"/>
                <w:szCs w:val="18"/>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10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2,964,177</w:t>
            </w: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960" w:type="dxa"/>
            <w:vAlign w:val="bottom"/>
            <w:gridSpan w:val="4"/>
          </w:tcPr>
          <w:p>
            <w:pPr>
              <w:ind w:left="100"/>
              <w:spacing w:after="0"/>
              <w:rPr>
                <w:sz w:val="20"/>
                <w:szCs w:val="20"/>
                <w:color w:val="auto"/>
              </w:rPr>
            </w:pPr>
            <w:r>
              <w:rPr>
                <w:rFonts w:ascii="Arial" w:cs="Arial" w:eastAsia="Arial" w:hAnsi="Arial"/>
                <w:sz w:val="18"/>
                <w:szCs w:val="18"/>
                <w:color w:val="auto"/>
                <w:w w:val="98"/>
              </w:rPr>
              <w:t>Aggregate</w:t>
            </w:r>
          </w:p>
        </w:tc>
        <w:tc>
          <w:tcPr>
            <w:tcW w:w="101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11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2,964,177</w:t>
            </w:r>
          </w:p>
        </w:tc>
        <w:tc>
          <w:tcPr>
            <w:tcW w:w="0" w:type="dxa"/>
            <w:vAlign w:val="bottom"/>
          </w:tcPr>
          <w:p>
            <w:pPr>
              <w:spacing w:after="0"/>
              <w:rPr>
                <w:sz w:val="1"/>
                <w:szCs w:val="1"/>
                <w:color w:val="auto"/>
              </w:rPr>
            </w:pPr>
          </w:p>
        </w:tc>
      </w:tr>
      <w:tr>
        <w:trPr>
          <w:trHeight w:val="270"/>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6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3"/>
          </w:tcPr>
          <w:p>
            <w:pPr>
              <w:spacing w:after="0"/>
              <w:rPr>
                <w:sz w:val="13"/>
                <w:szCs w:val="13"/>
                <w:color w:val="auto"/>
              </w:rPr>
            </w:pPr>
          </w:p>
        </w:tc>
        <w:tc>
          <w:tcPr>
            <w:tcW w:w="10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87"/>
              </w:rPr>
              <w:t>6.1%</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PN</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(a).</w:t>
            </w:r>
          </w:p>
        </w:tc>
        <w:tc>
          <w:tcPr>
            <w:tcW w:w="8720" w:type="dxa"/>
            <w:vAlign w:val="bottom"/>
          </w:tcPr>
          <w:p>
            <w:pPr>
              <w:ind w:left="220"/>
              <w:spacing w:after="0"/>
              <w:rPr>
                <w:sz w:val="20"/>
                <w:szCs w:val="20"/>
                <w:color w:val="auto"/>
              </w:rPr>
            </w:pPr>
            <w:r>
              <w:rPr>
                <w:rFonts w:ascii="Arial" w:cs="Arial" w:eastAsia="Arial" w:hAnsi="Arial"/>
                <w:sz w:val="18"/>
                <w:szCs w:val="18"/>
                <w:b w:val="1"/>
                <w:bCs w:val="1"/>
                <w:color w:val="auto"/>
              </w:rPr>
              <w:t>Name of Issuer:</w:t>
            </w: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rPr>
              <w:t>Casual Male Retail Group, Inc.</w:t>
            </w: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(b).</w:t>
            </w:r>
          </w:p>
        </w:tc>
        <w:tc>
          <w:tcPr>
            <w:tcW w:w="8720" w:type="dxa"/>
            <w:vAlign w:val="bottom"/>
          </w:tcPr>
          <w:p>
            <w:pPr>
              <w:ind w:left="22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318"/>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rPr>
              <w:t>555 Turnpike Street</w:t>
            </w:r>
          </w:p>
        </w:tc>
      </w:tr>
      <w:tr>
        <w:trPr>
          <w:trHeight w:val="222"/>
        </w:trPr>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rPr>
              <w:t>Canton, MA 02021</w:t>
            </w:r>
          </w:p>
        </w:tc>
      </w:tr>
      <w:tr>
        <w:trPr>
          <w:trHeight w:val="338"/>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(a).</w:t>
            </w:r>
          </w:p>
        </w:tc>
        <w:tc>
          <w:tcPr>
            <w:tcW w:w="8720" w:type="dxa"/>
            <w:vAlign w:val="bottom"/>
          </w:tcPr>
          <w:p>
            <w:pPr>
              <w:ind w:left="220"/>
              <w:spacing w:after="0"/>
              <w:rPr>
                <w:sz w:val="20"/>
                <w:szCs w:val="20"/>
                <w:color w:val="auto"/>
              </w:rPr>
            </w:pPr>
            <w:r>
              <w:rPr>
                <w:rFonts w:ascii="Arial" w:cs="Arial" w:eastAsia="Arial" w:hAnsi="Arial"/>
                <w:sz w:val="18"/>
                <w:szCs w:val="18"/>
                <w:b w:val="1"/>
                <w:bCs w:val="1"/>
                <w:color w:val="auto"/>
              </w:rPr>
              <w:t>Name of Person Filing:</w:t>
            </w:r>
          </w:p>
        </w:tc>
      </w:tr>
      <w:tr>
        <w:trPr>
          <w:trHeight w:val="318"/>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w w:val="96"/>
              </w:rPr>
              <w:t>Glenhill Advisors, LLC, Glenn J. Krevlin, Glenhill Capital Advisors, LLC, Glenhill Capital Management, LLC and</w:t>
            </w:r>
          </w:p>
        </w:tc>
      </w:tr>
      <w:tr>
        <w:trPr>
          <w:trHeight w:val="222"/>
        </w:trPr>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rPr>
              <w:t>Glenhill Capital Overseas Master Fund, LP.</w:t>
            </w:r>
          </w:p>
        </w:tc>
      </w:tr>
      <w:tr>
        <w:trPr>
          <w:trHeight w:val="318"/>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w w:val="90"/>
              </w:rPr>
              <w:t>Glenn J. Krevlin is the managing member and control person of Glenhill Advisors, LLC, and is the sole shareholder of</w:t>
            </w:r>
          </w:p>
        </w:tc>
      </w:tr>
      <w:tr>
        <w:trPr>
          <w:trHeight w:val="216"/>
        </w:trPr>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w w:val="90"/>
              </w:rPr>
              <w:t>Krevlin Management, Inc. Krevlin Management, Inc. is the managing member of Glenhill Capital Advisors, LLC, which</w:t>
            </w:r>
          </w:p>
        </w:tc>
      </w:tr>
      <w:tr>
        <w:trPr>
          <w:trHeight w:val="216"/>
        </w:trPr>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w w:val="89"/>
              </w:rPr>
              <w:t>is the investment manager of Glenhill Capital Overseas Master Fund, LP and Glenhill Concentrated Long Master Fund,</w:t>
            </w:r>
          </w:p>
        </w:tc>
      </w:tr>
      <w:tr>
        <w:trPr>
          <w:trHeight w:val="216"/>
        </w:trPr>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w w:val="98"/>
              </w:rPr>
              <w:t>LLC, each a security holder of the Issuer. Glenhill Advisors, LLC is the managing member of Glenhill Capital</w:t>
            </w:r>
          </w:p>
        </w:tc>
      </w:tr>
      <w:tr>
        <w:trPr>
          <w:trHeight w:val="216"/>
        </w:trPr>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w w:val="90"/>
              </w:rPr>
              <w:t>Management, LLC. Glenhill Capital Management, LLC is the managing member of Glenhill Concentrated Long Master</w:t>
            </w:r>
          </w:p>
        </w:tc>
      </w:tr>
      <w:tr>
        <w:trPr>
          <w:trHeight w:val="216"/>
        </w:trPr>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w w:val="90"/>
              </w:rPr>
              <w:t>Fund, LLC, and sole shareholder of Glenhill Capital Overseas GP, Ltd., which is the general partner of Glenhill Capital</w:t>
            </w:r>
          </w:p>
        </w:tc>
      </w:tr>
      <w:tr>
        <w:trPr>
          <w:trHeight w:val="222"/>
        </w:trPr>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rPr>
              <w:t>Overseas Master Fund, LP.</w:t>
            </w: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(b).</w:t>
            </w:r>
          </w:p>
        </w:tc>
        <w:tc>
          <w:tcPr>
            <w:tcW w:w="8720" w:type="dxa"/>
            <w:vAlign w:val="bottom"/>
          </w:tcPr>
          <w:p>
            <w:pPr>
              <w:ind w:left="22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318"/>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rPr>
              <w:t>600 Fifth Avenue, 11</w:t>
            </w:r>
            <w:r>
              <w:rPr>
                <w:rFonts w:ascii="Arial" w:cs="Arial" w:eastAsia="Arial" w:hAnsi="Arial"/>
                <w:sz w:val="11"/>
                <w:szCs w:val="11"/>
                <w:color w:val="auto"/>
              </w:rPr>
              <w:t>th</w:t>
            </w:r>
            <w:r>
              <w:rPr>
                <w:rFonts w:ascii="Arial" w:cs="Arial" w:eastAsia="Arial" w:hAnsi="Arial"/>
                <w:sz w:val="18"/>
                <w:szCs w:val="18"/>
                <w:color w:val="auto"/>
              </w:rPr>
              <w:t xml:space="preserve"> Floor</w:t>
            </w:r>
          </w:p>
        </w:tc>
      </w:tr>
      <w:tr>
        <w:trPr>
          <w:trHeight w:val="222"/>
        </w:trPr>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rPr>
              <w:t>New York, NY 10020</w:t>
            </w:r>
          </w:p>
        </w:tc>
      </w:tr>
      <w:tr>
        <w:trPr>
          <w:trHeight w:val="338"/>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(c).</w:t>
            </w:r>
          </w:p>
        </w:tc>
        <w:tc>
          <w:tcPr>
            <w:tcW w:w="8720" w:type="dxa"/>
            <w:vAlign w:val="bottom"/>
          </w:tcPr>
          <w:p>
            <w:pPr>
              <w:ind w:left="220"/>
              <w:spacing w:after="0"/>
              <w:rPr>
                <w:sz w:val="20"/>
                <w:szCs w:val="20"/>
                <w:color w:val="auto"/>
              </w:rPr>
            </w:pPr>
            <w:r>
              <w:rPr>
                <w:rFonts w:ascii="Arial" w:cs="Arial" w:eastAsia="Arial" w:hAnsi="Arial"/>
                <w:sz w:val="18"/>
                <w:szCs w:val="18"/>
                <w:b w:val="1"/>
                <w:bCs w:val="1"/>
                <w:color w:val="auto"/>
              </w:rPr>
              <w:t>Citizenship:</w:t>
            </w: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rPr>
              <w:t>See the response(s) to Item 4 on the attached cover page(s).</w:t>
            </w: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(d).</w:t>
            </w:r>
          </w:p>
        </w:tc>
        <w:tc>
          <w:tcPr>
            <w:tcW w:w="8720" w:type="dxa"/>
            <w:vAlign w:val="bottom"/>
          </w:tcPr>
          <w:p>
            <w:pPr>
              <w:ind w:left="220"/>
              <w:spacing w:after="0"/>
              <w:rPr>
                <w:sz w:val="20"/>
                <w:szCs w:val="20"/>
                <w:color w:val="auto"/>
              </w:rPr>
            </w:pPr>
            <w:r>
              <w:rPr>
                <w:rFonts w:ascii="Arial" w:cs="Arial" w:eastAsia="Arial" w:hAnsi="Arial"/>
                <w:sz w:val="18"/>
                <w:szCs w:val="18"/>
                <w:b w:val="1"/>
                <w:bCs w:val="1"/>
                <w:color w:val="auto"/>
              </w:rPr>
              <w:t>Title of Class of Securities:</w:t>
            </w: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rPr>
              <w:t>Common Stock</w:t>
            </w: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(e).</w:t>
            </w:r>
          </w:p>
        </w:tc>
        <w:tc>
          <w:tcPr>
            <w:tcW w:w="8720" w:type="dxa"/>
            <w:vAlign w:val="bottom"/>
          </w:tcPr>
          <w:p>
            <w:pPr>
              <w:ind w:left="220"/>
              <w:spacing w:after="0"/>
              <w:rPr>
                <w:sz w:val="20"/>
                <w:szCs w:val="20"/>
                <w:color w:val="auto"/>
              </w:rPr>
            </w:pPr>
            <w:r>
              <w:rPr>
                <w:rFonts w:ascii="Arial" w:cs="Arial" w:eastAsia="Arial" w:hAnsi="Arial"/>
                <w:sz w:val="18"/>
                <w:szCs w:val="18"/>
                <w:b w:val="1"/>
                <w:bCs w:val="1"/>
                <w:color w:val="auto"/>
              </w:rPr>
              <w:t>CUSIP Number:</w:t>
            </w: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20" w:type="dxa"/>
            <w:vAlign w:val="bottom"/>
          </w:tcPr>
          <w:p>
            <w:pPr>
              <w:ind w:left="220"/>
              <w:spacing w:after="0"/>
              <w:rPr>
                <w:sz w:val="20"/>
                <w:szCs w:val="20"/>
                <w:color w:val="auto"/>
              </w:rPr>
            </w:pPr>
            <w:r>
              <w:rPr>
                <w:rFonts w:ascii="Arial" w:cs="Arial" w:eastAsia="Arial" w:hAnsi="Arial"/>
                <w:sz w:val="18"/>
                <w:szCs w:val="18"/>
                <w:color w:val="auto"/>
              </w:rPr>
              <w:t>148711302</w:t>
            </w:r>
          </w:p>
        </w:tc>
      </w:tr>
    </w:tbl>
    <w:p>
      <w:pPr>
        <w:spacing w:after="0" w:line="9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§§240.13d-1(b) or 240.13d-2(b) or (c), check whether the person filing is a:</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219"/>
          </w:cols>
          <w:pgMar w:left="240" w:top="274" w:right="1440" w:bottom="1440" w:gutter="0" w:footer="0" w:header="0"/>
        </w:sectPr>
      </w:pPr>
    </w:p>
    <w:bookmarkStart w:id="7" w:name="page8"/>
    <w:bookmarkEnd w:id="7"/>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w:t>
      </w:r>
    </w:p>
    <w:p>
      <w:pPr>
        <w:spacing w:after="0" w:line="3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Item 1:</w:t>
      </w:r>
    </w:p>
    <w:p>
      <w:pPr>
        <w:spacing w:after="0" w:line="111" w:lineRule="exact"/>
        <w:rPr>
          <w:sz w:val="20"/>
          <w:szCs w:val="20"/>
          <w:color w:val="auto"/>
        </w:rPr>
      </w:pPr>
    </w:p>
    <w:p>
      <w:pPr>
        <w:ind w:left="1020" w:hanging="31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117" w:lineRule="exact"/>
        <w:rPr>
          <w:rFonts w:ascii="Arial" w:cs="Arial" w:eastAsia="Arial" w:hAnsi="Arial"/>
          <w:sz w:val="18"/>
          <w:szCs w:val="18"/>
          <w:color w:val="auto"/>
        </w:rPr>
      </w:pPr>
    </w:p>
    <w:p>
      <w:pPr>
        <w:ind w:left="1020" w:hanging="31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rFonts w:ascii="Arial" w:cs="Arial" w:eastAsia="Arial" w:hAnsi="Arial"/>
          <w:sz w:val="18"/>
          <w:szCs w:val="18"/>
          <w:color w:val="auto"/>
        </w:rPr>
      </w:pPr>
    </w:p>
    <w:p>
      <w:pPr>
        <w:ind w:left="1020" w:right="579"/>
        <w:spacing w:after="0" w:line="306" w:lineRule="auto"/>
        <w:rPr>
          <w:rFonts w:ascii="Arial" w:cs="Arial" w:eastAsia="Arial" w:hAnsi="Arial"/>
          <w:sz w:val="18"/>
          <w:szCs w:val="18"/>
          <w:color w:val="auto"/>
        </w:rPr>
      </w:pPr>
      <w:r>
        <w:rPr>
          <w:rFonts w:ascii="Arial" w:cs="Arial" w:eastAsia="Arial" w:hAnsi="Arial"/>
          <w:sz w:val="16"/>
          <w:szCs w:val="16"/>
          <w:color w:val="auto"/>
        </w:rPr>
        <w:t>See the response(s) to Item 11 on the attached cover page(s), which was determined by dividing the number of shares beneficially held by the Reporting Person by 48,594,796, the number of shares of common stock issued and outstanding as reported in the Issuer’s Form 10-Q filed with the Securities and Exchange Commission on November 16, 2012.</w:t>
      </w:r>
    </w:p>
    <w:p>
      <w:pPr>
        <w:spacing w:after="0" w:line="52" w:lineRule="exact"/>
        <w:rPr>
          <w:rFonts w:ascii="Arial" w:cs="Arial" w:eastAsia="Arial" w:hAnsi="Arial"/>
          <w:sz w:val="18"/>
          <w:szCs w:val="18"/>
          <w:color w:val="auto"/>
        </w:rPr>
      </w:pPr>
    </w:p>
    <w:p>
      <w:pPr>
        <w:ind w:left="1020" w:hanging="31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380" w:hanging="359"/>
        <w:spacing w:after="0"/>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17"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117" w:lineRule="exact"/>
        <w:rPr>
          <w:rFonts w:ascii="Arial" w:cs="Arial" w:eastAsia="Arial" w:hAnsi="Arial"/>
          <w:sz w:val="18"/>
          <w:szCs w:val="18"/>
          <w:color w:val="auto"/>
        </w:rPr>
      </w:pPr>
    </w:p>
    <w:p>
      <w:pPr>
        <w:ind w:left="1380" w:hanging="359"/>
        <w:spacing w:after="0"/>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17"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117" w:lineRule="exact"/>
        <w:rPr>
          <w:rFonts w:ascii="Arial" w:cs="Arial" w:eastAsia="Arial" w:hAnsi="Arial"/>
          <w:sz w:val="18"/>
          <w:szCs w:val="18"/>
          <w:color w:val="auto"/>
        </w:rPr>
      </w:pPr>
    </w:p>
    <w:p>
      <w:pPr>
        <w:ind w:left="1380" w:hanging="359"/>
        <w:spacing w:after="0"/>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17"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See the response(s) to Item 7 on the attached cover page(s).</w:t>
      </w:r>
    </w:p>
    <w:p>
      <w:pPr>
        <w:spacing w:after="0" w:line="117" w:lineRule="exact"/>
        <w:rPr>
          <w:rFonts w:ascii="Arial" w:cs="Arial" w:eastAsia="Arial" w:hAnsi="Arial"/>
          <w:sz w:val="18"/>
          <w:szCs w:val="18"/>
          <w:color w:val="auto"/>
        </w:rPr>
      </w:pPr>
    </w:p>
    <w:p>
      <w:pPr>
        <w:ind w:left="1380" w:hanging="359"/>
        <w:spacing w:after="0"/>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See the response(s) to Item 8 on the attached cover page(s).</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ind w:left="720" w:right="399" w:hanging="701"/>
        <w:spacing w:after="0" w:line="275"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123" w:lineRule="exact"/>
        <w:rPr>
          <w:sz w:val="20"/>
          <w:szCs w:val="20"/>
          <w:color w:val="auto"/>
        </w:rPr>
      </w:pPr>
    </w:p>
    <w:p>
      <w:pPr>
        <w:ind w:left="720" w:right="159"/>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274" w:right="1440" w:bottom="1440" w:gutter="0" w:footer="0" w:header="0"/>
        </w:sectPr>
      </w:pPr>
    </w:p>
    <w:bookmarkStart w:id="8" w:name="page9"/>
    <w:bookmarkEnd w:id="8"/>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14, 2013</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GLENHILL ADVISORS, LLC</w:t>
      </w:r>
    </w:p>
    <w:p>
      <w:pPr>
        <w:spacing w:after="0" w:line="219"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GLENN J. KREVLIN</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Glenn J. Krevlin</w:t>
      </w:r>
    </w:p>
    <w:p>
      <w:pPr>
        <w:spacing w:after="0" w:line="15"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Managing Member</w:t>
      </w:r>
    </w:p>
    <w:p>
      <w:pPr>
        <w:spacing w:after="0" w:line="213"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/s/ GLENN J. KREVLIN</w:t>
      </w:r>
    </w:p>
    <w:p>
      <w:pPr>
        <w:spacing w:after="0" w:line="23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Glenn J. Krevlin</w:t>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GLENHILL CAPITAL ADVISORS, LLC</w:t>
      </w:r>
    </w:p>
    <w:p>
      <w:pPr>
        <w:spacing w:after="0" w:line="231"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KREVLIN MANAGEMENT, INC.</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Managing Member</w:t>
      </w:r>
    </w:p>
    <w:p>
      <w:pPr>
        <w:spacing w:after="0" w:line="219"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GLENN J. KREVLIN</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Glenn J. Krevlin</w:t>
      </w:r>
    </w:p>
    <w:p>
      <w:pPr>
        <w:spacing w:after="0" w:line="15"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President</w:t>
      </w:r>
    </w:p>
    <w:p>
      <w:pPr>
        <w:spacing w:after="0" w:line="213"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GLENHILL CAPITAL MANAGEMENT, LLC</w:t>
      </w:r>
    </w:p>
    <w:p>
      <w:pPr>
        <w:spacing w:after="0" w:line="231"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GLENHILL ADVISORS, LLC</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Managing Member</w:t>
      </w:r>
    </w:p>
    <w:p>
      <w:pPr>
        <w:spacing w:after="0" w:line="219"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GLENN J. KREVLIN</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Glenn J. Krevlin</w:t>
      </w:r>
    </w:p>
    <w:p>
      <w:pPr>
        <w:spacing w:after="0" w:line="15"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Managing Member</w:t>
      </w:r>
    </w:p>
    <w:p>
      <w:pPr>
        <w:spacing w:after="0" w:line="213"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GLENHILL CAPITAL OVERSEAS MASTER FUND, LP</w:t>
      </w:r>
    </w:p>
    <w:p>
      <w:pPr>
        <w:sectPr>
          <w:pgSz w:w="11900" w:h="16838" w:orient="portrait"/>
          <w:cols w:equalWidth="0" w:num="1">
            <w:col w:w="10780"/>
          </w:cols>
          <w:pgMar w:left="240" w:top="274" w:right="879" w:bottom="1440" w:gutter="0" w:footer="0" w:header="0"/>
        </w:sectPr>
      </w:pPr>
    </w:p>
    <w:p>
      <w:pPr>
        <w:spacing w:after="0" w:line="231"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GLENHILL CAPITAL OVERSEAS GP, LTD.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ectPr>
          <w:pgSz w:w="11900" w:h="16838" w:orient="portrait"/>
          <w:cols w:equalWidth="0" w:num="2">
            <w:col w:w="6080" w:space="320"/>
            <w:col w:w="4380"/>
          </w:cols>
          <w:pgMar w:left="240" w:top="274" w:right="879" w:bottom="1440" w:gutter="0" w:footer="0" w:header="0"/>
          <w:type w:val="continuous"/>
        </w:sectPr>
      </w:pPr>
    </w:p>
    <w:p>
      <w:pPr>
        <w:spacing w:after="0" w:line="19"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ind w:right="1020"/>
        <w:spacing w:after="0" w:line="268" w:lineRule="auto"/>
        <w:rPr>
          <w:sz w:val="20"/>
          <w:szCs w:val="20"/>
          <w:color w:val="auto"/>
        </w:rPr>
      </w:pPr>
      <w:r>
        <w:rPr>
          <w:rFonts w:ascii="Arial" w:cs="Arial" w:eastAsia="Arial" w:hAnsi="Arial"/>
          <w:sz w:val="18"/>
          <w:szCs w:val="18"/>
          <w:color w:val="auto"/>
        </w:rPr>
        <w:t>GLENHILL CAPITAL MANAGEMENT, LLC Sole Shareholder</w:t>
      </w:r>
    </w:p>
    <w:p>
      <w:pPr>
        <w:sectPr>
          <w:pgSz w:w="11900" w:h="16838" w:orient="portrait"/>
          <w:cols w:equalWidth="0" w:num="2">
            <w:col w:w="6080" w:space="320"/>
            <w:col w:w="4380"/>
          </w:cols>
          <w:pgMar w:left="240" w:top="274" w:right="879" w:bottom="1440" w:gutter="0" w:footer="0" w:header="0"/>
          <w:type w:val="continuous"/>
        </w:sectPr>
      </w:pPr>
    </w:p>
    <w:bookmarkStart w:id="9" w:name="page10"/>
    <w:bookmarkEnd w:id="9"/>
    <w:p>
      <w:pPr>
        <w:ind w:left="4620"/>
        <w:spacing w:after="0"/>
        <w:tabs>
          <w:tab w:leader="none" w:pos="518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w:t>
      </w:r>
      <w:r>
        <w:rPr>
          <w:sz w:val="20"/>
          <w:szCs w:val="20"/>
          <w:color w:val="auto"/>
        </w:rPr>
        <w:tab/>
      </w:r>
      <w:r>
        <w:rPr>
          <w:rFonts w:ascii="Arial" w:cs="Arial" w:eastAsia="Arial" w:hAnsi="Arial"/>
          <w:sz w:val="16"/>
          <w:szCs w:val="16"/>
          <w:color w:val="auto"/>
        </w:rPr>
        <w:t>GLENHILL ADVISORS, LLC</w:t>
      </w:r>
    </w:p>
    <w:p>
      <w:pPr>
        <w:spacing w:after="0" w:line="3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Managing Member</w:t>
      </w:r>
    </w:p>
    <w:p>
      <w:pPr>
        <w:spacing w:after="0" w:line="219" w:lineRule="exact"/>
        <w:rPr>
          <w:sz w:val="20"/>
          <w:szCs w:val="20"/>
          <w:color w:val="auto"/>
        </w:rPr>
      </w:pPr>
    </w:p>
    <w:p>
      <w:pPr>
        <w:ind w:left="4620"/>
        <w:spacing w:after="0"/>
        <w:tabs>
          <w:tab w:leader="none" w:pos="5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GLENN J. KREVLIN</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Glenn J. Krevlin</w:t>
      </w:r>
    </w:p>
    <w:p>
      <w:pPr>
        <w:spacing w:after="0" w:line="15" w:lineRule="exact"/>
        <w:rPr>
          <w:sz w:val="20"/>
          <w:szCs w:val="20"/>
          <w:color w:val="auto"/>
        </w:rPr>
      </w:pPr>
    </w:p>
    <w:p>
      <w:pPr>
        <w:ind w:left="4620"/>
        <w:spacing w:after="0"/>
        <w:tabs>
          <w:tab w:leader="none" w:pos="5180" w:val="left"/>
        </w:tabs>
        <w:rPr>
          <w:sz w:val="20"/>
          <w:szCs w:val="20"/>
          <w:color w:val="auto"/>
        </w:rPr>
      </w:pPr>
      <w:r>
        <w:rPr>
          <w:rFonts w:ascii="Arial" w:cs="Arial" w:eastAsia="Arial" w:hAnsi="Arial"/>
          <w:sz w:val="18"/>
          <w:szCs w:val="18"/>
          <w:color w:val="auto"/>
        </w:rPr>
        <w:t>Title:</w:t>
        <w:tab/>
        <w:t>Managing Member</w:t>
      </w:r>
    </w:p>
    <w:sectPr>
      <w:pgSz w:w="11900" w:h="16838" w:orient="portrait"/>
      <w:cols w:equalWidth="0" w:num="1">
        <w:col w:w="9019"/>
      </w:cols>
      <w:pgMar w:left="14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2019-12-06T01:09:58Z</dcterms:created>
  <dcterms:modified xsi:type="dcterms:W3CDTF">2019-12-06T01:09:58Z</dcterms:modified>
</cp:coreProperties>
</file>