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158750</wp:posOffset>
            </wp:positionV>
            <wp:extent cx="548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177165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173990</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DESTINATION XL GROUP,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161290</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tbl>
      <w:tblPr>
        <w:tblLayout w:type="fixed"/>
        <w:tblInd w:w="720" w:type="dxa"/>
        <w:tblCellMar>
          <w:top w:w="0" w:type="dxa"/>
          <w:left w:w="0" w:type="dxa"/>
          <w:bottom w:w="0" w:type="dxa"/>
          <w:right w:w="0" w:type="dxa"/>
        </w:tblCellMar>
      </w:tblPr>
      <w:tr>
        <w:trPr>
          <w:trHeight w:val="258"/>
        </w:trPr>
        <w:tc>
          <w:tcPr>
            <w:tcW w:w="3220" w:type="dxa"/>
            <w:vAlign w:val="bottom"/>
          </w:tcPr>
          <w:p>
            <w:pPr>
              <w:jc w:val="center"/>
              <w:ind w:right="818"/>
              <w:spacing w:after="0"/>
              <w:rPr>
                <w:sz w:val="20"/>
                <w:szCs w:val="20"/>
                <w:color w:val="auto"/>
              </w:rPr>
            </w:pPr>
            <w:r>
              <w:rPr>
                <w:rFonts w:ascii="Arial" w:cs="Arial" w:eastAsia="Arial" w:hAnsi="Arial"/>
                <w:sz w:val="22"/>
                <w:szCs w:val="22"/>
                <w:b w:val="1"/>
                <w:bCs w:val="1"/>
                <w:color w:val="auto"/>
                <w:w w:val="91"/>
              </w:rPr>
              <w:t>Delaware</w:t>
            </w:r>
          </w:p>
        </w:tc>
        <w:tc>
          <w:tcPr>
            <w:tcW w:w="3680" w:type="dxa"/>
            <w:vAlign w:val="bottom"/>
          </w:tcPr>
          <w:p>
            <w:pPr>
              <w:jc w:val="right"/>
              <w:ind w:right="149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8"/>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5"/>
              </w:rPr>
              <w:t>(State or Other Jurisdiction</w:t>
            </w:r>
          </w:p>
        </w:tc>
        <w:tc>
          <w:tcPr>
            <w:tcW w:w="3680" w:type="dxa"/>
            <w:vAlign w:val="bottom"/>
          </w:tcPr>
          <w:p>
            <w:pPr>
              <w:spacing w:after="0"/>
              <w:rPr>
                <w:sz w:val="12"/>
                <w:szCs w:val="12"/>
                <w:color w:val="auto"/>
              </w:rPr>
            </w:pPr>
          </w:p>
        </w:tc>
        <w:tc>
          <w:tcPr>
            <w:tcW w:w="2280" w:type="dxa"/>
            <w:vAlign w:val="bottom"/>
          </w:tcPr>
          <w:p>
            <w:pPr>
              <w:jc w:val="center"/>
              <w:ind w:left="1116"/>
              <w:spacing w:after="0"/>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6"/>
              </w:rPr>
              <w:t>of Incorporation)</w:t>
            </w:r>
          </w:p>
        </w:tc>
        <w:tc>
          <w:tcPr>
            <w:tcW w:w="3680" w:type="dxa"/>
            <w:vAlign w:val="bottom"/>
          </w:tcPr>
          <w:p>
            <w:pPr>
              <w:jc w:val="center"/>
              <w:ind w:right="232"/>
              <w:spacing w:after="0"/>
              <w:rPr>
                <w:sz w:val="20"/>
                <w:szCs w:val="20"/>
                <w:color w:val="auto"/>
              </w:rPr>
            </w:pPr>
            <w:r>
              <w:rPr>
                <w:rFonts w:ascii="Arial" w:cs="Arial" w:eastAsia="Arial" w:hAnsi="Arial"/>
                <w:sz w:val="13"/>
                <w:szCs w:val="13"/>
                <w:b w:val="1"/>
                <w:bCs w:val="1"/>
                <w:color w:val="auto"/>
                <w:w w:val="94"/>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428"/>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68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18"/>
              <w:spacing w:after="0"/>
              <w:rPr>
                <w:sz w:val="20"/>
                <w:szCs w:val="20"/>
                <w:color w:val="auto"/>
              </w:rPr>
            </w:pPr>
            <w:r>
              <w:rPr>
                <w:rFonts w:ascii="Arial" w:cs="Arial" w:eastAsia="Arial" w:hAnsi="Arial"/>
                <w:sz w:val="18"/>
                <w:szCs w:val="18"/>
                <w:b w:val="1"/>
                <w:bCs w:val="1"/>
                <w:color w:val="auto"/>
                <w:w w:val="87"/>
              </w:rPr>
              <w:t>Canton, Massachusetts</w:t>
            </w:r>
          </w:p>
        </w:tc>
        <w:tc>
          <w:tcPr>
            <w:tcW w:w="368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8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7"/>
          <w:szCs w:val="17"/>
          <w:b w:val="1"/>
          <w:bCs w:val="1"/>
          <w:color w:val="auto"/>
        </w:rPr>
        <w:t>(781) 828-9300</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157480</wp:posOffset>
            </wp:positionV>
            <wp:extent cx="548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8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46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00"/>
        </w:trPr>
        <w:tc>
          <w:tcPr>
            <w:tcW w:w="4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$0.01 par value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DXLG</w:t>
            </w:r>
          </w:p>
        </w:tc>
        <w:tc>
          <w:tcPr>
            <w:tcW w:w="4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NASDAQ Stock Market LLC</w:t>
            </w:r>
          </w:p>
        </w:tc>
      </w:tr>
      <w:tr>
        <w:trPr>
          <w:trHeight w:val="64"/>
        </w:trPr>
        <w:tc>
          <w:tcPr>
            <w:tcW w:w="464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4720" w:type="dxa"/>
            <w:vAlign w:val="bottom"/>
            <w:tcBorders>
              <w:bottom w:val="single" w:sz="8" w:color="auto"/>
              <w:right w:val="single" w:sz="8" w:color="auto"/>
            </w:tcBorders>
          </w:tcPr>
          <w:p>
            <w:pPr>
              <w:spacing w:after="0"/>
              <w:rPr>
                <w:sz w:val="5"/>
                <w:szCs w:val="5"/>
                <w:color w:val="auto"/>
              </w:rPr>
            </w:pPr>
          </w:p>
        </w:tc>
      </w:tr>
    </w:tbl>
    <w:p>
      <w:pPr>
        <w:spacing w:after="0" w:line="9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8.01 Other Events.</w:t>
      </w:r>
    </w:p>
    <w:p>
      <w:pPr>
        <w:spacing w:after="0" w:line="212"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On November 2, 2020, Destination XL Group, Inc. (the “Company”) implemented an additional corporate restructuring (“Restructuring”) to realign the Company's SG&amp;A (selling, general and administrative) expenses with the potential continuation of reduced sales levels as a result of the continuing COVID-19 pandemic.</w:t>
      </w:r>
    </w:p>
    <w:p>
      <w:pPr>
        <w:spacing w:after="0" w:line="78" w:lineRule="exact"/>
        <w:rPr>
          <w:sz w:val="20"/>
          <w:szCs w:val="20"/>
          <w:color w:val="auto"/>
        </w:rPr>
      </w:pPr>
    </w:p>
    <w:p>
      <w:pPr>
        <w:ind w:right="200"/>
        <w:spacing w:after="0" w:line="257" w:lineRule="auto"/>
        <w:rPr>
          <w:sz w:val="20"/>
          <w:szCs w:val="20"/>
          <w:color w:val="auto"/>
        </w:rPr>
      </w:pPr>
      <w:r>
        <w:rPr>
          <w:rFonts w:ascii="Arial" w:cs="Arial" w:eastAsia="Arial" w:hAnsi="Arial"/>
          <w:sz w:val="21"/>
          <w:szCs w:val="21"/>
          <w:color w:val="auto"/>
        </w:rPr>
        <w:t>The Company expects to realize annualized savings of $9.7 million. The annualized savings include $3.8 million in corporate payroll costs and $5.9 million in terminated services agreements, eliminated professional services and reduced marketing costs. The Company expects the majority of these actions to be taken by the start of 2021.</w:t>
      </w:r>
    </w:p>
    <w:p>
      <w:pPr>
        <w:spacing w:after="0" w:line="61"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The Company eliminated 45 positions, which represents 13% of its corporate work force. Of these positions, 34 relate to employees whom were notified of their termination on November 2, 2020, 10 represent open positions that will not be filled, and there was an additional unrelated termination for which the position will be eliminated. The Company offered cash severance benefits to the eligible affected employees. Each affected employee’s eligibility for these severance benefits is contingent upon such employee’s execution (and non-revocation) of a separation agreement, which includes a general release of claims against the Company.</w:t>
      </w:r>
    </w:p>
    <w:p>
      <w:pPr>
        <w:spacing w:after="0" w:line="80" w:lineRule="exact"/>
        <w:rPr>
          <w:sz w:val="20"/>
          <w:szCs w:val="20"/>
          <w:color w:val="auto"/>
        </w:rPr>
      </w:pPr>
    </w:p>
    <w:p>
      <w:pPr>
        <w:ind w:right="20"/>
        <w:spacing w:after="0" w:line="326" w:lineRule="auto"/>
        <w:rPr>
          <w:sz w:val="20"/>
          <w:szCs w:val="20"/>
          <w:color w:val="auto"/>
        </w:rPr>
      </w:pPr>
      <w:r>
        <w:rPr>
          <w:rFonts w:ascii="Arial" w:cs="Arial" w:eastAsia="Arial" w:hAnsi="Arial"/>
          <w:sz w:val="19"/>
          <w:szCs w:val="19"/>
          <w:color w:val="auto"/>
        </w:rPr>
        <w:t>The Company expects to incur an aggregate cash charge in the fourth quarter of fiscal 2020 of approximately $0.5 million for employee severance and one-time termination benefits, as well as other employee-related costs associated with the Restructuring.</w:t>
      </w:r>
    </w:p>
    <w:p>
      <w:pPr>
        <w:ind w:right="20"/>
        <w:spacing w:after="0" w:line="282" w:lineRule="auto"/>
        <w:rPr>
          <w:sz w:val="20"/>
          <w:szCs w:val="20"/>
          <w:color w:val="auto"/>
        </w:rPr>
      </w:pPr>
      <w:r>
        <w:rPr>
          <w:rFonts w:ascii="Arial" w:cs="Arial" w:eastAsia="Arial" w:hAnsi="Arial"/>
          <w:sz w:val="19"/>
          <w:szCs w:val="19"/>
          <w:color w:val="auto"/>
        </w:rPr>
        <w:t>In addition to the above annualized savings of $3.8 million in corporate payroll, other expense-reduction actions taken by the Company during the first two quarters of fiscal 2020 are expected to save an additional $6.2 million in corporate payroll, on an annualized basis. Inclusive of the actions executed in the first two quarters of fiscal 2020, the Company has eliminated 101 positions from its corporate office or 29% of its corporate workforce in the current fiscal year. In addition, since March 2020, the Company’s field personnel has been reduced by 1,078 positions or 54% of the total field headcount.</w:t>
      </w:r>
    </w:p>
    <w:p>
      <w:pPr>
        <w:spacing w:after="0" w:line="39"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This Current Report on Form 8-K contains “forward-looking statements” regarding expectations about the Restructuring, including expected costs and cash expenditures and estimated annualized savings from the Restructuring and from expense reduction actions taken in the first two quarters of the fiscal year. Forward-looking statements generally can be identified by the use of forward-looking terminology such as “may,” “will,” “expect,” “anticipate,” “estimate,” “intend,” “believe,” “should,” “project,” or “plan,” or variations thereof or other similar terminology. These forward-looking statements are based on management’s current expectations and assumptions regarding the Company’s business, the economy and other future conditions. Because forward-looking statements relate to the future, they are subject to inherent uncertainties, risks and changes in circumstances that are difficult to predict. The Company’s actual results may differ materially from those contemplated by the forward-looking statements included in this report. Important factors that could cause actual results to differ materially from those in the forward-looking statements include the ability of the Company to successfully implement the Restructuring, and realize savings, changes in the estimates of other costs related to the Restructuring, risks relating to the COVID-19 pandemic and its impact on the Company’s results of operations and other factors described in the “Risk Factors” section of the Company’s Annual Report on Form 10-K filed with the SEC on March 19, 2020 and subsequent filings with the SEC.</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40"/>
        <w:spacing w:after="0"/>
        <w:tabs>
          <w:tab w:leader="none" w:pos="860" w:val="left"/>
          <w:tab w:leader="none" w:pos="5840" w:val="left"/>
          <w:tab w:leader="none" w:pos="80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November 2, 2020</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6985</wp:posOffset>
            </wp:positionV>
            <wp:extent cx="29229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jc w:val="center"/>
        <w:ind w:left="6560"/>
        <w:spacing w:after="0"/>
        <w:rPr>
          <w:sz w:val="20"/>
          <w:szCs w:val="20"/>
          <w:color w:val="auto"/>
        </w:rPr>
      </w:pPr>
      <w:r>
        <w:rPr>
          <w:rFonts w:ascii="Arial" w:cs="Arial" w:eastAsia="Arial" w:hAnsi="Arial"/>
          <w:sz w:val="14"/>
          <w:szCs w:val="14"/>
          <w:b w:val="1"/>
          <w:bCs w:val="1"/>
          <w:color w:val="auto"/>
        </w:rPr>
        <w:t>Robert S. Molloy</w:t>
      </w:r>
    </w:p>
    <w:p>
      <w:pPr>
        <w:jc w:val="center"/>
        <w:ind w:left="6560"/>
        <w:spacing w:after="0"/>
        <w:rPr>
          <w:sz w:val="20"/>
          <w:szCs w:val="20"/>
          <w:color w:val="auto"/>
        </w:rPr>
      </w:pPr>
      <w:r>
        <w:rPr>
          <w:rFonts w:ascii="Arial" w:cs="Arial" w:eastAsia="Arial" w:hAnsi="Arial"/>
          <w:sz w:val="14"/>
          <w:szCs w:val="14"/>
          <w:b w:val="1"/>
          <w:bCs w:val="1"/>
          <w:color w:val="auto"/>
        </w:rPr>
        <w:t>Chief Administrative Officer,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sectPr>
      <w:pgSz w:w="11900" w:h="16838" w:orient="portrait"/>
      <w:cols w:equalWidth="0" w:num="1">
        <w:col w:w="11160"/>
      </w:cols>
      <w:pgMar w:left="320" w:top="35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2020-11-02T15:37:57Z</dcterms:created>
  <dcterms:modified xsi:type="dcterms:W3CDTF">2020-11-02T15:37:57Z</dcterms:modified>
</cp:coreProperties>
</file>