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ch14d9_amendment_4_aug_.htm"/>
      <w:bookmarkStart w:id="1" w:name="kssch14d9_amendment_4_aug_"/>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2"/>
        </w:rPr>
        <w:t>UNITED STATES</w:t>
        <w:br/>
        <w:t>SECURITIES AND EXCHANGE COMMISSION</w:t>
      </w:r>
      <w:r>
        <w:rPr>
          <w:rFonts w:ascii="Times New Roman" w:hAnsi="Times New Roman"/>
          <w:b/>
          <w:color w:val="000000"/>
          <w:sz w:val="36"/>
        </w:rPr>
        <w:br/>
      </w:r>
      <w:r>
        <w:rPr>
          <w:rFonts w:ascii="Times New Roman" w:hAnsi="Times New Roman"/>
          <w:b/>
          <w:color w:val="000000"/>
          <w:sz w:val="22"/>
        </w:rPr>
        <w:t>WASHINGTON, D.C. 20549</w:t>
      </w:r>
    </w:p>
    <w:p>
      <w:pPr>
        <w:pStyle w:val="TextBody"/>
        <w:pBdr>
          <w:bottom w:val="single" w:sz="6" w:space="1" w:color="000000"/>
        </w:pBdr>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SCHEDULE 14D-9</w:t>
      </w:r>
    </w:p>
    <w:p>
      <w:pPr>
        <w:pStyle w:val="TextBody"/>
        <w:bidi w:val="0"/>
        <w:jc w:val="center"/>
        <w:rPr>
          <w:rFonts w:ascii="Times New Roman" w:hAnsi="Times New Roman"/>
          <w:b/>
          <w:color w:val="000000"/>
          <w:sz w:val="20"/>
        </w:rPr>
      </w:pPr>
      <w:r>
        <w:rPr>
          <w:rFonts w:ascii="Times New Roman" w:hAnsi="Times New Roman"/>
          <w:b/>
          <w:color w:val="000000"/>
          <w:sz w:val="20"/>
        </w:rPr>
        <w:t>(Rule 14d-101)</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SOLICITATION/RECOMMENDATION STATEMENT</w:t>
      </w:r>
    </w:p>
    <w:p>
      <w:pPr>
        <w:pStyle w:val="TextBody"/>
        <w:bidi w:val="0"/>
        <w:jc w:val="center"/>
        <w:rPr>
          <w:rFonts w:ascii="Times New Roman" w:hAnsi="Times New Roman"/>
          <w:b/>
          <w:color w:val="000000"/>
          <w:sz w:val="22"/>
        </w:rPr>
      </w:pPr>
      <w:r>
        <w:rPr>
          <w:rFonts w:ascii="Times New Roman" w:hAnsi="Times New Roman"/>
          <w:b/>
          <w:color w:val="000000"/>
          <w:sz w:val="22"/>
        </w:rPr>
        <w:t>UNDER SECTION 14(d)(4) OF THE SECURITIES EXCHANGE ACT OF 1934</w:t>
      </w:r>
    </w:p>
    <w:p>
      <w:pPr>
        <w:pStyle w:val="TextBody"/>
        <w:bidi w:val="0"/>
        <w:jc w:val="center"/>
        <w:rPr>
          <w:rFonts w:ascii="Times New Roman" w:hAnsi="Times New Roman"/>
          <w:b/>
          <w:color w:val="000000"/>
          <w:sz w:val="22"/>
        </w:rPr>
      </w:pPr>
      <w:r>
        <w:rPr>
          <w:rFonts w:ascii="Times New Roman" w:hAnsi="Times New Roman"/>
          <w:b/>
          <w:color w:val="000000"/>
          <w:sz w:val="22"/>
        </w:rPr>
        <w:t>(Amendment No. 4)</w:t>
      </w:r>
    </w:p>
    <w:p>
      <w:pPr>
        <w:pStyle w:val="TextBody"/>
        <w:pBdr>
          <w:bottom w:val="single" w:sz="6" w:space="1" w:color="000000"/>
        </w:pBdr>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40"/>
        </w:rPr>
      </w:pPr>
      <w:r>
        <w:rPr>
          <w:rFonts w:ascii="Times New Roman" w:hAnsi="Times New Roman"/>
          <w:b/>
          <w:color w:val="000000"/>
          <w:sz w:val="40"/>
        </w:rPr>
        <w:t>DESTINATION XL GROUP, INC.</w:t>
      </w:r>
    </w:p>
    <w:p>
      <w:pPr>
        <w:pStyle w:val="TextBody"/>
        <w:bidi w:val="0"/>
        <w:jc w:val="center"/>
        <w:rPr>
          <w:rFonts w:ascii="Times New Roman" w:hAnsi="Times New Roman"/>
          <w:b/>
          <w:color w:val="000000"/>
          <w:sz w:val="20"/>
        </w:rPr>
      </w:pPr>
      <w:r>
        <w:rPr>
          <w:rFonts w:ascii="Times New Roman" w:hAnsi="Times New Roman"/>
          <w:b/>
          <w:color w:val="000000"/>
          <w:sz w:val="20"/>
        </w:rPr>
        <w:t>(Name of Subject Company)</w:t>
      </w:r>
    </w:p>
    <w:p>
      <w:pPr>
        <w:pStyle w:val="TextBody"/>
        <w:pBdr>
          <w:bottom w:val="single" w:sz="6" w:space="1" w:color="000000"/>
        </w:pBdr>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40"/>
        </w:rPr>
      </w:pPr>
      <w:r>
        <w:rPr>
          <w:rFonts w:ascii="Times New Roman" w:hAnsi="Times New Roman"/>
          <w:b/>
          <w:color w:val="000000"/>
          <w:sz w:val="40"/>
        </w:rPr>
        <w:t>DESTINATION XL GROUP, INC.</w:t>
      </w:r>
    </w:p>
    <w:p>
      <w:pPr>
        <w:pStyle w:val="TextBody"/>
        <w:bidi w:val="0"/>
        <w:jc w:val="center"/>
        <w:rPr>
          <w:rFonts w:ascii="Times New Roman" w:hAnsi="Times New Roman"/>
          <w:b/>
          <w:color w:val="000000"/>
          <w:sz w:val="20"/>
        </w:rPr>
      </w:pPr>
      <w:r>
        <w:rPr>
          <w:rFonts w:ascii="Times New Roman" w:hAnsi="Times New Roman"/>
          <w:b/>
          <w:color w:val="000000"/>
          <w:sz w:val="20"/>
        </w:rPr>
        <w:t>(Name of Persons Filing Statement)</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COMMON STOCK, PAR VALUE $0.01 PER SHARE</w:t>
      </w:r>
    </w:p>
    <w:p>
      <w:pPr>
        <w:pStyle w:val="TextBody"/>
        <w:bidi w:val="0"/>
        <w:jc w:val="center"/>
        <w:rPr>
          <w:rFonts w:ascii="Times New Roman" w:hAnsi="Times New Roman"/>
          <w:b/>
          <w:color w:val="000000"/>
          <w:sz w:val="20"/>
        </w:rPr>
      </w:pPr>
      <w:r>
        <w:rPr>
          <w:rFonts w:ascii="Times New Roman" w:hAnsi="Times New Roman"/>
          <w:b/>
          <w:color w:val="000000"/>
          <w:sz w:val="20"/>
        </w:rPr>
        <w:t>(Title of Class of Securities)</w:t>
      </w:r>
    </w:p>
    <w:p>
      <w:pPr>
        <w:pStyle w:val="TextBody"/>
        <w:bidi w:val="0"/>
        <w:jc w:val="center"/>
        <w:rPr>
          <w:rFonts w:ascii="Times New Roman" w:hAnsi="Times New Roman"/>
          <w:b/>
          <w:color w:val="000000"/>
          <w:sz w:val="22"/>
        </w:rPr>
      </w:pPr>
      <w:r>
        <w:rPr>
          <w:rFonts w:ascii="Times New Roman" w:hAnsi="Times New Roman"/>
          <w:b/>
          <w:color w:val="000000"/>
          <w:sz w:val="22"/>
        </w:rPr>
        <w:t>25065K104</w:t>
      </w:r>
    </w:p>
    <w:p>
      <w:pPr>
        <w:pStyle w:val="TextBody"/>
        <w:bidi w:val="0"/>
        <w:jc w:val="center"/>
        <w:rPr>
          <w:rFonts w:ascii="Times New Roman" w:hAnsi="Times New Roman"/>
          <w:b/>
          <w:color w:val="000000"/>
          <w:sz w:val="20"/>
        </w:rPr>
      </w:pPr>
      <w:r>
        <w:rPr>
          <w:rFonts w:ascii="Times New Roman" w:hAnsi="Times New Roman"/>
          <w:b/>
          <w:color w:val="000000"/>
          <w:sz w:val="20"/>
        </w:rPr>
        <w:t>(CUSIP Number of Class of Securities)</w:t>
      </w:r>
    </w:p>
    <w:p>
      <w:pPr>
        <w:pStyle w:val="TextBody"/>
        <w:bidi w:val="0"/>
        <w:jc w:val="center"/>
        <w:rPr>
          <w:rFonts w:ascii="Times New Roman" w:hAnsi="Times New Roman"/>
          <w:b/>
          <w:color w:val="000000"/>
          <w:sz w:val="22"/>
        </w:rPr>
      </w:pPr>
      <w:r>
        <w:rPr>
          <w:rFonts w:ascii="Times New Roman" w:hAnsi="Times New Roman"/>
          <w:b/>
          <w:color w:val="000000"/>
          <w:sz w:val="22"/>
        </w:rPr>
        <w:t>Robert S. Molloy</w:t>
      </w:r>
    </w:p>
    <w:p>
      <w:pPr>
        <w:pStyle w:val="TextBody"/>
        <w:bidi w:val="0"/>
        <w:jc w:val="center"/>
        <w:rPr>
          <w:rFonts w:ascii="Times New Roman" w:hAnsi="Times New Roman"/>
          <w:b/>
          <w:color w:val="000000"/>
          <w:sz w:val="22"/>
        </w:rPr>
      </w:pPr>
      <w:r>
        <w:rPr>
          <w:rFonts w:ascii="Times New Roman" w:hAnsi="Times New Roman"/>
          <w:b/>
          <w:color w:val="000000"/>
          <w:sz w:val="22"/>
        </w:rPr>
        <w:t>General Counsel and Secretary</w:t>
        <w:br/>
        <w:t>Destination XL Group, Inc.</w:t>
        <w:br/>
        <w:t>555 Turnpike Street</w:t>
        <w:br/>
        <w:t>Canton, Massachusetts 02021</w:t>
        <w:br/>
        <w:t>(781) 828-9300</w:t>
      </w:r>
    </w:p>
    <w:p>
      <w:pPr>
        <w:pStyle w:val="TextBody"/>
        <w:bidi w:val="0"/>
        <w:jc w:val="center"/>
        <w:rPr>
          <w:rFonts w:ascii="Times New Roman" w:hAnsi="Times New Roman"/>
          <w:b/>
          <w:color w:val="000000"/>
          <w:sz w:val="20"/>
        </w:rPr>
      </w:pPr>
      <w:r>
        <w:rPr>
          <w:rFonts w:ascii="Times New Roman" w:hAnsi="Times New Roman"/>
          <w:b/>
          <w:color w:val="000000"/>
          <w:sz w:val="20"/>
        </w:rPr>
        <w:t>(Name, address and telephone numbers of person authorized to receive notices and communications</w:t>
      </w:r>
    </w:p>
    <w:p>
      <w:pPr>
        <w:pStyle w:val="TextBody"/>
        <w:bidi w:val="0"/>
        <w:jc w:val="center"/>
        <w:rPr>
          <w:rFonts w:ascii="Times New Roman" w:hAnsi="Times New Roman"/>
          <w:b/>
          <w:color w:val="000000"/>
          <w:sz w:val="20"/>
        </w:rPr>
      </w:pPr>
      <w:r>
        <w:rPr>
          <w:rFonts w:ascii="Times New Roman" w:hAnsi="Times New Roman"/>
          <w:b/>
          <w:color w:val="000000"/>
          <w:sz w:val="20"/>
        </w:rPr>
        <w:t>on behalf of the persons filing statement)</w:t>
      </w:r>
    </w:p>
    <w:p>
      <w:pPr>
        <w:pStyle w:val="TextBody"/>
        <w:bidi w:val="0"/>
        <w:jc w:val="center"/>
        <w:rPr>
          <w:rFonts w:ascii="Times New Roman" w:hAnsi="Times New Roman"/>
          <w:b/>
          <w:i/>
          <w:color w:val="000000"/>
          <w:sz w:val="22"/>
        </w:rPr>
      </w:pPr>
      <w:r>
        <w:rPr>
          <w:rFonts w:ascii="Times New Roman" w:hAnsi="Times New Roman"/>
          <w:b/>
          <w:i/>
          <w:color w:val="000000"/>
          <w:sz w:val="22"/>
        </w:rPr>
        <w:t>With copies to:</w:t>
      </w:r>
    </w:p>
    <w:p>
      <w:pPr>
        <w:pStyle w:val="TextBody"/>
        <w:bidi w:val="0"/>
        <w:jc w:val="center"/>
        <w:rPr>
          <w:rFonts w:ascii="Times New Roman" w:hAnsi="Times New Roman"/>
          <w:b/>
          <w:color w:val="000000"/>
          <w:sz w:val="22"/>
        </w:rPr>
      </w:pPr>
      <w:r>
        <w:rPr>
          <w:rFonts w:ascii="Times New Roman" w:hAnsi="Times New Roman"/>
          <w:b/>
          <w:color w:val="000000"/>
          <w:sz w:val="22"/>
        </w:rPr>
        <w:t>Brian H. Blaney</w:t>
      </w:r>
    </w:p>
    <w:p>
      <w:pPr>
        <w:pStyle w:val="TextBody"/>
        <w:bidi w:val="0"/>
        <w:jc w:val="center"/>
        <w:rPr>
          <w:rFonts w:ascii="Times New Roman" w:hAnsi="Times New Roman"/>
          <w:b/>
          <w:color w:val="000000"/>
          <w:sz w:val="22"/>
        </w:rPr>
      </w:pPr>
      <w:r>
        <w:rPr>
          <w:rFonts w:ascii="Times New Roman" w:hAnsi="Times New Roman"/>
          <w:b/>
          <w:color w:val="000000"/>
          <w:sz w:val="22"/>
        </w:rPr>
        <w:t>Katherine A. Beck</w:t>
        <w:br/>
        <w:t>Greenberg Traurig, LLP</w:t>
      </w:r>
    </w:p>
    <w:p>
      <w:pPr>
        <w:pStyle w:val="TextBody"/>
        <w:bidi w:val="0"/>
        <w:jc w:val="center"/>
        <w:rPr>
          <w:rFonts w:ascii="Times New Roman" w:hAnsi="Times New Roman"/>
          <w:b/>
          <w:color w:val="000000"/>
          <w:sz w:val="22"/>
        </w:rPr>
      </w:pPr>
      <w:r>
        <w:rPr>
          <w:rFonts w:ascii="Times New Roman" w:hAnsi="Times New Roman"/>
          <w:b/>
          <w:color w:val="000000"/>
          <w:sz w:val="22"/>
        </w:rPr>
        <w:t>2375 E. Camelback Rd., Suite 800</w:t>
      </w:r>
    </w:p>
    <w:p>
      <w:pPr>
        <w:pStyle w:val="TextBody"/>
        <w:bidi w:val="0"/>
        <w:jc w:val="center"/>
        <w:rPr>
          <w:rFonts w:ascii="Times New Roman" w:hAnsi="Times New Roman"/>
          <w:b/>
          <w:color w:val="000000"/>
          <w:sz w:val="22"/>
        </w:rPr>
      </w:pPr>
      <w:r>
        <w:rPr>
          <w:rFonts w:ascii="Times New Roman" w:hAnsi="Times New Roman"/>
          <w:b/>
          <w:color w:val="000000"/>
          <w:sz w:val="22"/>
        </w:rPr>
        <w:t>Phoenix, AZ 85016</w:t>
        <w:br/>
        <w:t>(602) 445-8322</w:t>
      </w:r>
    </w:p>
    <w:p>
      <w:pPr>
        <w:pStyle w:val="TextBody"/>
        <w:bidi w:val="0"/>
        <w:jc w:val="center"/>
        <w:rPr/>
      </w:pPr>
      <w:r>
        <w:rPr/>
        <w:t> </w:t>
      </w:r>
    </w:p>
    <w:p>
      <w:pPr>
        <w:pStyle w:val="TextBody"/>
        <w:bidi w:val="0"/>
        <w:jc w:val="center"/>
        <w:rPr/>
      </w:pPr>
      <w:r>
        <w:rPr/>
        <w:t> </w:t>
      </w:r>
    </w:p>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120" w:after="283"/>
        <w:ind w:left="489" w:right="0" w:hanging="490"/>
        <w:jc w:val="left"/>
        <w:rPr/>
      </w:pPr>
      <w:r>
        <w:rPr/>
        <w:t>☐</w:t>
      </w:r>
      <w:r>
        <w:rPr>
          <w:color w:val="000000"/>
        </w:rPr>
        <w:t xml:space="preserve"> </w:t>
      </w:r>
      <w:r>
        <w:rPr>
          <w:rFonts w:ascii="Times New Roman" w:hAnsi="Times New Roman"/>
          <w:color w:val="000000"/>
          <w:sz w:val="20"/>
        </w:rPr>
        <w:t>Check the box if the filing relates solely to preliminary communications made before the commencement of a tender offer.</w:t>
      </w:r>
    </w:p>
    <w:p>
      <w:pPr>
        <w:pStyle w:val="TextBody"/>
        <w:bidi w:val="0"/>
        <w:spacing w:before="12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Introduction</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This Amendment No. 4 to Schedule 14D-9 (this “Amendment”) amends and supplements the Solicitation/Recommendation Statement on Schedule 14D-9 (as amended and supplemented from time to time, the “Statement”) originally filed by Destination XL Group, Inc., a Delaware corporation (“Company”), with the Securities and Exchange Commission on May 26, 2026. The Statement relates to the unsolicited tender offer by Zodiac Partners II, LLC, a Delaware limited liability company (“Offeror”), and an acquisition entity of Camac Fund, LP, a Delaware limited partnership (“Camac Fund”), to purchase all of the issued and outstanding shares of the Company’s common stock, par value $0.01 per share (the “Common Stock”), at a price of $0.84 per share in cash, without interest and less any required withholding taxes (the “Offer Price”), upon the terms and subject to the conditions set forth in the Offer to Purchase, dated May 12, 2026 (as amended or supplemented from time to time, the “Offer to Purchase”), and in the related Letter of Transmittal that accompanies the Offer to Purchase (which, together with any amendments or supplements thereto, collectively constitute the “Offer”). Except as otherwise set forth in this Amendment, the information set forth in the Statement remains unchanged.</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Item 9. Exhibits.</w:t>
      </w:r>
    </w:p>
    <w:p>
      <w:pPr>
        <w:pStyle w:val="TextBody"/>
        <w:bidi w:val="0"/>
        <w:jc w:val="left"/>
        <w:rPr>
          <w:rFonts w:ascii="Times New Roman" w:hAnsi="Times New Roman"/>
          <w:color w:val="000000"/>
          <w:sz w:val="22"/>
        </w:rPr>
      </w:pPr>
      <w:r>
        <w:rPr>
          <w:rFonts w:ascii="Times New Roman" w:hAnsi="Times New Roman"/>
          <w:color w:val="000000"/>
          <w:sz w:val="22"/>
        </w:rPr>
        <w:t>Item 9 of the Statement is hereby amended and supplemented by adding the following exhibit: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93"/>
        <w:gridCol w:w="146"/>
        <w:gridCol w:w="146"/>
        <w:gridCol w:w="8920"/>
      </w:tblGrid>
      <w:tr>
        <w:trPr/>
        <w:tc>
          <w:tcPr>
            <w:tcW w:w="9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20" w:type="dxa"/>
            <w:tcBorders/>
            <w:vAlign w:val="center"/>
          </w:tcPr>
          <w:p>
            <w:pPr>
              <w:pStyle w:val="TableContents"/>
              <w:bidi w:val="0"/>
              <w:spacing w:before="0" w:after="283"/>
              <w:jc w:val="left"/>
              <w:rPr>
                <w:sz w:val="4"/>
                <w:szCs w:val="4"/>
              </w:rPr>
            </w:pPr>
            <w:r>
              <w:rPr>
                <w:sz w:val="4"/>
                <w:szCs w:val="4"/>
              </w:rPr>
            </w:r>
          </w:p>
        </w:tc>
      </w:tr>
      <w:tr>
        <w:trPr/>
        <w:tc>
          <w:tcPr>
            <w:tcW w:w="9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b/>
                <w:color w:val="000000"/>
                <w:sz w:val="22"/>
                <w:u w:val="single"/>
              </w:rPr>
              <w:t>Exhibit No</w:t>
            </w:r>
            <w:r>
              <w:rPr>
                <w:rFonts w:ascii="Times New Roman" w:hAnsi="Times New Roman"/>
                <w:b/>
                <w:color w:val="000000"/>
                <w:sz w:val="22"/>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0"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2"/>
                <w:u w:val="single"/>
              </w:rPr>
            </w:pPr>
            <w:r>
              <w:rPr>
                <w:rFonts w:ascii="Times New Roman" w:hAnsi="Times New Roman"/>
                <w:b/>
                <w:color w:val="000000"/>
                <w:sz w:val="22"/>
                <w:u w:val="single"/>
              </w:rPr>
              <w:t>Description</w:t>
            </w:r>
          </w:p>
          <w:p>
            <w:pPr>
              <w:pStyle w:val="TableContents"/>
              <w:bidi w:val="0"/>
              <w:spacing w:before="0" w:after="283"/>
              <w:jc w:val="left"/>
              <w:rPr/>
            </w:pPr>
            <w:r>
              <w:rPr/>
              <w:t> </w:t>
            </w:r>
          </w:p>
        </w:tc>
      </w:tr>
      <w:tr>
        <w:trPr/>
        <w:tc>
          <w:tcPr>
            <w:tcW w:w="9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(a)(5)(E)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20" w:type="dxa"/>
            <w:tcBorders/>
            <w:tcMar>
              <w:top w:w="0" w:type="dxa"/>
              <w:left w:w="0" w:type="dxa"/>
              <w:bottom w:w="0" w:type="dxa"/>
              <w:right w:w="0" w:type="dxa"/>
            </w:tcMar>
            <w:vAlign w:val="center"/>
          </w:tcPr>
          <w:p>
            <w:pPr>
              <w:pStyle w:val="TableContents"/>
              <w:bidi w:val="0"/>
              <w:spacing w:before="0" w:after="283"/>
              <w:jc w:val="both"/>
              <w:rPr/>
            </w:pPr>
            <w:hyperlink r:id="rId2">
              <w:r>
                <w:rPr>
                  <w:rStyle w:val="InternetLink"/>
                  <w:rFonts w:ascii="Times New Roman" w:hAnsi="Times New Roman"/>
                  <w:color w:val="0000FF"/>
                  <w:sz w:val="22"/>
                  <w:u w:val="single"/>
                </w:rPr>
                <w:t>Press Release Issued by Destination XL Group, Inc. on August 6, 2026 (included as Exhibit 99.1 to the Company’s Current Report on Form 8-K filed on August 6, 2026, and incorporated herein by reference).</w:t>
              </w:r>
            </w:hyperlink>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2"/>
        </w:rPr>
      </w:pPr>
      <w:r>
        <w:rPr>
          <w:rFonts w:ascii="Times New Roman" w:hAnsi="Times New Roman"/>
          <w:b/>
          <w:color w:val="000000"/>
          <w:sz w:val="22"/>
        </w:rPr>
        <w:t>SIGNATURES</w:t>
      </w:r>
    </w:p>
    <w:p>
      <w:pPr>
        <w:pStyle w:val="TextBody"/>
        <w:bidi w:val="0"/>
        <w:spacing w:before="0" w:after="187"/>
        <w:jc w:val="left"/>
        <w:rPr>
          <w:rFonts w:ascii="Times New Roman" w:hAnsi="Times New Roman"/>
          <w:color w:val="000000"/>
          <w:sz w:val="22"/>
        </w:rPr>
      </w:pPr>
      <w:r>
        <w:rPr>
          <w:rFonts w:ascii="Times New Roman" w:hAnsi="Times New Roman"/>
          <w:color w:val="000000"/>
          <w:sz w:val="22"/>
        </w:rPr>
        <w:t>After due inquiry and to the best of my knowledge and belief, I certify that the information set forth in this statement is true, complete and correct.</w:t>
      </w:r>
    </w:p>
    <w:tbl>
      <w:tblPr>
        <w:tblW w:w="5719" w:type="dxa"/>
        <w:jc w:val="left"/>
        <w:tblInd w:w="0" w:type="dxa"/>
        <w:tblLayout w:type="fixed"/>
        <w:tblCellMar>
          <w:top w:w="28" w:type="dxa"/>
          <w:left w:w="28" w:type="dxa"/>
          <w:bottom w:w="28" w:type="dxa"/>
          <w:right w:w="28" w:type="dxa"/>
        </w:tblCellMar>
      </w:tblPr>
      <w:tblGrid>
        <w:gridCol w:w="616"/>
        <w:gridCol w:w="1561"/>
        <w:gridCol w:w="496"/>
        <w:gridCol w:w="3046"/>
      </w:tblGrid>
      <w:tr>
        <w:trPr/>
        <w:tc>
          <w:tcPr>
            <w:tcW w:w="61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304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2"/>
              </w:rPr>
            </w:pPr>
            <w:r>
              <w:rPr>
                <w:rFonts w:ascii="Times New Roman" w:hAnsi="Times New Roman"/>
                <w:b/>
                <w:color w:val="000000"/>
                <w:sz w:val="22"/>
              </w:rPr>
              <w:t>Destination XL Group, Inc.</w:t>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30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2"/>
              </w:rPr>
            </w:pPr>
            <w:r>
              <w:rPr>
                <w:rFonts w:ascii="Times New Roman" w:hAnsi="Times New Roman"/>
                <w:color w:val="000000"/>
                <w:sz w:val="22"/>
              </w:rPr>
              <w:t>Date:</w:t>
            </w:r>
          </w:p>
        </w:tc>
        <w:tc>
          <w:tcPr>
            <w:tcW w:w="156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2"/>
              </w:rPr>
            </w:pPr>
            <w:r>
              <w:rPr>
                <w:rFonts w:ascii="Times New Roman" w:hAnsi="Times New Roman"/>
                <w:color w:val="000000"/>
                <w:sz w:val="22"/>
              </w:rPr>
              <w:t>August 6, 2026</w:t>
            </w:r>
          </w:p>
        </w:tc>
        <w:tc>
          <w:tcPr>
            <w:tcW w:w="49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2"/>
              </w:rPr>
            </w:pPr>
            <w:r>
              <w:rPr>
                <w:rFonts w:ascii="Times New Roman" w:hAnsi="Times New Roman"/>
                <w:color w:val="000000"/>
                <w:sz w:val="22"/>
              </w:rPr>
              <w:t xml:space="preserve">By: </w:t>
            </w:r>
          </w:p>
        </w:tc>
        <w:tc>
          <w:tcPr>
            <w:tcW w:w="304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i/>
                <w:color w:val="000000"/>
                <w:sz w:val="22"/>
              </w:rPr>
            </w:pPr>
            <w:r>
              <w:rPr>
                <w:rFonts w:ascii="Times New Roman" w:hAnsi="Times New Roman"/>
                <w:i/>
                <w:color w:val="000000"/>
                <w:sz w:val="22"/>
              </w:rPr>
              <w:t>/s/ Robert S. Molloy</w:t>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3046" w:type="dxa"/>
            <w:tcBorders/>
            <w:tcMar>
              <w:top w:w="0" w:type="dxa"/>
              <w:left w:w="0" w:type="dxa"/>
              <w:bottom w:w="0" w:type="dxa"/>
              <w:right w:w="0" w:type="dxa"/>
            </w:tcMar>
            <w:vAlign w:val="center"/>
          </w:tcPr>
          <w:p>
            <w:pPr>
              <w:pStyle w:val="TableContents"/>
              <w:bidi w:val="0"/>
              <w:spacing w:before="14" w:after="283"/>
              <w:jc w:val="left"/>
              <w:rPr>
                <w:rFonts w:ascii="Times New Roman" w:hAnsi="Times New Roman"/>
                <w:color w:val="000000"/>
                <w:sz w:val="22"/>
              </w:rPr>
            </w:pPr>
            <w:r>
              <w:rPr>
                <w:rFonts w:ascii="Times New Roman" w:hAnsi="Times New Roman"/>
                <w:color w:val="000000"/>
                <w:sz w:val="22"/>
              </w:rPr>
              <w:t>Robert S. Molloy</w:t>
            </w:r>
          </w:p>
          <w:p>
            <w:pPr>
              <w:pStyle w:val="TableContents"/>
              <w:bidi w:val="0"/>
              <w:spacing w:before="14" w:after="283"/>
              <w:jc w:val="left"/>
              <w:rPr>
                <w:rFonts w:ascii="Times New Roman" w:hAnsi="Times New Roman"/>
                <w:color w:val="000000"/>
                <w:sz w:val="22"/>
              </w:rPr>
            </w:pPr>
            <w:r>
              <w:rPr>
                <w:rFonts w:ascii="Times New Roman" w:hAnsi="Times New Roman"/>
                <w:color w:val="000000"/>
                <w:sz w:val="22"/>
              </w:rPr>
              <w:t>General Counsel and Secretary</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13298/000119312526338457/dxlg-ex99_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448</Words>
  <Characters>2474</Characters>
  <CharactersWithSpaces>2923</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