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41" w:lineRule="exact"/>
        <w:rPr>
          <w:sz w:val="24"/>
          <w:szCs w:val="24"/>
          <w:color w:val="auto"/>
        </w:rPr>
      </w:pPr>
    </w:p>
    <w:p>
      <w:pPr>
        <w:sectPr>
          <w:pgSz w:w="11900" w:h="16879"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gridSpan w:val="19"/>
          </w:tcPr>
          <w:p>
            <w:pPr>
              <w:ind w:left="60"/>
              <w:spacing w:after="0" w:line="175" w:lineRule="exact"/>
              <w:rPr>
                <w:rFonts w:ascii="Arial" w:cs="Arial" w:eastAsia="Arial" w:hAnsi="Arial"/>
                <w:sz w:val="17"/>
                <w:szCs w:val="17"/>
                <w:color w:val="0000EE"/>
              </w:rPr>
            </w:pPr>
            <w:hyperlink r:id="rId13">
              <w:r>
                <w:rPr>
                  <w:rFonts w:ascii="Arial" w:cs="Arial" w:eastAsia="Arial" w:hAnsi="Arial"/>
                  <w:sz w:val="17"/>
                  <w:szCs w:val="17"/>
                  <w:color w:val="0000EE"/>
                </w:rPr>
                <w:t xml:space="preserve">DESTINATION XL GROUP, INC.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DXLG</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4"/>
                <w:szCs w:val="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11"/>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11"/>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C/O RED MOUNTAIN CAPITAL</w:t>
            </w:r>
          </w:p>
        </w:tc>
        <w:tc>
          <w:tcPr>
            <w:tcW w:w="1140" w:type="dxa"/>
            <w:vAlign w:val="bottom"/>
          </w:tcPr>
          <w:p>
            <w:pPr>
              <w:spacing w:after="0"/>
              <w:rPr>
                <w:sz w:val="18"/>
                <w:szCs w:val="18"/>
                <w:color w:val="auto"/>
              </w:rPr>
            </w:pPr>
          </w:p>
        </w:tc>
        <w:tc>
          <w:tcPr>
            <w:tcW w:w="1360" w:type="dxa"/>
            <w:vAlign w:val="bottom"/>
            <w:gridSpan w:val="8"/>
          </w:tcPr>
          <w:p>
            <w:pPr>
              <w:ind w:left="260"/>
              <w:spacing w:after="0"/>
              <w:rPr>
                <w:sz w:val="20"/>
                <w:szCs w:val="20"/>
                <w:color w:val="auto"/>
              </w:rPr>
            </w:pPr>
            <w:r>
              <w:rPr>
                <w:rFonts w:ascii="Arial" w:cs="Arial" w:eastAsia="Arial" w:hAnsi="Arial"/>
                <w:sz w:val="17"/>
                <w:szCs w:val="17"/>
                <w:color w:val="0000FF"/>
              </w:rPr>
              <w:t>02/03/2020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MANAGEMENT, INC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6"/>
          </w:tcPr>
          <w:p>
            <w:pPr>
              <w:spacing w:after="0"/>
              <w:rPr>
                <w:sz w:val="20"/>
                <w:szCs w:val="20"/>
                <w:color w:val="auto"/>
              </w:rPr>
            </w:pPr>
            <w:r>
              <w:rPr>
                <w:rFonts w:ascii="Arial" w:cs="Arial" w:eastAsia="Arial" w:hAnsi="Arial"/>
                <w:sz w:val="17"/>
                <w:szCs w:val="17"/>
                <w:color w:val="0000FF"/>
              </w:rPr>
              <w:t>10100 SANTA MONICA BOULEVARD, SUITE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925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1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7"/>
                <w:szCs w:val="17"/>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2"/>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8"/>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8"/>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8,426,577</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2"/>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7"/>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1.08</w:t>
            </w:r>
          </w:p>
        </w:tc>
        <w:tc>
          <w:tcPr>
            <w:tcW w:w="120" w:type="dxa"/>
            <w:vAlign w:val="bottom"/>
          </w:tcPr>
          <w:p>
            <w:pPr>
              <w:spacing w:after="0"/>
              <w:rPr>
                <w:sz w:val="16"/>
                <w:szCs w:val="16"/>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3"/>
                <w:szCs w:val="13"/>
                <w:color w:val="0000FF"/>
              </w:rPr>
              <w:t>02/03/2020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6"/>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28,934</w:t>
            </w: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28,934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1.08</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28,934</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6"/>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ind w:left="10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6"/>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gridSpan w:val="4"/>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6"/>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3"/>
          </w:tcPr>
          <w:p>
            <w:pPr>
              <w:spacing w:after="0"/>
              <w:rPr>
                <w:sz w:val="20"/>
                <w:szCs w:val="20"/>
                <w:color w:val="auto"/>
              </w:rPr>
            </w:pPr>
            <w:r>
              <w:rPr>
                <w:rFonts w:ascii="Arial" w:cs="Arial" w:eastAsia="Arial" w:hAnsi="Arial"/>
                <w:sz w:val="17"/>
                <w:szCs w:val="17"/>
                <w:color w:val="0000FF"/>
              </w:rPr>
              <w:t>C/O RED MOUNTAIN CAPITAL MANAGEMENT, INC</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3"/>
          </w:tcPr>
          <w:p>
            <w:pPr>
              <w:spacing w:after="0"/>
              <w:rPr>
                <w:sz w:val="20"/>
                <w:szCs w:val="20"/>
                <w:color w:val="auto"/>
              </w:rPr>
            </w:pPr>
            <w:r>
              <w:rPr>
                <w:rFonts w:ascii="Arial" w:cs="Arial" w:eastAsia="Arial" w:hAnsi="Arial"/>
                <w:sz w:val="17"/>
                <w:szCs w:val="17"/>
                <w:color w:val="0000FF"/>
              </w:rPr>
              <w:t>10100 SANTA MONICA BOULEVARD, SUITE 925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60" w:type="dxa"/>
            <w:vAlign w:val="bottom"/>
            <w:gridSpan w:val="13"/>
          </w:tcPr>
          <w:p>
            <w:pPr>
              <w:spacing w:after="0" w:line="223" w:lineRule="exact"/>
              <w:rPr>
                <w:rFonts w:ascii="Arial" w:cs="Arial" w:eastAsia="Arial" w:hAnsi="Arial"/>
                <w:sz w:val="21"/>
                <w:szCs w:val="21"/>
                <w:color w:val="0000EE"/>
              </w:rPr>
            </w:pPr>
            <w:hyperlink r:id="rId14">
              <w:r>
                <w:rPr>
                  <w:rFonts w:ascii="Arial" w:cs="Arial" w:eastAsia="Arial" w:hAnsi="Arial"/>
                  <w:sz w:val="21"/>
                  <w:szCs w:val="21"/>
                  <w:color w:val="0000EE"/>
                </w:rPr>
                <w:t>RED MOUNTAIN CAPITAL PARTNERS LLC</w:t>
              </w:r>
            </w:hyperlink>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7"/>
                <w:szCs w:val="17"/>
                <w:color w:val="0000FF"/>
              </w:rPr>
              <w:t>10100 SANTA MONICA BOULEVARD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-5570855</wp:posOffset>
            </wp:positionV>
            <wp:extent cx="24765" cy="203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03771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1520"/>
          </w:cols>
          <w:pgMar w:left="240" w:top="225" w:right="13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MANAGEMENT</w:t>
        </w:r>
      </w:hyperlink>
    </w:p>
    <w:p>
      <w:pPr>
        <w:sectPr>
          <w:pgSz w:w="11900" w:h="16879" w:orient="portrait"/>
          <w:cols w:equalWidth="0" w:num="1">
            <w:col w:w="11520"/>
          </w:cols>
          <w:pgMar w:left="240" w:top="225" w:right="13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924175" cy="5230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523049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81"/>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tcPr>
          <w:p>
            <w:pPr>
              <w:ind w:left="6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1"/>
        </w:trPr>
        <w:tc>
          <w:tcPr>
            <w:tcW w:w="30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3" w:lineRule="exact"/>
              <w:rPr>
                <w:rFonts w:ascii="Arial" w:cs="Arial" w:eastAsia="Arial" w:hAnsi="Arial"/>
                <w:sz w:val="21"/>
                <w:szCs w:val="21"/>
                <w:color w:val="0000EE"/>
                <w:w w:val="96"/>
              </w:rPr>
            </w:pPr>
            <w:hyperlink r:id="rId18">
              <w:r>
                <w:rPr>
                  <w:rFonts w:ascii="Arial" w:cs="Arial" w:eastAsia="Arial" w:hAnsi="Arial"/>
                  <w:sz w:val="21"/>
                  <w:szCs w:val="21"/>
                  <w:color w:val="0000EE"/>
                  <w:w w:val="96"/>
                </w:rPr>
                <w:t>RMCP GP LLC</w:t>
              </w:r>
            </w:hyperlink>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6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81"/>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tcPr>
          <w:p>
            <w:pPr>
              <w:ind w:left="6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6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8"/>
        <w:spacing w:after="0" w:line="266"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904,223 shares are held directly by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7" w:lineRule="exact"/>
        <w:rPr>
          <w:rFonts w:ascii="Arial" w:cs="Arial" w:eastAsia="Arial" w:hAnsi="Arial"/>
          <w:sz w:val="12"/>
          <w:szCs w:val="12"/>
          <w:color w:val="008000"/>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1" w:lineRule="exact"/>
        <w:rPr>
          <w:rFonts w:ascii="Arial" w:cs="Arial" w:eastAsia="Arial" w:hAnsi="Arial"/>
          <w:sz w:val="13"/>
          <w:szCs w:val="13"/>
          <w:color w:val="008000"/>
        </w:rPr>
      </w:pPr>
    </w:p>
    <w:p>
      <w:pPr>
        <w:ind w:left="20" w:right="60" w:firstLine="8"/>
        <w:spacing w:after="0" w:line="272"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Fourth Amended and Restated Non-Employee Director Compensation Plan.</w:t>
      </w:r>
    </w:p>
    <w:p>
      <w:pPr>
        <w:spacing w:after="0" w:line="10" w:lineRule="exact"/>
        <w:rPr>
          <w:rFonts w:ascii="Arial" w:cs="Arial" w:eastAsia="Arial" w:hAnsi="Arial"/>
          <w:sz w:val="13"/>
          <w:szCs w:val="13"/>
          <w:color w:val="008000"/>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Fourth Amended and Restated Non-Employee Director Compensation Plan.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-7620</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02/05/2020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-11430</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-11430</wp:posOffset>
            </wp:positionV>
            <wp:extent cx="852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5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56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588" TargetMode="External"/><Relationship Id="rId16" Type="http://schemas.openxmlformats.org/officeDocument/2006/relationships/hyperlink" Target="http://www.sec.gov/cgi-bin/browse-edgar?action=getcompany&amp;CIK=0001374607" TargetMode="External"/><Relationship Id="rId18" Type="http://schemas.openxmlformats.org/officeDocument/2006/relationships/hyperlink" Target="http://www.sec.gov/cgi-bin/browse-edgar?action=getcompany&amp;CIK=0001374606"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2020-02-05T17:00:14Z</dcterms:created>
  <dcterms:modified xsi:type="dcterms:W3CDTF">2020-02-05T17:00:14Z</dcterms:modified>
</cp:coreProperties>
</file>