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22"/>
          <w:szCs w:val="22"/>
          <w:b w:val="1"/>
          <w:bCs w:val="1"/>
          <w:u w:val="single" w:color="auto"/>
          <w:color w:val="auto"/>
        </w:rPr>
        <w:t>ASHINGTON, D.C. 205</w:t>
      </w:r>
      <w:r>
        <w:rPr>
          <w:rFonts w:ascii="Times New Roman" w:cs="Times New Roman" w:eastAsia="Times New Roman" w:hAnsi="Times New Roman"/>
          <w:sz w:val="22"/>
          <w:szCs w:val="22"/>
          <w:b w:val="1"/>
          <w:bCs w:val="1"/>
          <w:color w:val="auto"/>
        </w:rPr>
        <w:t>49</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36195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04,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58" w:lineRule="exact"/>
        <w:rPr>
          <w:sz w:val="24"/>
          <w:szCs w:val="24"/>
          <w:color w:val="auto"/>
        </w:rPr>
      </w:pPr>
    </w:p>
    <w:tbl>
      <w:tblPr>
        <w:tblLayout w:type="fixed"/>
        <w:tblInd w:w="1260" w:type="dxa"/>
        <w:tblCellMar>
          <w:top w:w="0" w:type="dxa"/>
          <w:left w:w="0" w:type="dxa"/>
          <w:bottom w:w="0" w:type="dxa"/>
          <w:right w:w="0" w:type="dxa"/>
        </w:tblCellMar>
      </w:tblPr>
      <w:tr>
        <w:trPr>
          <w:trHeight w:val="186"/>
        </w:trPr>
        <w:tc>
          <w:tcPr>
            <w:tcW w:w="3240" w:type="dxa"/>
            <w:vAlign w:val="bottom"/>
          </w:tcPr>
          <w:p>
            <w:pPr>
              <w:jc w:val="center"/>
              <w:ind w:right="861"/>
              <w:spacing w:after="0" w:line="186" w:lineRule="exact"/>
              <w:rPr>
                <w:sz w:val="20"/>
                <w:szCs w:val="20"/>
                <w:color w:val="auto"/>
              </w:rPr>
            </w:pPr>
            <w:r>
              <w:rPr>
                <w:rFonts w:ascii="Times New Roman" w:cs="Times New Roman" w:eastAsia="Times New Roman" w:hAnsi="Times New Roman"/>
                <w:sz w:val="18"/>
                <w:szCs w:val="18"/>
                <w:b w:val="1"/>
                <w:bCs w:val="1"/>
                <w:color w:val="auto"/>
              </w:rPr>
              <w:t>Delaware</w:t>
            </w:r>
          </w:p>
        </w:tc>
        <w:tc>
          <w:tcPr>
            <w:tcW w:w="2240" w:type="dxa"/>
            <w:vAlign w:val="bottom"/>
            <w:tcBorders>
              <w:top w:val="single" w:sz="8" w:color="auto"/>
            </w:tcBorders>
          </w:tcPr>
          <w:p>
            <w:pPr>
              <w:jc w:val="right"/>
              <w:ind w:right="521"/>
              <w:spacing w:after="0" w:line="186" w:lineRule="exact"/>
              <w:rPr>
                <w:sz w:val="20"/>
                <w:szCs w:val="20"/>
                <w:color w:val="auto"/>
              </w:rPr>
            </w:pPr>
            <w:r>
              <w:rPr>
                <w:rFonts w:ascii="Times New Roman" w:cs="Times New Roman" w:eastAsia="Times New Roman" w:hAnsi="Times New Roman"/>
                <w:sz w:val="18"/>
                <w:szCs w:val="18"/>
                <w:b w:val="1"/>
                <w:bCs w:val="1"/>
                <w:color w:val="auto"/>
              </w:rPr>
              <w:t>01-34219</w:t>
            </w:r>
          </w:p>
        </w:tc>
        <w:tc>
          <w:tcPr>
            <w:tcW w:w="2800" w:type="dxa"/>
            <w:vAlign w:val="bottom"/>
          </w:tcPr>
          <w:p>
            <w:pPr>
              <w:jc w:val="right"/>
              <w:ind w:right="24"/>
              <w:spacing w:after="0" w:line="186" w:lineRule="exact"/>
              <w:rPr>
                <w:sz w:val="20"/>
                <w:szCs w:val="20"/>
                <w:color w:val="auto"/>
              </w:rPr>
            </w:pPr>
            <w:r>
              <w:rPr>
                <w:rFonts w:ascii="Times New Roman" w:cs="Times New Roman" w:eastAsia="Times New Roman" w:hAnsi="Times New Roman"/>
                <w:sz w:val="18"/>
                <w:szCs w:val="18"/>
                <w:b w:val="1"/>
                <w:bCs w:val="1"/>
                <w:color w:val="auto"/>
              </w:rPr>
              <w:t>04-2623104</w:t>
            </w:r>
          </w:p>
        </w:tc>
      </w:tr>
      <w:tr>
        <w:trPr>
          <w:trHeight w:val="148"/>
        </w:trPr>
        <w:tc>
          <w:tcPr>
            <w:tcW w:w="324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240" w:type="dxa"/>
            <w:vAlign w:val="bottom"/>
          </w:tcPr>
          <w:p>
            <w:pPr>
              <w:jc w:val="center"/>
              <w:ind w:left="2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800" w:type="dxa"/>
            <w:vAlign w:val="bottom"/>
          </w:tcPr>
          <w:p>
            <w:pPr>
              <w:jc w:val="center"/>
              <w:ind w:left="16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4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240" w:type="dxa"/>
            <w:vAlign w:val="bottom"/>
          </w:tcPr>
          <w:p>
            <w:pPr>
              <w:spacing w:after="0"/>
              <w:rPr>
                <w:sz w:val="15"/>
                <w:szCs w:val="15"/>
                <w:color w:val="auto"/>
              </w:rPr>
            </w:pPr>
          </w:p>
        </w:tc>
        <w:tc>
          <w:tcPr>
            <w:tcW w:w="2800" w:type="dxa"/>
            <w:vAlign w:val="bottom"/>
          </w:tcPr>
          <w:p>
            <w:pPr>
              <w:jc w:val="center"/>
              <w:ind w:left="166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70"/>
        </w:trPr>
        <w:tc>
          <w:tcPr>
            <w:tcW w:w="3240" w:type="dxa"/>
            <w:vAlign w:val="bottom"/>
          </w:tcPr>
          <w:p>
            <w:pPr>
              <w:jc w:val="center"/>
              <w:ind w:right="861"/>
              <w:spacing w:after="0"/>
              <w:rPr>
                <w:sz w:val="20"/>
                <w:szCs w:val="20"/>
                <w:color w:val="auto"/>
              </w:rPr>
            </w:pPr>
            <w:r>
              <w:rPr>
                <w:rFonts w:ascii="Times New Roman" w:cs="Times New Roman" w:eastAsia="Times New Roman" w:hAnsi="Times New Roman"/>
                <w:sz w:val="18"/>
                <w:szCs w:val="18"/>
                <w:b w:val="1"/>
                <w:bCs w:val="1"/>
                <w:color w:val="auto"/>
                <w:w w:val="99"/>
              </w:rPr>
              <w:t>555 Turnpike Street</w:t>
            </w:r>
          </w:p>
        </w:tc>
        <w:tc>
          <w:tcPr>
            <w:tcW w:w="22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08"/>
        </w:trPr>
        <w:tc>
          <w:tcPr>
            <w:tcW w:w="3240" w:type="dxa"/>
            <w:vAlign w:val="bottom"/>
          </w:tcPr>
          <w:p>
            <w:pPr>
              <w:jc w:val="center"/>
              <w:ind w:right="861"/>
              <w:spacing w:after="0"/>
              <w:rPr>
                <w:sz w:val="20"/>
                <w:szCs w:val="20"/>
                <w:color w:val="auto"/>
              </w:rPr>
            </w:pPr>
            <w:r>
              <w:rPr>
                <w:rFonts w:ascii="Times New Roman" w:cs="Times New Roman" w:eastAsia="Times New Roman" w:hAnsi="Times New Roman"/>
                <w:sz w:val="18"/>
                <w:szCs w:val="18"/>
                <w:b w:val="1"/>
                <w:bCs w:val="1"/>
                <w:color w:val="auto"/>
              </w:rPr>
              <w:t>Canton, Massachusetts</w:t>
            </w:r>
          </w:p>
        </w:tc>
        <w:tc>
          <w:tcPr>
            <w:tcW w:w="2240" w:type="dxa"/>
            <w:vAlign w:val="bottom"/>
          </w:tcPr>
          <w:p>
            <w:pPr>
              <w:spacing w:after="0"/>
              <w:rPr>
                <w:sz w:val="18"/>
                <w:szCs w:val="18"/>
                <w:color w:val="auto"/>
              </w:rPr>
            </w:pPr>
          </w:p>
        </w:tc>
        <w:tc>
          <w:tcPr>
            <w:tcW w:w="280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78"/>
        </w:trPr>
        <w:tc>
          <w:tcPr>
            <w:tcW w:w="3240" w:type="dxa"/>
            <w:vAlign w:val="bottom"/>
          </w:tcPr>
          <w:p>
            <w:pPr>
              <w:jc w:val="center"/>
              <w:ind w:right="8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240" w:type="dxa"/>
            <w:vAlign w:val="bottom"/>
          </w:tcPr>
          <w:p>
            <w:pPr>
              <w:spacing w:after="0"/>
              <w:rPr>
                <w:sz w:val="15"/>
                <w:szCs w:val="15"/>
                <w:color w:val="auto"/>
              </w:rPr>
            </w:pPr>
          </w:p>
        </w:tc>
        <w:tc>
          <w:tcPr>
            <w:tcW w:w="2800" w:type="dxa"/>
            <w:vAlign w:val="bottom"/>
          </w:tcPr>
          <w:p>
            <w:pPr>
              <w:jc w:val="center"/>
              <w:ind w:left="166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121285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8"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DXLG</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right="16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32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August 4, 2022, the Company held its Annual Meeting. Set forth below are the matters submitted at the Annual Meeting by the Board of Directors of the Company to a vote of stockholders and the final results of the voting for each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1: Election of Directors.</w:t>
      </w:r>
    </w:p>
    <w:p>
      <w:pPr>
        <w:spacing w:after="0" w:line="20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six directors to hold office until the 2022 Annual Meeting of Stockholders and until their respective successors are duly elected and qualified. The results of the voting were as follows: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Harvey S. Kanter</w:t>
            </w:r>
          </w:p>
        </w:tc>
        <w:tc>
          <w:tcPr>
            <w:tcW w:w="1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FOR</w:t>
            </w:r>
          </w:p>
        </w:tc>
        <w:tc>
          <w:tcPr>
            <w:tcW w:w="120" w:type="dxa"/>
            <w:vAlign w:val="bottom"/>
          </w:tcPr>
          <w:p>
            <w:pPr>
              <w:spacing w:after="0"/>
              <w:rPr>
                <w:sz w:val="20"/>
                <w:szCs w:val="20"/>
                <w:color w:val="auto"/>
              </w:rPr>
            </w:pPr>
          </w:p>
        </w:tc>
        <w:tc>
          <w:tcPr>
            <w:tcW w:w="18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AGAINST</w:t>
            </w:r>
          </w:p>
        </w:tc>
        <w:tc>
          <w:tcPr>
            <w:tcW w:w="120" w:type="dxa"/>
            <w:vAlign w:val="bottom"/>
          </w:tcPr>
          <w:p>
            <w:pPr>
              <w:spacing w:after="0"/>
              <w:rPr>
                <w:sz w:val="20"/>
                <w:szCs w:val="20"/>
                <w:color w:val="auto"/>
              </w:rPr>
            </w:pPr>
          </w:p>
        </w:tc>
        <w:tc>
          <w:tcPr>
            <w:tcW w:w="18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ABSTAIN</w:t>
            </w:r>
          </w:p>
        </w:tc>
        <w:tc>
          <w:tcPr>
            <w:tcW w:w="100" w:type="dxa"/>
            <w:vAlign w:val="bottom"/>
          </w:tcPr>
          <w:p>
            <w:pPr>
              <w:spacing w:after="0"/>
              <w:rPr>
                <w:sz w:val="20"/>
                <w:szCs w:val="20"/>
                <w:color w:val="auto"/>
              </w:rPr>
            </w:pPr>
          </w:p>
        </w:tc>
        <w:tc>
          <w:tcPr>
            <w:tcW w:w="1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Broker Non-Votes</w:t>
            </w:r>
          </w:p>
        </w:tc>
        <w:tc>
          <w:tcPr>
            <w:tcW w:w="0" w:type="dxa"/>
            <w:vAlign w:val="bottom"/>
          </w:tcPr>
          <w:p>
            <w:pPr>
              <w:spacing w:after="0"/>
              <w:rPr>
                <w:sz w:val="1"/>
                <w:szCs w:val="1"/>
                <w:color w:val="auto"/>
              </w:rPr>
            </w:pPr>
          </w:p>
        </w:tc>
      </w:tr>
      <w:tr>
        <w:trPr>
          <w:trHeight w:val="191"/>
        </w:trPr>
        <w:tc>
          <w:tcPr>
            <w:tcW w:w="3320" w:type="dxa"/>
            <w:vAlign w:val="bottom"/>
            <w:vMerge w:val="continue"/>
          </w:tcPr>
          <w:p>
            <w:pPr>
              <w:spacing w:after="0"/>
              <w:rPr>
                <w:sz w:val="16"/>
                <w:szCs w:val="16"/>
                <w:color w:val="auto"/>
              </w:rPr>
            </w:pPr>
          </w:p>
        </w:tc>
        <w:tc>
          <w:tcPr>
            <w:tcW w:w="18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40,406,462</w:t>
            </w:r>
          </w:p>
        </w:tc>
        <w:tc>
          <w:tcPr>
            <w:tcW w:w="120" w:type="dxa"/>
            <w:vAlign w:val="bottom"/>
          </w:tcPr>
          <w:p>
            <w:pPr>
              <w:spacing w:after="0"/>
              <w:rPr>
                <w:sz w:val="16"/>
                <w:szCs w:val="16"/>
                <w:color w:val="auto"/>
              </w:rPr>
            </w:pPr>
          </w:p>
        </w:tc>
        <w:tc>
          <w:tcPr>
            <w:tcW w:w="18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19,555</w:t>
            </w:r>
          </w:p>
        </w:tc>
        <w:tc>
          <w:tcPr>
            <w:tcW w:w="120" w:type="dxa"/>
            <w:vAlign w:val="bottom"/>
          </w:tcPr>
          <w:p>
            <w:pPr>
              <w:spacing w:after="0"/>
              <w:rPr>
                <w:sz w:val="16"/>
                <w:szCs w:val="16"/>
                <w:color w:val="auto"/>
              </w:rPr>
            </w:pPr>
          </w:p>
        </w:tc>
        <w:tc>
          <w:tcPr>
            <w:tcW w:w="18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12,133</w:t>
            </w:r>
          </w:p>
        </w:tc>
        <w:tc>
          <w:tcPr>
            <w:tcW w:w="100" w:type="dxa"/>
            <w:vAlign w:val="bottom"/>
          </w:tcPr>
          <w:p>
            <w:pPr>
              <w:spacing w:after="0"/>
              <w:rPr>
                <w:sz w:val="16"/>
                <w:szCs w:val="16"/>
                <w:color w:val="auto"/>
              </w:rPr>
            </w:pPr>
          </w:p>
        </w:tc>
        <w:tc>
          <w:tcPr>
            <w:tcW w:w="1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10,994,415</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Carmen R. Bauza</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40,402,016</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25,959</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10,175</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10,994,415</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Jack Boyle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40,194,906</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233,449</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9,795</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10,994,415</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Lionel F. Conacher</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39,693,005</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734,950</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10,195</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10,994,415</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Willem Mesdag</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34,328,899</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6,099,456</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9,795</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10,994,415</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Ivy Ross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39,692,495</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735,591</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10,064</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10,994,415</w:t>
            </w: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Elaine K. Rubin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40,188,545</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239,731</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9,874</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10,994,415</w:t>
            </w: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2: Advisory Vote on Compensation of Named Executive Officers.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of the Company's named executive officers was approved by a non-binding advisory vote based upon the following votes: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FOR</w:t>
            </w:r>
          </w:p>
        </w:tc>
        <w:tc>
          <w:tcPr>
            <w:tcW w:w="120" w:type="dxa"/>
            <w:vAlign w:val="bottom"/>
          </w:tcPr>
          <w:p>
            <w:pPr>
              <w:spacing w:after="0"/>
              <w:rPr>
                <w:sz w:val="20"/>
                <w:szCs w:val="20"/>
                <w:color w:val="auto"/>
              </w:rPr>
            </w:pPr>
          </w:p>
        </w:tc>
        <w:tc>
          <w:tcPr>
            <w:tcW w:w="21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AGAINST</w:t>
            </w:r>
          </w:p>
        </w:tc>
        <w:tc>
          <w:tcPr>
            <w:tcW w:w="120" w:type="dxa"/>
            <w:vAlign w:val="bottom"/>
          </w:tcPr>
          <w:p>
            <w:pPr>
              <w:spacing w:after="0"/>
              <w:rPr>
                <w:sz w:val="20"/>
                <w:szCs w:val="20"/>
                <w:color w:val="auto"/>
              </w:rPr>
            </w:pPr>
          </w:p>
        </w:tc>
        <w:tc>
          <w:tcPr>
            <w:tcW w:w="21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ABSTAIN</w:t>
            </w:r>
          </w:p>
        </w:tc>
        <w:tc>
          <w:tcPr>
            <w:tcW w:w="120" w:type="dxa"/>
            <w:vAlign w:val="bottom"/>
          </w:tcPr>
          <w:p>
            <w:pPr>
              <w:spacing w:after="0"/>
              <w:rPr>
                <w:sz w:val="20"/>
                <w:szCs w:val="20"/>
                <w:color w:val="auto"/>
              </w:rPr>
            </w:pPr>
          </w:p>
        </w:tc>
        <w:tc>
          <w:tcPr>
            <w:tcW w:w="2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28"/>
        </w:trPr>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39,287,032</w:t>
            </w:r>
          </w:p>
        </w:tc>
        <w:tc>
          <w:tcPr>
            <w:tcW w:w="1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185,577</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965,541</w:t>
            </w:r>
          </w:p>
        </w:tc>
        <w:tc>
          <w:tcPr>
            <w:tcW w:w="1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10,994,415</w:t>
            </w: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3: Ratification of Appointment of Independent Registered Public Accountants.</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appointment of KPMG LLP as the Company’s independent registered public accounting firm for fiscal year ending January 28, 2023 was ratified based upon the following votes: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FOR</w:t>
            </w:r>
          </w:p>
        </w:tc>
        <w:tc>
          <w:tcPr>
            <w:tcW w:w="120" w:type="dxa"/>
            <w:vAlign w:val="bottom"/>
          </w:tcPr>
          <w:p>
            <w:pPr>
              <w:spacing w:after="0"/>
              <w:rPr>
                <w:sz w:val="20"/>
                <w:szCs w:val="20"/>
                <w:color w:val="auto"/>
              </w:rPr>
            </w:pPr>
          </w:p>
        </w:tc>
        <w:tc>
          <w:tcPr>
            <w:tcW w:w="272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AGAINST</w:t>
            </w:r>
          </w:p>
        </w:tc>
        <w:tc>
          <w:tcPr>
            <w:tcW w:w="120" w:type="dxa"/>
            <w:vAlign w:val="bottom"/>
          </w:tcPr>
          <w:p>
            <w:pPr>
              <w:spacing w:after="0"/>
              <w:rPr>
                <w:sz w:val="20"/>
                <w:szCs w:val="20"/>
                <w:color w:val="auto"/>
              </w:rPr>
            </w:pPr>
          </w:p>
        </w:tc>
        <w:tc>
          <w:tcPr>
            <w:tcW w:w="270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ABSTAIN</w:t>
            </w:r>
          </w:p>
        </w:tc>
        <w:tc>
          <w:tcPr>
            <w:tcW w:w="2880" w:type="dxa"/>
            <w:vAlign w:val="bottom"/>
          </w:tcPr>
          <w:p>
            <w:pPr>
              <w:spacing w:after="0"/>
              <w:rPr>
                <w:sz w:val="20"/>
                <w:szCs w:val="20"/>
                <w:color w:val="auto"/>
              </w:rPr>
            </w:pPr>
          </w:p>
        </w:tc>
      </w:tr>
      <w:tr>
        <w:trPr>
          <w:trHeight w:val="228"/>
        </w:trPr>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51,263,973</w:t>
            </w:r>
          </w:p>
        </w:tc>
        <w:tc>
          <w:tcPr>
            <w:tcW w:w="12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159,135</w:t>
            </w:r>
          </w:p>
        </w:tc>
        <w:tc>
          <w:tcPr>
            <w:tcW w:w="12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9,457</w:t>
            </w:r>
          </w:p>
        </w:tc>
        <w:tc>
          <w:tcPr>
            <w:tcW w:w="2880" w:type="dxa"/>
            <w:vAlign w:val="bottom"/>
          </w:tcPr>
          <w:p>
            <w:pPr>
              <w:spacing w:after="0"/>
              <w:rPr>
                <w:sz w:val="19"/>
                <w:szCs w:val="19"/>
                <w:color w:val="auto"/>
              </w:rPr>
            </w:pPr>
          </w:p>
        </w:tc>
      </w:tr>
      <w:tr>
        <w:trPr>
          <w:trHeight w:val="502"/>
        </w:trPr>
        <w:tc>
          <w:tcPr>
            <w:tcW w:w="2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347"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S. Molloy</w:t>
      </w:r>
    </w:p>
    <w:p>
      <w:pPr>
        <w:spacing w:after="0" w:line="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-127635</wp:posOffset>
            </wp:positionV>
            <wp:extent cx="32746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2022-08-05T06:29:27Z</dcterms:created>
  <dcterms:modified xsi:type="dcterms:W3CDTF">2022-08-05T06:29:27Z</dcterms:modified>
</cp:coreProperties>
</file>