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124460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147955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120650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4"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740" w:type="dxa"/>
            <w:vAlign w:val="bottom"/>
          </w:tcPr>
          <w:p>
            <w:pPr>
              <w:jc w:val="right"/>
              <w:ind w:right="153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3240" w:type="dxa"/>
            <w:vAlign w:val="bottom"/>
          </w:tcPr>
          <w:p>
            <w:pPr>
              <w:jc w:val="center"/>
              <w:ind w:right="87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374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424"/>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40" w:type="dxa"/>
            <w:vAlign w:val="bottom"/>
          </w:tcPr>
          <w:p>
            <w:pPr>
              <w:jc w:val="center"/>
              <w:ind w:right="85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8"/>
          <w:szCs w:val="18"/>
          <w:b w:val="1"/>
          <w:bCs w:val="1"/>
          <w:color w:val="auto"/>
        </w:rPr>
        <w:t>(781) 828-9300</w:t>
      </w:r>
    </w:p>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116205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506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Trading</w:t>
            </w:r>
          </w:p>
        </w:tc>
        <w:tc>
          <w:tcPr>
            <w:tcW w:w="4400" w:type="dxa"/>
            <w:vAlign w:val="bottom"/>
            <w:tcBorders>
              <w:top w:val="single" w:sz="8" w:color="auto"/>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5060" w:type="dxa"/>
            <w:vAlign w:val="bottom"/>
            <w:tcBorders>
              <w:left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Title of each class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symbol(s)</w:t>
            </w:r>
          </w:p>
        </w:tc>
        <w:tc>
          <w:tcPr>
            <w:tcW w:w="440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660" w:type="dxa"/>
            <w:vAlign w:val="bottom"/>
          </w:tcPr>
          <w:p>
            <w:pPr>
              <w:spacing w:after="0"/>
              <w:rPr>
                <w:sz w:val="20"/>
                <w:szCs w:val="20"/>
                <w:color w:val="auto"/>
              </w:rPr>
            </w:pPr>
          </w:p>
        </w:tc>
      </w:tr>
      <w:tr>
        <w:trPr>
          <w:trHeight w:val="108"/>
        </w:trPr>
        <w:tc>
          <w:tcPr>
            <w:tcW w:w="5060" w:type="dxa"/>
            <w:vAlign w:val="bottom"/>
            <w:tcBorders>
              <w:left w:val="single" w:sz="8" w:color="auto"/>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4400" w:type="dxa"/>
            <w:vAlign w:val="bottom"/>
            <w:tcBorders>
              <w:bottom w:val="single" w:sz="8" w:color="auto"/>
              <w:right w:val="single" w:sz="8" w:color="auto"/>
            </w:tcBorders>
          </w:tcPr>
          <w:p>
            <w:pPr>
              <w:spacing w:after="0"/>
              <w:rPr>
                <w:sz w:val="9"/>
                <w:szCs w:val="9"/>
                <w:color w:val="auto"/>
              </w:rPr>
            </w:pPr>
          </w:p>
        </w:tc>
        <w:tc>
          <w:tcPr>
            <w:tcW w:w="660" w:type="dxa"/>
            <w:vAlign w:val="bottom"/>
          </w:tcPr>
          <w:p>
            <w:pPr>
              <w:spacing w:after="0"/>
              <w:rPr>
                <w:sz w:val="9"/>
                <w:szCs w:val="9"/>
                <w:color w:val="auto"/>
              </w:rPr>
            </w:pPr>
          </w:p>
        </w:tc>
      </w:tr>
      <w:tr>
        <w:trPr>
          <w:trHeight w:val="228"/>
        </w:trPr>
        <w:tc>
          <w:tcPr>
            <w:tcW w:w="5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DXLG</w:t>
            </w:r>
          </w:p>
        </w:tc>
        <w:tc>
          <w:tcPr>
            <w:tcW w:w="4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Stock Market, LLC</w:t>
            </w:r>
          </w:p>
        </w:tc>
        <w:tc>
          <w:tcPr>
            <w:tcW w:w="660" w:type="dxa"/>
            <w:vAlign w:val="bottom"/>
          </w:tcPr>
          <w:p>
            <w:pPr>
              <w:spacing w:after="0"/>
              <w:rPr>
                <w:sz w:val="19"/>
                <w:szCs w:val="19"/>
                <w:color w:val="auto"/>
              </w:rPr>
            </w:pPr>
          </w:p>
        </w:tc>
      </w:tr>
      <w:tr>
        <w:trPr>
          <w:trHeight w:val="36"/>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757"/>
        </w:trPr>
        <w:tc>
          <w:tcPr>
            <w:tcW w:w="50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0" w:right="219" w:bottom="1440" w:gutter="0" w:footer="0" w:header="0"/>
        </w:sectPr>
      </w:pPr>
    </w:p>
    <w:bookmarkStart w:id="1" w:name="page2"/>
    <w:bookmarkEnd w:id="1"/>
    <w:p>
      <w:pPr>
        <w:ind w:right="420"/>
        <w:spacing w:after="0" w:line="262"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212121"/>
        </w:rPr>
        <w:t>Compensatory Arrangements of Certain Officers</w:t>
      </w:r>
    </w:p>
    <w:p>
      <w:pPr>
        <w:spacing w:after="0" w:line="23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212121"/>
        </w:rPr>
        <w:t xml:space="preserve">On May 1, 2019, the Compensation Committee of the Board of Directors of Destination XL Group, Inc. (the “Company”) approved the Destination XL Group, Inc. Fourth Amended and Restated Annual </w:t>
      </w:r>
      <w:r>
        <w:rPr>
          <w:rFonts w:ascii="Times New Roman" w:cs="Times New Roman" w:eastAsia="Times New Roman" w:hAnsi="Times New Roman"/>
          <w:sz w:val="21"/>
          <w:szCs w:val="21"/>
          <w:color w:val="252525"/>
        </w:rPr>
        <w:t>Incentive Plan</w:t>
      </w:r>
      <w:r>
        <w:rPr>
          <w:rFonts w:ascii="Times New Roman" w:cs="Times New Roman" w:eastAsia="Times New Roman" w:hAnsi="Times New Roman"/>
          <w:sz w:val="21"/>
          <w:szCs w:val="21"/>
          <w:color w:val="212121"/>
        </w:rPr>
        <w:t xml:space="preserve"> (the “AIP”), in which the Company’s executives (including its Named Executive Officers) and certain other members of management are eligible to participate.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The AIP was amended, among other things, to:</w:t>
      </w:r>
    </w:p>
    <w:p>
      <w:pPr>
        <w:spacing w:after="0" w:line="4" w:lineRule="exact"/>
        <w:rPr>
          <w:sz w:val="20"/>
          <w:szCs w:val="20"/>
          <w:color w:val="auto"/>
        </w:rPr>
      </w:pPr>
    </w:p>
    <w:p>
      <w:pPr>
        <w:ind w:left="920" w:hanging="412"/>
        <w:spacing w:after="0"/>
        <w:tabs>
          <w:tab w:leader="none" w:pos="920" w:val="left"/>
        </w:tabs>
        <w:numPr>
          <w:ilvl w:val="0"/>
          <w:numId w:val="2"/>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allow the Compensation Committee to set a participant’s maximum payout above 150% of target;</w:t>
      </w:r>
    </w:p>
    <w:p>
      <w:pPr>
        <w:ind w:left="920" w:right="160" w:hanging="412"/>
        <w:spacing w:after="0" w:line="230" w:lineRule="auto"/>
        <w:tabs>
          <w:tab w:leader="none" w:pos="920" w:val="left"/>
        </w:tabs>
        <w:numPr>
          <w:ilvl w:val="0"/>
          <w:numId w:val="2"/>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provide that employees, who are hired during the plan year, are eligible to participate in the AIP on a pro-rated basis, so long as they are hired prior to the first day of the fourth quarter of the fiscal year;</w:t>
      </w:r>
    </w:p>
    <w:p>
      <w:pPr>
        <w:spacing w:after="0" w:line="1" w:lineRule="exact"/>
        <w:rPr>
          <w:rFonts w:ascii="Times New Roman" w:cs="Times New Roman" w:eastAsia="Times New Roman" w:hAnsi="Times New Roman"/>
          <w:sz w:val="22"/>
          <w:szCs w:val="22"/>
          <w:color w:val="212121"/>
        </w:rPr>
      </w:pPr>
    </w:p>
    <w:p>
      <w:pPr>
        <w:ind w:left="920" w:right="540" w:hanging="412"/>
        <w:spacing w:after="0" w:line="230" w:lineRule="auto"/>
        <w:tabs>
          <w:tab w:leader="none" w:pos="920" w:val="left"/>
        </w:tabs>
        <w:numPr>
          <w:ilvl w:val="0"/>
          <w:numId w:val="2"/>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modify provisions regarding eligibility to receive an award upon certain qualifying termination events to clarify the methodology for making pro-rata payments to eligible participants and the time of payment;</w:t>
      </w:r>
    </w:p>
    <w:p>
      <w:pPr>
        <w:spacing w:after="0" w:line="1" w:lineRule="exact"/>
        <w:rPr>
          <w:rFonts w:ascii="Times New Roman" w:cs="Times New Roman" w:eastAsia="Times New Roman" w:hAnsi="Times New Roman"/>
          <w:sz w:val="22"/>
          <w:szCs w:val="22"/>
          <w:color w:val="212121"/>
        </w:rPr>
      </w:pPr>
    </w:p>
    <w:p>
      <w:pPr>
        <w:ind w:left="920" w:right="80" w:hanging="412"/>
        <w:spacing w:after="0" w:line="230" w:lineRule="auto"/>
        <w:tabs>
          <w:tab w:leader="none" w:pos="920" w:val="left"/>
        </w:tabs>
        <w:numPr>
          <w:ilvl w:val="0"/>
          <w:numId w:val="2"/>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clarify the Compensation Committee’s ability to exclude from the performance metrics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and,</w:t>
      </w:r>
    </w:p>
    <w:p>
      <w:pPr>
        <w:spacing w:after="0" w:line="3" w:lineRule="exact"/>
        <w:rPr>
          <w:rFonts w:ascii="Times New Roman" w:cs="Times New Roman" w:eastAsia="Times New Roman" w:hAnsi="Times New Roman"/>
          <w:sz w:val="22"/>
          <w:szCs w:val="22"/>
          <w:color w:val="212121"/>
        </w:rPr>
      </w:pPr>
    </w:p>
    <w:p>
      <w:pPr>
        <w:ind w:left="920" w:right="20" w:hanging="412"/>
        <w:spacing w:after="0" w:line="234" w:lineRule="auto"/>
        <w:tabs>
          <w:tab w:leader="none" w:pos="920" w:val="left"/>
        </w:tabs>
        <w:numPr>
          <w:ilvl w:val="0"/>
          <w:numId w:val="2"/>
        </w:numPr>
        <w:rPr>
          <w:rFonts w:ascii="Times New Roman" w:cs="Times New Roman" w:eastAsia="Times New Roman" w:hAnsi="Times New Roman"/>
          <w:sz w:val="22"/>
          <w:szCs w:val="22"/>
          <w:color w:val="212121"/>
        </w:rPr>
      </w:pPr>
      <w:r>
        <w:rPr>
          <w:rFonts w:ascii="Times New Roman" w:cs="Times New Roman" w:eastAsia="Times New Roman" w:hAnsi="Times New Roman"/>
          <w:sz w:val="22"/>
          <w:szCs w:val="22"/>
          <w:color w:val="212121"/>
        </w:rPr>
        <w:t>eliminate the default provision indicating that awards made to Covered Employees are intended to qualify as “performance-based compensation” that is exempt from the deduction limitations imposed by Section 162(m) of the Internal Revenue Code as such exemption for performance-based compensation was eliminated by the Tax Cuts and Jobs Act of 2017.</w:t>
      </w:r>
    </w:p>
    <w:p>
      <w:pPr>
        <w:spacing w:after="0" w:line="17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212121"/>
        </w:rPr>
        <w:t xml:space="preserve">The foregoing description of the AIP is qualified in its entirety by reference to the full text of the </w:t>
      </w:r>
      <w:r>
        <w:rPr>
          <w:rFonts w:ascii="Times New Roman" w:cs="Times New Roman" w:eastAsia="Times New Roman" w:hAnsi="Times New Roman"/>
          <w:sz w:val="22"/>
          <w:szCs w:val="22"/>
          <w:color w:val="252525"/>
        </w:rPr>
        <w:t>plan as amended</w:t>
      </w:r>
      <w:r>
        <w:rPr>
          <w:rFonts w:ascii="Times New Roman" w:cs="Times New Roman" w:eastAsia="Times New Roman" w:hAnsi="Times New Roman"/>
          <w:sz w:val="22"/>
          <w:szCs w:val="22"/>
          <w:color w:val="212121"/>
        </w:rPr>
        <w:t>, which is filed herewith as Exhibit 10.1 and incorporated herein by this reference.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680" w:type="dxa"/>
            <w:vAlign w:val="bottom"/>
          </w:tcPr>
          <w:p>
            <w:pPr>
              <w:spacing w:after="0"/>
              <w:rPr>
                <w:sz w:val="24"/>
                <w:szCs w:val="24"/>
                <w:color w:val="auto"/>
              </w:rPr>
            </w:pPr>
          </w:p>
        </w:tc>
        <w:tc>
          <w:tcPr>
            <w:tcW w:w="9740" w:type="dxa"/>
            <w:vAlign w:val="bottom"/>
            <w:gridSpan w:val="4"/>
          </w:tcPr>
          <w:p>
            <w:pPr>
              <w:spacing w:after="0"/>
              <w:rPr>
                <w:rFonts w:ascii="Times New Roman" w:cs="Times New Roman" w:eastAsia="Times New Roman" w:hAnsi="Times New Roman"/>
                <w:sz w:val="22"/>
                <w:szCs w:val="22"/>
                <w:color w:val="0000EE"/>
              </w:rPr>
            </w:pPr>
            <w:hyperlink w:anchor="page4">
              <w:r>
                <w:rPr>
                  <w:rFonts w:ascii="Times New Roman" w:cs="Times New Roman" w:eastAsia="Times New Roman" w:hAnsi="Times New Roman"/>
                  <w:sz w:val="22"/>
                  <w:szCs w:val="22"/>
                  <w:color w:val="0000EE"/>
                </w:rPr>
                <w:t>Fourth Amended and Restated Annual Incentive Plan.</w:t>
              </w:r>
            </w:hyperlink>
          </w:p>
        </w:tc>
      </w:tr>
      <w:tr>
        <w:trPr>
          <w:trHeight w:val="1270"/>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2500" w:type="dxa"/>
            <w:vAlign w:val="bottom"/>
            <w:tcBorders>
              <w:top w:val="single" w:sz="8" w:color="0000EE"/>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83" w:right="2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2"/>
          <w:szCs w:val="22"/>
          <w:color w:val="auto"/>
        </w:rPr>
        <w:t>SIGNATURES</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May 6, 2019</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11430</wp:posOffset>
            </wp:positionV>
            <wp:extent cx="3009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620"/>
        <w:spacing w:after="0" w:line="221" w:lineRule="auto"/>
        <w:rPr>
          <w:sz w:val="20"/>
          <w:szCs w:val="20"/>
          <w:color w:val="auto"/>
        </w:rPr>
      </w:pPr>
      <w:r>
        <w:rPr>
          <w:rFonts w:ascii="Times New Roman" w:cs="Times New Roman" w:eastAsia="Times New Roman" w:hAnsi="Times New Roman"/>
          <w:sz w:val="14"/>
          <w:szCs w:val="14"/>
          <w:b w:val="1"/>
          <w:bCs w:val="1"/>
          <w:color w:val="auto"/>
        </w:rPr>
        <w:t>Senior Vice President, Chief Administrative Officer, General Counsel and</w:t>
      </w: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Secretary</w:t>
      </w:r>
    </w:p>
    <w:p>
      <w:pPr>
        <w:sectPr>
          <w:pgSz w:w="11900" w:h="16838" w:orient="portrait"/>
          <w:cols w:equalWidth="0" w:num="1">
            <w:col w:w="11280"/>
          </w:cols>
          <w:pgMar w:left="240" w:top="32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FOURTH AMENDED AND RESTATED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DESTINATION XL GROUP, INC.</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ANNUAL INCENTIVE PLAN</w:t>
      </w:r>
    </w:p>
    <w:p>
      <w:pPr>
        <w:spacing w:after="0" w:line="203"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AND OBJECTIVES</w:t>
      </w:r>
    </w:p>
    <w:p>
      <w:pPr>
        <w:spacing w:after="0" w:line="71" w:lineRule="exact"/>
        <w:rPr>
          <w:sz w:val="20"/>
          <w:szCs w:val="20"/>
          <w:color w:val="auto"/>
        </w:rPr>
      </w:pPr>
    </w:p>
    <w:p>
      <w:pPr>
        <w:ind w:right="120" w:firstLine="1293"/>
        <w:spacing w:after="0" w:line="243" w:lineRule="auto"/>
        <w:rPr>
          <w:sz w:val="20"/>
          <w:szCs w:val="20"/>
          <w:color w:val="auto"/>
        </w:rPr>
      </w:pPr>
      <w:r>
        <w:rPr>
          <w:rFonts w:ascii="Times New Roman" w:cs="Times New Roman" w:eastAsia="Times New Roman" w:hAnsi="Times New Roman"/>
          <w:sz w:val="20"/>
          <w:szCs w:val="20"/>
          <w:color w:val="auto"/>
        </w:rPr>
        <w:t>Destination XL Group, Inc. (“Company”) has developed this Fourth Amended and Restated Annual Incentive Plan (the “Incentive Plan”) to provide opportunities for eligible associates of the Company and its subsidiaries to earn meaningful rewards for excellent annual performance. The Incentive Plan aims to align the interests of the Incentive Plan participants with those of our shareholders. Bonus awards are cash payments based on actual results measured against pre-established Company financial performance (“Bonus Awards”). Bonus Awards are intended to provide a reward to eligible Incentive Plan participants and supplement the base salary program. A fiscal year is referred to as a “Plan Year”. Bonus Awards made hereunder are being made pursuant to, and shall be subject to the terms and conditions specified in, the Company’s 2016 Incentive Compensation Plan as amended and restated, and any subsequent shareholder-approved incentive plan (the “2016 Compensation Plan”).</w:t>
      </w:r>
    </w:p>
    <w:p>
      <w:pPr>
        <w:spacing w:after="0" w:line="199"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p>
    <w:p>
      <w:pPr>
        <w:spacing w:after="0" w:line="233" w:lineRule="exact"/>
        <w:rPr>
          <w:sz w:val="20"/>
          <w:szCs w:val="20"/>
          <w:color w:val="auto"/>
        </w:rPr>
      </w:pPr>
    </w:p>
    <w:p>
      <w:pPr>
        <w:ind w:left="1480" w:hanging="567"/>
        <w:spacing w:after="0"/>
        <w:tabs>
          <w:tab w:leader="none" w:pos="14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ELIGIBILITY REQUIREMENTS</w:t>
      </w:r>
    </w:p>
    <w:p>
      <w:pPr>
        <w:spacing w:after="0" w:line="81" w:lineRule="exact"/>
        <w:rPr>
          <w:sz w:val="20"/>
          <w:szCs w:val="20"/>
          <w:color w:val="auto"/>
        </w:rPr>
      </w:pPr>
    </w:p>
    <w:p>
      <w:pPr>
        <w:jc w:val="both"/>
        <w:ind w:right="180" w:firstLine="1293"/>
        <w:spacing w:after="0" w:line="249" w:lineRule="auto"/>
        <w:rPr>
          <w:sz w:val="20"/>
          <w:szCs w:val="20"/>
          <w:color w:val="auto"/>
        </w:rPr>
      </w:pPr>
      <w:r>
        <w:rPr>
          <w:rFonts w:ascii="Times New Roman" w:cs="Times New Roman" w:eastAsia="Times New Roman" w:hAnsi="Times New Roman"/>
          <w:sz w:val="20"/>
          <w:szCs w:val="20"/>
          <w:color w:val="auto"/>
        </w:rPr>
        <w:t>Each Company employee who is classified by the Company as a staff director or equivalent or higher during a Plan Year will be eligible to participate in the Incentive Plan for such Plan Year (a “Participant”). Except as required by this Incentive Plan or applicable law or unless specifically determined otherwise by the Compensation Committee, a Participant whose employment terminates prior to payment of Bonus Awards for a Plan Year will not be eligible to earn a Bonus Award under the Incentive Plan for that Plan Year.</w:t>
      </w:r>
    </w:p>
    <w:p>
      <w:pPr>
        <w:spacing w:after="0" w:line="194" w:lineRule="exact"/>
        <w:rPr>
          <w:sz w:val="20"/>
          <w:szCs w:val="20"/>
          <w:color w:val="auto"/>
        </w:rPr>
      </w:pPr>
    </w:p>
    <w:p>
      <w:pPr>
        <w:ind w:left="1480" w:hanging="567"/>
        <w:spacing w:after="0"/>
        <w:tabs>
          <w:tab w:leader="none" w:pos="14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TO OTHER BUSINESS UNITS</w:t>
      </w:r>
    </w:p>
    <w:p>
      <w:pPr>
        <w:spacing w:after="0" w:line="67" w:lineRule="exact"/>
        <w:rPr>
          <w:sz w:val="20"/>
          <w:szCs w:val="20"/>
          <w:color w:val="auto"/>
        </w:rPr>
      </w:pPr>
    </w:p>
    <w:p>
      <w:pPr>
        <w:ind w:right="40" w:firstLine="1293"/>
        <w:spacing w:after="0" w:line="249" w:lineRule="auto"/>
        <w:rPr>
          <w:sz w:val="20"/>
          <w:szCs w:val="20"/>
          <w:color w:val="auto"/>
        </w:rPr>
      </w:pPr>
      <w:r>
        <w:rPr>
          <w:rFonts w:ascii="Times New Roman" w:cs="Times New Roman" w:eastAsia="Times New Roman" w:hAnsi="Times New Roman"/>
          <w:sz w:val="20"/>
          <w:szCs w:val="20"/>
          <w:color w:val="auto"/>
        </w:rPr>
        <w:t>A Participant who transfers business units within the Company during the Plan Year will have his or her Bonus Award, if any, determined based on the number of days in each of the business units during the Plan Year, subject to the satisfaction of the other terms and conditions of this Incentive Plan. The Participant’s eligibility to earn a Bonus Award in any business unit will be determined in accordance with any applicable performance criteria for that business unit.</w:t>
      </w:r>
    </w:p>
    <w:p>
      <w:pPr>
        <w:spacing w:after="0" w:line="194" w:lineRule="exact"/>
        <w:rPr>
          <w:sz w:val="20"/>
          <w:szCs w:val="20"/>
          <w:color w:val="auto"/>
        </w:rPr>
      </w:pPr>
    </w:p>
    <w:p>
      <w:pPr>
        <w:ind w:left="1480" w:hanging="567"/>
        <w:spacing w:after="0"/>
        <w:tabs>
          <w:tab w:leader="none" w:pos="14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POSITION</w:t>
      </w:r>
    </w:p>
    <w:p>
      <w:pPr>
        <w:spacing w:after="0" w:line="67" w:lineRule="exact"/>
        <w:rPr>
          <w:sz w:val="20"/>
          <w:szCs w:val="20"/>
          <w:color w:val="auto"/>
        </w:rPr>
      </w:pPr>
    </w:p>
    <w:p>
      <w:pPr>
        <w:ind w:right="120" w:firstLine="1293"/>
        <w:spacing w:after="0" w:line="254" w:lineRule="auto"/>
        <w:rPr>
          <w:sz w:val="20"/>
          <w:szCs w:val="20"/>
          <w:color w:val="auto"/>
        </w:rPr>
      </w:pPr>
      <w:r>
        <w:rPr>
          <w:rFonts w:ascii="Times New Roman" w:cs="Times New Roman" w:eastAsia="Times New Roman" w:hAnsi="Times New Roman"/>
          <w:sz w:val="20"/>
          <w:szCs w:val="20"/>
          <w:color w:val="auto"/>
        </w:rPr>
        <w:t>A Participant who changes from one management position to another, through a promotion, transfer, or demotion is eligible to earn an adjusted Bonus Award, prorated to take into account the number of days the Participant held each position during the Plan Year. The amount of such prorated Bonus Award shall be determined by the Compensation Committee in its sole discretion.</w:t>
      </w:r>
    </w:p>
    <w:p>
      <w:pPr>
        <w:spacing w:after="0" w:line="188" w:lineRule="exact"/>
        <w:rPr>
          <w:sz w:val="20"/>
          <w:szCs w:val="20"/>
          <w:color w:val="auto"/>
        </w:rPr>
      </w:pPr>
    </w:p>
    <w:p>
      <w:pPr>
        <w:ind w:left="1480" w:hanging="567"/>
        <w:spacing w:after="0"/>
        <w:tabs>
          <w:tab w:leader="none" w:pos="1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w:t>
      </w:r>
    </w:p>
    <w:p>
      <w:pPr>
        <w:spacing w:after="0" w:line="81" w:lineRule="exact"/>
        <w:rPr>
          <w:sz w:val="20"/>
          <w:szCs w:val="20"/>
          <w:color w:val="auto"/>
        </w:rPr>
      </w:pPr>
    </w:p>
    <w:p>
      <w:pPr>
        <w:ind w:right="380" w:firstLine="1293"/>
        <w:spacing w:after="0" w:line="254" w:lineRule="auto"/>
        <w:rPr>
          <w:sz w:val="20"/>
          <w:szCs w:val="20"/>
          <w:color w:val="auto"/>
        </w:rPr>
      </w:pPr>
      <w:r>
        <w:rPr>
          <w:rFonts w:ascii="Times New Roman" w:cs="Times New Roman" w:eastAsia="Times New Roman" w:hAnsi="Times New Roman"/>
          <w:sz w:val="20"/>
          <w:szCs w:val="20"/>
          <w:color w:val="auto"/>
        </w:rPr>
        <w:t>Subject to paragraph II G below, to be eligible to earn a Bonus Award, a Participant must be actively employed through the time the Bonus Award is paid, unless otherwise required by applicable law, or specifically determined otherwise by the Compensation Committee.</w:t>
      </w:r>
    </w:p>
    <w:p>
      <w:pPr>
        <w:spacing w:after="0" w:line="188" w:lineRule="exact"/>
        <w:rPr>
          <w:sz w:val="20"/>
          <w:szCs w:val="20"/>
          <w:color w:val="auto"/>
        </w:rPr>
      </w:pPr>
    </w:p>
    <w:p>
      <w:pPr>
        <w:ind w:left="1480" w:hanging="567"/>
        <w:spacing w:after="0"/>
        <w:tabs>
          <w:tab w:leader="none" w:pos="14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APPLICABLE REGULATIONS</w:t>
      </w:r>
    </w:p>
    <w:p>
      <w:pPr>
        <w:spacing w:after="0" w:line="67" w:lineRule="exact"/>
        <w:rPr>
          <w:sz w:val="20"/>
          <w:szCs w:val="20"/>
          <w:color w:val="auto"/>
        </w:rPr>
      </w:pPr>
    </w:p>
    <w:p>
      <w:pPr>
        <w:ind w:right="100" w:firstLine="1293"/>
        <w:spacing w:after="0" w:line="269" w:lineRule="auto"/>
        <w:rPr>
          <w:sz w:val="20"/>
          <w:szCs w:val="20"/>
          <w:color w:val="auto"/>
        </w:rPr>
      </w:pPr>
      <w:r>
        <w:rPr>
          <w:rFonts w:ascii="Times New Roman" w:cs="Times New Roman" w:eastAsia="Times New Roman" w:hAnsi="Times New Roman"/>
          <w:sz w:val="20"/>
          <w:szCs w:val="20"/>
          <w:color w:val="auto"/>
        </w:rPr>
        <w:t>In order to be eligible to earn a Bonus Award under this Incentive Plan, a Participant must comply with all applicable state and federal regulations and Company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25" w:lineRule="exact"/>
        <w:rPr>
          <w:sz w:val="20"/>
          <w:szCs w:val="20"/>
          <w:color w:val="auto"/>
        </w:rPr>
      </w:pPr>
    </w:p>
    <w:p>
      <w:pPr>
        <w:ind w:left="1480" w:hanging="567"/>
        <w:spacing w:after="0"/>
        <w:tabs>
          <w:tab w:leader="none" w:pos="14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LEAVES OF ABSENCE</w:t>
      </w:r>
    </w:p>
    <w:p>
      <w:pPr>
        <w:spacing w:after="0" w:line="67" w:lineRule="exact"/>
        <w:rPr>
          <w:sz w:val="20"/>
          <w:szCs w:val="20"/>
          <w:color w:val="auto"/>
        </w:rPr>
      </w:pPr>
    </w:p>
    <w:p>
      <w:pPr>
        <w:ind w:right="100" w:firstLine="1293"/>
        <w:spacing w:after="0" w:line="245" w:lineRule="auto"/>
        <w:rPr>
          <w:sz w:val="20"/>
          <w:szCs w:val="20"/>
          <w:color w:val="auto"/>
        </w:rPr>
      </w:pPr>
      <w:r>
        <w:rPr>
          <w:rFonts w:ascii="Times New Roman" w:cs="Times New Roman" w:eastAsia="Times New Roman" w:hAnsi="Times New Roman"/>
          <w:sz w:val="20"/>
          <w:szCs w:val="20"/>
          <w:color w:val="auto"/>
        </w:rPr>
        <w:t>Unless otherwise required by applicable law, a Participant who is employed by the Company prior to the first day of the fourth quarter of the Plan Year, and who is on a Company-approved leave of absence for any reason during the Plan Year, shall be able to earn a Bonus Award in respect of such Plan Year, provided that any Bonus Award shall be prorated based on the number of days the Participant was employed by the Company during the Plan Year and the Participant was not on leave as compared to the total number of days in the Plan Year. However, for purposes of this paragraph II F, days of leave for which a Participant has substituted accrued but unused paid vacation/sick/personal days only, shall count as days worked in the Plan Year.</w:t>
      </w:r>
    </w:p>
    <w:p>
      <w:pPr>
        <w:spacing w:after="0" w:line="199" w:lineRule="exact"/>
        <w:rPr>
          <w:sz w:val="20"/>
          <w:szCs w:val="20"/>
          <w:color w:val="auto"/>
        </w:rPr>
      </w:pPr>
    </w:p>
    <w:p>
      <w:pPr>
        <w:ind w:left="1480" w:hanging="567"/>
        <w:spacing w:after="0"/>
        <w:tabs>
          <w:tab w:leader="none" w:pos="14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DEATH OR DISABILITY</w:t>
      </w:r>
    </w:p>
    <w:p>
      <w:pPr>
        <w:spacing w:after="0" w:line="81" w:lineRule="exact"/>
        <w:rPr>
          <w:sz w:val="20"/>
          <w:szCs w:val="20"/>
          <w:color w:val="auto"/>
        </w:rPr>
      </w:pPr>
    </w:p>
    <w:p>
      <w:pPr>
        <w:ind w:firstLine="1293"/>
        <w:spacing w:after="0" w:line="242" w:lineRule="auto"/>
        <w:rPr>
          <w:sz w:val="20"/>
          <w:szCs w:val="20"/>
          <w:color w:val="auto"/>
        </w:rPr>
      </w:pPr>
      <w:r>
        <w:rPr>
          <w:rFonts w:ascii="Times New Roman" w:cs="Times New Roman" w:eastAsia="Times New Roman" w:hAnsi="Times New Roman"/>
          <w:sz w:val="20"/>
          <w:szCs w:val="20"/>
          <w:color w:val="auto"/>
        </w:rPr>
        <w:t>In the event that during any Plan Year the Company terminates a Participant’s employment due to the Participant’s Disability (as defined in the 2016 Compensation Plan) or death or a Participant Retires (upon reaching Full Retirement age as defined by Social Security), the Company shall pay the Participant a pro rata portion (based upon the number of days the Participant was employed by the Company during the Plan Year as compared to the total number of days in the Plan Year ) of the Bonus Award otherwise payable under the Incentive Plan for the Plan Year in which the Participant’s employment terminates (which for the avoidance of doubt includes any adjustments required under paragraph II F). The amount of this pro rata Bonus Award shall be determined based on the level of achievement of the applicable performance criteria through the last day of the full fiscal month preceding Participant’s termination measured against the performance criteria set for the Plan Year. Any amount payable under this paragraph II G shall be paid as soon as reasonably practicable following the Participant’s termination of employment, but in any event no later sixty (60) days following the Participant’s termination. Additionally, a Participant who has been terminated for any other reason who is entitled to a bonus pursuant to paragraph II A will be paid a pro-rated bonus in accordance with this paragraph as though the termination was due to Disability, death or Retirement.</w:t>
      </w:r>
    </w:p>
    <w:p>
      <w:pPr>
        <w:spacing w:after="0" w:line="20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III.</w:t>
      </w:r>
      <w:r>
        <w:rPr>
          <w:sz w:val="20"/>
          <w:szCs w:val="20"/>
          <w:color w:val="auto"/>
        </w:rPr>
        <w:tab/>
      </w:r>
      <w:r>
        <w:rPr>
          <w:rFonts w:ascii="Times New Roman" w:cs="Times New Roman" w:eastAsia="Times New Roman" w:hAnsi="Times New Roman"/>
          <w:sz w:val="19"/>
          <w:szCs w:val="19"/>
          <w:b w:val="1"/>
          <w:bCs w:val="1"/>
          <w:color w:val="auto"/>
        </w:rPr>
        <w:t>THE INCENTIVE PLAN</w:t>
      </w:r>
    </w:p>
    <w:p>
      <w:pPr>
        <w:spacing w:after="0" w:line="71" w:lineRule="exact"/>
        <w:rPr>
          <w:sz w:val="20"/>
          <w:szCs w:val="20"/>
          <w:color w:val="auto"/>
        </w:rPr>
      </w:pPr>
    </w:p>
    <w:p>
      <w:pPr>
        <w:ind w:right="20" w:firstLine="1308"/>
        <w:spacing w:after="0" w:line="242" w:lineRule="auto"/>
        <w:rPr>
          <w:sz w:val="20"/>
          <w:szCs w:val="20"/>
          <w:color w:val="auto"/>
        </w:rPr>
      </w:pPr>
      <w:r>
        <w:rPr>
          <w:rFonts w:ascii="Times New Roman" w:cs="Times New Roman" w:eastAsia="Times New Roman" w:hAnsi="Times New Roman"/>
          <w:sz w:val="20"/>
          <w:szCs w:val="20"/>
          <w:color w:val="auto"/>
        </w:rPr>
        <w:t>Within 90 days after the beginning of each Plan Year, the Compensation Committee will establish specific performance criteria that must be met in order for the Bonus Awards to be payable. Such criteria may be based on Company, business unit and/or individual Participant performance. At the time that the performance criteria is set, the Compensation Committee may determine that special matters shall be considered or excluded, and except as otherwise specified by the Compensation Committee at the time the goals are set, the Compensation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The performance criteria may be based on one or more of the following measures which include but are not limited to: EBITDA, adjusted EBITDA, sales, earnings per share, return on net assets, return on equity, operating margin dollars, operating margin percent, gross margin dollars, gross margin percent, liquidity metrics, and/or customer counts and/or service levels and/or a combination of the above or similar measures relating to the business or individual.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21"/>
          <w:szCs w:val="21"/>
          <w:color w:val="auto"/>
        </w:rPr>
        <w:t>Exhibit 10.1</w:t>
      </w:r>
    </w:p>
    <w:p>
      <w:pPr>
        <w:spacing w:after="0" w:line="74" w:lineRule="exact"/>
        <w:rPr>
          <w:sz w:val="20"/>
          <w:szCs w:val="20"/>
          <w:color w:val="auto"/>
        </w:rPr>
      </w:pPr>
    </w:p>
    <w:p>
      <w:pPr>
        <w:ind w:right="20" w:firstLine="1293"/>
        <w:spacing w:after="0" w:line="244" w:lineRule="auto"/>
        <w:rPr>
          <w:sz w:val="20"/>
          <w:szCs w:val="20"/>
          <w:color w:val="auto"/>
        </w:rPr>
      </w:pPr>
      <w:r>
        <w:rPr>
          <w:rFonts w:ascii="Times New Roman" w:cs="Times New Roman" w:eastAsia="Times New Roman" w:hAnsi="Times New Roman"/>
          <w:sz w:val="20"/>
          <w:szCs w:val="20"/>
          <w:color w:val="auto"/>
        </w:rPr>
        <w:t>For each Plan Year, the Bonus Award will be based upon the level of satisfaction of the performance criteria selected by the Compensation Committee for that Plan Year. A specified percentage of the Bonus Award will be paid, dependent upon the performance as measured against the Company, business unit and/or individual performance criteria. The Compensation Committee may establish a threshold goal (which if not achieved will result in no Bonus Awards being payable), target and maximum goals for each Participant. The performance criteria and targets used may vary from one Participant to another in the sole discretion of the Compensation Committee. Bonus Awards are limited to 150% (or such higher percentage as determined by the Compensation Committee) of a Participant’s Target Award (as defined below). Bonus Awards are subject to adjustment as provided under the 2016 Compensation Plan.</w:t>
      </w:r>
    </w:p>
    <w:p>
      <w:pPr>
        <w:spacing w:after="0" w:line="196"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PAYMENT CALCULATIONS</w:t>
      </w:r>
    </w:p>
    <w:p>
      <w:pPr>
        <w:spacing w:after="0" w:line="85" w:lineRule="exact"/>
        <w:rPr>
          <w:sz w:val="20"/>
          <w:szCs w:val="20"/>
          <w:color w:val="auto"/>
        </w:rPr>
      </w:pPr>
    </w:p>
    <w:p>
      <w:pPr>
        <w:ind w:right="140" w:firstLine="1293"/>
        <w:spacing w:after="0" w:line="259" w:lineRule="auto"/>
        <w:rPr>
          <w:sz w:val="20"/>
          <w:szCs w:val="20"/>
          <w:color w:val="auto"/>
        </w:rPr>
      </w:pPr>
      <w:r>
        <w:rPr>
          <w:rFonts w:ascii="Times New Roman" w:cs="Times New Roman" w:eastAsia="Times New Roman" w:hAnsi="Times New Roman"/>
          <w:sz w:val="19"/>
          <w:szCs w:val="19"/>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Company new hires who are eligible to participate in the Incentive Plan or those becoming eligible to participate in the Incentive Plan for a portion of the fiscal year will receive a prorated Bonus Award based upon the period of time they are eligible. In order to be eligible to participate, a newly hired or promoted employee must commence work or be promoted, as applicable, effective prior to the first day of the Company’s fourth fiscal quarter. The percentages for the Target Award will be approved by the Compensation Committee based upon the Participant’s job level and responsibilities and may vary for different officers and/or business units.</w:t>
      </w:r>
    </w:p>
    <w:p>
      <w:pPr>
        <w:spacing w:after="0" w:line="119" w:lineRule="exact"/>
        <w:rPr>
          <w:sz w:val="20"/>
          <w:szCs w:val="20"/>
          <w:color w:val="auto"/>
        </w:rPr>
      </w:pPr>
    </w:p>
    <w:p>
      <w:pPr>
        <w:jc w:val="both"/>
        <w:ind w:right="20" w:firstLine="1293"/>
        <w:spacing w:after="0" w:line="274" w:lineRule="auto"/>
        <w:rPr>
          <w:sz w:val="20"/>
          <w:szCs w:val="20"/>
          <w:color w:val="auto"/>
        </w:rPr>
      </w:pPr>
      <w:r>
        <w:rPr>
          <w:rFonts w:ascii="Times New Roman" w:cs="Times New Roman" w:eastAsia="Times New Roman" w:hAnsi="Times New Roman"/>
          <w:sz w:val="19"/>
          <w:szCs w:val="19"/>
          <w:color w:val="auto"/>
        </w:rPr>
        <w:t>At the end of the Plan Year, the Compensation Committee shall determine the amount, if any, to be paid to each Participant and shall authorize Company to pay the Participant the amount so determined and on a date to be determined by the Compensation Committee in its sole discretion in accordance with the Incentive Plan. Bonuses will not be considered to be earned and/or payable until the date they are paid.</w:t>
      </w:r>
    </w:p>
    <w:p>
      <w:pPr>
        <w:spacing w:after="0" w:line="103" w:lineRule="exact"/>
        <w:rPr>
          <w:sz w:val="20"/>
          <w:szCs w:val="20"/>
          <w:color w:val="auto"/>
        </w:rPr>
      </w:pPr>
    </w:p>
    <w:p>
      <w:pPr>
        <w:jc w:val="both"/>
        <w:ind w:right="20" w:firstLine="1293"/>
        <w:spacing w:after="0" w:line="269" w:lineRule="auto"/>
        <w:rPr>
          <w:sz w:val="20"/>
          <w:szCs w:val="20"/>
          <w:color w:val="auto"/>
        </w:rPr>
      </w:pPr>
      <w:r>
        <w:rPr>
          <w:rFonts w:ascii="Times New Roman" w:cs="Times New Roman" w:eastAsia="Times New Roman" w:hAnsi="Times New Roman"/>
          <w:sz w:val="20"/>
          <w:szCs w:val="20"/>
          <w:color w:val="auto"/>
        </w:rPr>
        <w:t>Any Bonus Awards checks will be distributed after the end of the applicable Plan Year, but not more than 90 days following the end of such Plan Year.</w:t>
      </w:r>
    </w:p>
    <w:p>
      <w:pPr>
        <w:spacing w:after="0" w:line="169"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ADMINISTRATION</w:t>
      </w:r>
    </w:p>
    <w:p>
      <w:pPr>
        <w:spacing w:after="0" w:line="233" w:lineRule="exact"/>
        <w:rPr>
          <w:sz w:val="20"/>
          <w:szCs w:val="20"/>
          <w:color w:val="auto"/>
        </w:rPr>
      </w:pPr>
    </w:p>
    <w:p>
      <w:pPr>
        <w:ind w:left="1480" w:hanging="567"/>
        <w:spacing w:after="0"/>
        <w:tabs>
          <w:tab w:leader="none" w:pos="14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ADMINISTRATION</w:t>
      </w:r>
    </w:p>
    <w:p>
      <w:pPr>
        <w:spacing w:after="0" w:line="67" w:lineRule="exact"/>
        <w:rPr>
          <w:sz w:val="20"/>
          <w:szCs w:val="20"/>
          <w:color w:val="auto"/>
        </w:rPr>
      </w:pPr>
    </w:p>
    <w:p>
      <w:pPr>
        <w:ind w:right="140" w:firstLine="1293"/>
        <w:spacing w:after="0" w:line="249" w:lineRule="auto"/>
        <w:rPr>
          <w:sz w:val="20"/>
          <w:szCs w:val="20"/>
          <w:color w:val="auto"/>
        </w:rPr>
      </w:pPr>
      <w:r>
        <w:rPr>
          <w:rFonts w:ascii="Times New Roman" w:cs="Times New Roman" w:eastAsia="Times New Roman" w:hAnsi="Times New Roman"/>
          <w:sz w:val="20"/>
          <w:szCs w:val="20"/>
          <w:color w:val="auto"/>
        </w:rPr>
        <w:t>The Incentive Plan will be administered by the Compensation Committee. The Compensation Committee will have broad authority for determining target bonuses and selecting performance criteria, as described above; for adopting rules and regulations relating to the Incentive Plan; and for making decisions and interpretations regarding the provisions of the Incentive Plan, the satisfaction of performance criteria, any appropriate adjustments to Bonus Awards and the payment of Bonus Awards under the Incentive Plan.</w:t>
      </w:r>
    </w:p>
    <w:p>
      <w:pPr>
        <w:spacing w:after="0" w:line="194" w:lineRule="exact"/>
        <w:rPr>
          <w:sz w:val="20"/>
          <w:szCs w:val="20"/>
          <w:color w:val="auto"/>
        </w:rPr>
      </w:pPr>
    </w:p>
    <w:p>
      <w:pPr>
        <w:ind w:left="1480" w:hanging="567"/>
        <w:spacing w:after="0"/>
        <w:tabs>
          <w:tab w:leader="none" w:pos="14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AT WILL</w:t>
      </w:r>
    </w:p>
    <w:p>
      <w:pPr>
        <w:spacing w:after="0" w:line="67" w:lineRule="exact"/>
        <w:rPr>
          <w:sz w:val="20"/>
          <w:szCs w:val="20"/>
          <w:color w:val="auto"/>
        </w:rPr>
      </w:pPr>
    </w:p>
    <w:p>
      <w:pPr>
        <w:ind w:right="260" w:firstLine="1293"/>
        <w:spacing w:after="0" w:line="269" w:lineRule="auto"/>
        <w:rPr>
          <w:sz w:val="20"/>
          <w:szCs w:val="20"/>
          <w:color w:val="auto"/>
        </w:rPr>
      </w:pPr>
      <w:r>
        <w:rPr>
          <w:rFonts w:ascii="Times New Roman" w:cs="Times New Roman" w:eastAsia="Times New Roman" w:hAnsi="Times New Roman"/>
          <w:sz w:val="20"/>
          <w:szCs w:val="20"/>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pacing w:after="0" w:line="173" w:lineRule="exact"/>
        <w:rPr>
          <w:sz w:val="20"/>
          <w:szCs w:val="20"/>
          <w:color w:val="auto"/>
        </w:rPr>
      </w:pPr>
    </w:p>
    <w:p>
      <w:pPr>
        <w:ind w:left="1480" w:hanging="567"/>
        <w:spacing w:after="0"/>
        <w:tabs>
          <w:tab w:leader="none" w:pos="1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 PROVISIONS (AMENDMENTS AND TERMINATION)</w:t>
      </w:r>
    </w:p>
    <w:p>
      <w:pPr>
        <w:spacing w:after="0" w:line="81" w:lineRule="exact"/>
        <w:rPr>
          <w:sz w:val="20"/>
          <w:szCs w:val="20"/>
          <w:color w:val="auto"/>
        </w:rPr>
      </w:pPr>
    </w:p>
    <w:p>
      <w:pPr>
        <w:ind w:right="40" w:firstLine="1293"/>
        <w:spacing w:after="0" w:line="269" w:lineRule="auto"/>
        <w:rPr>
          <w:sz w:val="20"/>
          <w:szCs w:val="20"/>
          <w:color w:val="auto"/>
        </w:rPr>
      </w:pPr>
      <w:r>
        <w:rPr>
          <w:rFonts w:ascii="Times New Roman" w:cs="Times New Roman" w:eastAsia="Times New Roman" w:hAnsi="Times New Roman"/>
          <w:sz w:val="20"/>
          <w:szCs w:val="20"/>
          <w:color w:val="auto"/>
        </w:rPr>
        <w:t>Unless otherwise required by applicable law, Bonus Awards are not earned or vested or payable until actual payments are made and the Company reserves the right at any time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0360"/>
        <w:spacing w:after="0"/>
        <w:rPr>
          <w:sz w:val="20"/>
          <w:szCs w:val="20"/>
          <w:color w:val="auto"/>
        </w:rPr>
      </w:pPr>
      <w:r>
        <w:rPr>
          <w:rFonts w:ascii="Times New Roman" w:cs="Times New Roman" w:eastAsia="Times New Roman" w:hAnsi="Times New Roman"/>
          <w:sz w:val="21"/>
          <w:szCs w:val="21"/>
          <w:color w:val="auto"/>
        </w:rPr>
        <w:t>Exhibit 10.1</w:t>
      </w:r>
    </w:p>
    <w:p>
      <w:pPr>
        <w:spacing w:after="0" w:line="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actual payment of Bonus Awards to amend, terminate and/or discontinue the Incentive Plan in whole or in part whenever the Board of Directors or the Compensation Committee of the Company determines that it is necessary or appropriate.</w:t>
      </w:r>
    </w:p>
    <w:p>
      <w:pPr>
        <w:spacing w:after="0" w:line="106" w:lineRule="exact"/>
        <w:rPr>
          <w:sz w:val="20"/>
          <w:szCs w:val="20"/>
          <w:color w:val="auto"/>
        </w:rPr>
      </w:pPr>
    </w:p>
    <w:p>
      <w:pPr>
        <w:jc w:val="both"/>
        <w:ind w:right="120" w:firstLine="1293"/>
        <w:spacing w:after="0" w:line="254" w:lineRule="auto"/>
        <w:rPr>
          <w:sz w:val="20"/>
          <w:szCs w:val="20"/>
          <w:color w:val="auto"/>
        </w:rPr>
      </w:pPr>
      <w:r>
        <w:rPr>
          <w:rFonts w:ascii="Times New Roman" w:cs="Times New Roman" w:eastAsia="Times New Roman" w:hAnsi="Times New Roman"/>
          <w:sz w:val="20"/>
          <w:szCs w:val="20"/>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188" w:lineRule="exact"/>
        <w:rPr>
          <w:sz w:val="20"/>
          <w:szCs w:val="20"/>
          <w:color w:val="auto"/>
        </w:rPr>
      </w:pPr>
    </w:p>
    <w:p>
      <w:pPr>
        <w:ind w:left="1480" w:hanging="567"/>
        <w:spacing w:after="0"/>
        <w:tabs>
          <w:tab w:leader="none" w:pos="14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ARE NON-ASSIGNABLE</w:t>
      </w:r>
    </w:p>
    <w:p>
      <w:pPr>
        <w:spacing w:after="0" w:line="81" w:lineRule="exact"/>
        <w:rPr>
          <w:sz w:val="20"/>
          <w:szCs w:val="20"/>
          <w:color w:val="auto"/>
        </w:rPr>
      </w:pPr>
    </w:p>
    <w:p>
      <w:pPr>
        <w:ind w:right="360" w:firstLine="1293"/>
        <w:spacing w:after="0" w:line="269" w:lineRule="auto"/>
        <w:rPr>
          <w:sz w:val="20"/>
          <w:szCs w:val="20"/>
          <w:color w:val="auto"/>
        </w:rPr>
      </w:pPr>
      <w:r>
        <w:rPr>
          <w:rFonts w:ascii="Times New Roman" w:cs="Times New Roman" w:eastAsia="Times New Roman" w:hAnsi="Times New Roman"/>
          <w:sz w:val="20"/>
          <w:szCs w:val="20"/>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173" w:lineRule="exact"/>
        <w:rPr>
          <w:sz w:val="20"/>
          <w:szCs w:val="20"/>
          <w:color w:val="auto"/>
        </w:rPr>
      </w:pPr>
    </w:p>
    <w:p>
      <w:pPr>
        <w:ind w:left="1480" w:hanging="567"/>
        <w:spacing w:after="0"/>
        <w:tabs>
          <w:tab w:leader="none" w:pos="14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AND SECTION 409A</w:t>
      </w:r>
    </w:p>
    <w:p>
      <w:pPr>
        <w:spacing w:after="0" w:line="67" w:lineRule="exact"/>
        <w:rPr>
          <w:sz w:val="20"/>
          <w:szCs w:val="20"/>
          <w:color w:val="auto"/>
        </w:rPr>
      </w:pPr>
    </w:p>
    <w:p>
      <w:pPr>
        <w:ind w:right="20" w:firstLine="1293"/>
        <w:spacing w:after="0" w:line="254" w:lineRule="auto"/>
        <w:rPr>
          <w:sz w:val="20"/>
          <w:szCs w:val="20"/>
          <w:color w:val="auto"/>
        </w:rPr>
      </w:pPr>
      <w:r>
        <w:rPr>
          <w:rFonts w:ascii="Times New Roman" w:cs="Times New Roman" w:eastAsia="Times New Roman" w:hAnsi="Times New Roman"/>
          <w:sz w:val="20"/>
          <w:szCs w:val="20"/>
          <w:color w:val="auto"/>
        </w:rPr>
        <w:t>All required deductions will be withheld from the Bonus Awards prior to distribution. This includes federal, state or local taxes. The provisions of Section 8(e) of the 2016 Compensation Plan shall apply to any Bonus Award that is or may potentially be subject to the requirements of Section 409A of the Internal Revenue Code.</w:t>
      </w:r>
    </w:p>
    <w:p>
      <w:pPr>
        <w:spacing w:after="0" w:line="188" w:lineRule="exact"/>
        <w:rPr>
          <w:sz w:val="20"/>
          <w:szCs w:val="20"/>
          <w:color w:val="auto"/>
        </w:rPr>
      </w:pPr>
    </w:p>
    <w:p>
      <w:pPr>
        <w:ind w:left="1480" w:hanging="567"/>
        <w:spacing w:after="0"/>
        <w:tabs>
          <w:tab w:leader="none" w:pos="14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AGREEMENTS</w:t>
      </w:r>
    </w:p>
    <w:p>
      <w:pPr>
        <w:spacing w:after="0" w:line="67" w:lineRule="exact"/>
        <w:rPr>
          <w:sz w:val="20"/>
          <w:szCs w:val="20"/>
          <w:color w:val="auto"/>
        </w:rPr>
      </w:pPr>
    </w:p>
    <w:p>
      <w:pPr>
        <w:ind w:right="220" w:firstLine="1293"/>
        <w:spacing w:after="0" w:line="254" w:lineRule="auto"/>
        <w:rPr>
          <w:sz w:val="20"/>
          <w:szCs w:val="20"/>
          <w:color w:val="auto"/>
        </w:rPr>
      </w:pPr>
      <w:r>
        <w:rPr>
          <w:rFonts w:ascii="Times New Roman" w:cs="Times New Roman" w:eastAsia="Times New Roman" w:hAnsi="Times New Roman"/>
          <w:sz w:val="20"/>
          <w:szCs w:val="20"/>
          <w:color w:val="auto"/>
        </w:rPr>
        <w:t>If a Participant has an employment agreement which references an annual incentive plan bonus, this Incentive Plan describes how such bonus will be determined and paid. To the extent there is any conflict between the language of an employment agreement and this Plan, the language in the Incentive Plan and the 2016 Compensation Plan shall govern.</w:t>
      </w:r>
    </w:p>
    <w:p>
      <w:pPr>
        <w:spacing w:after="0" w:line="188" w:lineRule="exact"/>
        <w:rPr>
          <w:sz w:val="20"/>
          <w:szCs w:val="20"/>
          <w:color w:val="auto"/>
        </w:rPr>
      </w:pPr>
    </w:p>
    <w:p>
      <w:pPr>
        <w:ind w:left="1480" w:hanging="567"/>
        <w:spacing w:after="0"/>
        <w:tabs>
          <w:tab w:leader="none" w:pos="14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DATE</w:t>
      </w:r>
    </w:p>
    <w:p>
      <w:pPr>
        <w:spacing w:after="0" w:line="8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The effective date of this Fourth Amended and Restated Annual Incentive Plan shall be February 3, 2019.</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9"/>
    </w:lvl>
  </w:abstractNum>
  <w:abstractNum w:abstractNumId="3">
    <w:nsid w:val="1190CDE7"/>
    <w:multiLevelType w:val="hybridMultilevel"/>
    <w:lvl w:ilvl="0">
      <w:lvlJc w:val="left"/>
      <w:lvlText w:val="%1."/>
      <w:numFmt w:val="upperLetter"/>
      <w:start w:val="35"/>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1."/>
      <w:numFmt w:val="upperLetter"/>
      <w:start w:val="2"/>
    </w:lvl>
  </w:abstractNum>
  <w:abstractNum w:abstractNumId="6">
    <w:nsid w:val="3352255A"/>
    <w:multiLevelType w:val="hybridMultilevel"/>
    <w:lvl w:ilvl="0">
      <w:lvlJc w:val="left"/>
      <w:lvlText w:val="%1."/>
      <w:numFmt w:val="upperLetter"/>
      <w:start w:val="3"/>
    </w:lvl>
  </w:abstractNum>
  <w:abstractNum w:abstractNumId="7">
    <w:nsid w:val="109CF92E"/>
    <w:multiLevelType w:val="hybridMultilevel"/>
    <w:lvl w:ilvl="0">
      <w:lvlJc w:val="left"/>
      <w:lvlText w:val="%1."/>
      <w:numFmt w:val="upperLetter"/>
      <w:start w:val="4"/>
    </w:lvl>
  </w:abstractNum>
  <w:abstractNum w:abstractNumId="8">
    <w:nsid w:val="DED7263"/>
    <w:multiLevelType w:val="hybridMultilevel"/>
    <w:lvl w:ilvl="0">
      <w:lvlJc w:val="left"/>
      <w:lvlText w:val="%1."/>
      <w:numFmt w:val="upperLetter"/>
      <w:start w:val="5"/>
    </w:lvl>
  </w:abstractNum>
  <w:abstractNum w:abstractNumId="9">
    <w:nsid w:val="7FDCC233"/>
    <w:multiLevelType w:val="hybridMultilevel"/>
    <w:lvl w:ilvl="0">
      <w:lvlJc w:val="left"/>
      <w:lvlText w:val="%1."/>
      <w:numFmt w:val="upperLetter"/>
      <w:start w:val="6"/>
    </w:lvl>
  </w:abstractNum>
  <w:abstractNum w:abstractNumId="10">
    <w:nsid w:val="1BEFD79F"/>
    <w:multiLevelType w:val="hybridMultilevel"/>
    <w:lvl w:ilvl="0">
      <w:lvlJc w:val="left"/>
      <w:lvlText w:val="%1."/>
      <w:numFmt w:val="upperLetter"/>
      <w:start w:val="7"/>
    </w:lvl>
  </w:abstractNum>
  <w:abstractNum w:abstractNumId="11">
    <w:nsid w:val="41A7C4C9"/>
    <w:multiLevelType w:val="hybridMultilevel"/>
    <w:lvl w:ilvl="0">
      <w:lvlJc w:val="left"/>
      <w:lvlText w:val="%1."/>
      <w:numFmt w:val="upperLetter"/>
      <w:start w:val="22"/>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1."/>
      <w:numFmt w:val="upperLetter"/>
      <w:start w:val="2"/>
    </w:lvl>
  </w:abstractNum>
  <w:abstractNum w:abstractNumId="14">
    <w:nsid w:val="25E45D32"/>
    <w:multiLevelType w:val="hybridMultilevel"/>
    <w:lvl w:ilvl="0">
      <w:lvlJc w:val="left"/>
      <w:lvlText w:val="%1."/>
      <w:numFmt w:val="upperLetter"/>
      <w:start w:val="3"/>
    </w:lvl>
  </w:abstractNum>
  <w:abstractNum w:abstractNumId="15">
    <w:nsid w:val="519B500D"/>
    <w:multiLevelType w:val="hybridMultilevel"/>
    <w:lvl w:ilvl="0">
      <w:lvlJc w:val="left"/>
      <w:lvlText w:val="%1."/>
      <w:numFmt w:val="upperLetter"/>
      <w:start w:val="4"/>
    </w:lvl>
  </w:abstractNum>
  <w:abstractNum w:abstractNumId="16">
    <w:nsid w:val="431BD7B7"/>
    <w:multiLevelType w:val="hybridMultilevel"/>
    <w:lvl w:ilvl="0">
      <w:lvlJc w:val="left"/>
      <w:lvlText w:val="%1."/>
      <w:numFmt w:val="upperLetter"/>
      <w:start w:val="5"/>
    </w:lvl>
  </w:abstractNum>
  <w:abstractNum w:abstractNumId="17">
    <w:nsid w:val="3F2DBA31"/>
    <w:multiLevelType w:val="hybridMultilevel"/>
    <w:lvl w:ilvl="0">
      <w:lvlJc w:val="left"/>
      <w:lvlText w:val="%1."/>
      <w:numFmt w:val="upperLetter"/>
      <w:start w:val="6"/>
    </w:lvl>
  </w:abstractNum>
  <w:abstractNum w:abstractNumId="18">
    <w:nsid w:val="7C83E458"/>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2019-12-28T13:06:41Z</dcterms:created>
  <dcterms:modified xsi:type="dcterms:W3CDTF">2019-12-28T13:06:41Z</dcterms:modified>
</cp:coreProperties>
</file>