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AMENDMENT NO. 3 TO</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Destination XL Group,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Zodiac Partners II, LLC</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of Filing Person (Offeror))</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Camac Fund, LP</w:t>
      </w:r>
    </w:p>
    <w:p>
      <w:pPr>
        <w:spacing w:after="0" w:line="4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of Filing Person (Parent of Offeror))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Craig Rosmarin</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1601-1 N Main St #3159, SMB#92283, Jacksonville, FL 32206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(917) 692-1844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Name, Address and Telephone Number of Person Authorized to Receive Notices and Communications on</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Behalf of Filing Persons)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Donald R. Reynolds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Wyrick Robbins Yates &amp; Ponton LLP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4101 Lake Boone Trail, Suite 300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Raleigh, NC 27607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(919) 781-4000</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the box if the filing relates solely to preliminary communications made before the commencement of a tender offer.</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3 to Tender Offer Statement on Schedule TO (this “Schedule TO”) is filed by Camac Fund, LP, a Delaware limited partnership (“Camac Fund”), and Zodiac Partners II, LLC, a Delaware limited liability company (the “Purchaser”, “Zodiac Partners II, LLC”) and an acquisition entity of Camac Fund. This Schedule TO relates to the offer by the Purchaser to purchase all outstanding shares of common stock, par value $0.01 per share (the “Shares”), of Destination XL Group, Inc., a Delaware corporation (“DXL”), at $0.82 per Share, to the seller in cash, without interest and less any required withholding taxes, upon the terms and subject to the conditions set forth in the Offer to Purchase, originally dated May 12, 2026 (the “Offer to Purchase”), and in the accompanying Letter of Transmittal, copies of which are attached hereto as Exhibits (a)(1)(A) and (a)(1)(B), respectively, which, together with any amendments or supplements thereto, collectively constitute the “Offer”.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Summary Term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Subject Company Information.</w:t>
      </w:r>
    </w:p>
    <w:p>
      <w:pPr>
        <w:spacing w:after="0" w:line="229" w:lineRule="exact"/>
        <w:rPr>
          <w:sz w:val="20"/>
          <w:szCs w:val="20"/>
          <w:color w:val="auto"/>
        </w:rPr>
      </w:pPr>
    </w:p>
    <w:p>
      <w:pPr>
        <w:ind w:left="980" w:hanging="97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telephone number of the subject company’s principal executive offices are as follows: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Destination XL Group, Inc.</w:t>
      </w:r>
    </w:p>
    <w:p>
      <w:pPr>
        <w:spacing w:after="0" w:line="27" w:lineRule="exact"/>
        <w:rPr>
          <w:rFonts w:ascii="Times New Roman" w:cs="Times New Roman" w:eastAsia="Times New Roman" w:hAnsi="Times New Roman"/>
          <w:sz w:val="18"/>
          <w:szCs w:val="18"/>
          <w:color w:val="auto"/>
        </w:rPr>
      </w:pPr>
    </w:p>
    <w:p>
      <w:pPr>
        <w:jc w:val="both"/>
        <w:ind w:left="980" w:right="88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555 Turnpike Street Canton, MA 02021</w:t>
      </w:r>
    </w:p>
    <w:p>
      <w:pPr>
        <w:spacing w:after="0" w:line="157" w:lineRule="exact"/>
        <w:rPr>
          <w:rFonts w:ascii="Times New Roman" w:cs="Times New Roman" w:eastAsia="Times New Roman" w:hAnsi="Times New Roman"/>
          <w:sz w:val="18"/>
          <w:szCs w:val="18"/>
          <w:color w:val="auto"/>
        </w:rPr>
      </w:pPr>
    </w:p>
    <w:p>
      <w:pPr>
        <w:jc w:val="both"/>
        <w:ind w:left="980" w:hanging="972"/>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w:t>
      </w:r>
    </w:p>
    <w:p>
      <w:pPr>
        <w:spacing w:after="0" w:line="183"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under the caption THE OFFER - Section 6 (“Price Range of Shares; Dividends”) and Section 11 (“Background of the Offer”) of the Offer to Purchase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Identity and Background of Filing Person.</w:t>
      </w:r>
    </w:p>
    <w:p>
      <w:pPr>
        <w:spacing w:after="0" w:line="229" w:lineRule="exact"/>
        <w:rPr>
          <w:sz w:val="20"/>
          <w:szCs w:val="20"/>
          <w:color w:val="auto"/>
        </w:rPr>
      </w:pPr>
    </w:p>
    <w:p>
      <w:pPr>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8"/>
          <w:szCs w:val="18"/>
          <w:color w:val="auto"/>
        </w:rPr>
        <w:t>The filing companies of this Schedule TO are (i) Camac Fund LP, and (ii) the Purchaser, Zodiac Partners II, LLC. The information set forth in the Offer to Purchase under the following captions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9 (“Certain Information Concerning the Purchaser, Zodiac Partners II, LLC, and Camac Fund, LP”) and Schedule I attached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4. Terms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(a)(1)(i)-(viii), (x), (xii), (a)(2) The information set forth in the Offer to Purchase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Subsections (a)(1)(ix) and (xi) are 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Past Contacts, Transactions, Negotiations and Agreements.</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(b)</w:t>
      </w:r>
      <w:r>
        <w:rPr>
          <w:sz w:val="20"/>
          <w:szCs w:val="20"/>
          <w:color w:val="auto"/>
        </w:rPr>
        <w:tab/>
      </w: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40"/>
        <w:spacing w:after="0" w:line="609" w:lineRule="auto"/>
        <w:rPr>
          <w:sz w:val="20"/>
          <w:szCs w:val="20"/>
          <w:color w:val="auto"/>
        </w:rPr>
      </w:pPr>
      <w:r>
        <w:rPr>
          <w:rFonts w:ascii="Times New Roman" w:cs="Times New Roman" w:eastAsia="Times New Roman" w:hAnsi="Times New Roman"/>
          <w:sz w:val="18"/>
          <w:szCs w:val="18"/>
          <w:color w:val="auto"/>
        </w:rPr>
        <w:t>THE OFFER - Section 9 (“Certain Information Concerning the Purchaser, Zodiac Partners II, LLC, and Camac Fund, LP”) and Schedule I attached thereto THE OFFER - Section 10 (“Source and Amount of Funds”) and Schedule I attached thereto THE OFFER - Section 11 (“Background of the Offer”)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(“Purpose of the Offer and the Proposed Merger; Plans for DXL; Statutory Requirements; Approval of the Proposed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Purposes of the Transaction and Plans or Proposals.</w:t>
      </w:r>
    </w:p>
    <w:p>
      <w:pPr>
        <w:spacing w:after="0" w:line="229" w:lineRule="exact"/>
        <w:rPr>
          <w:sz w:val="20"/>
          <w:szCs w:val="20"/>
          <w:color w:val="auto"/>
        </w:rPr>
      </w:pPr>
    </w:p>
    <w:p>
      <w:pPr>
        <w:ind w:left="980" w:hanging="97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ind w:right="9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INTRODUCTION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12 (“Purpose of the Offer and the Proposed Merger; Plans for DXL; Statutory Requirements; Approval of the Proposed Merger”)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ind w:right="9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INTRODUCTION</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 - Section 7 (“Possible Effects of the Offer on the Market for the Shares; Stock Exchange Listing; Registration Under the Exchange Act; Margin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11 (“Background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13 (“Dividends and Distributions”)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 Source and Amount of Funds or Other Consideration.</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(b), (d)</w:t>
      </w:r>
      <w:r>
        <w:rPr>
          <w:sz w:val="20"/>
          <w:szCs w:val="20"/>
          <w:color w:val="auto"/>
        </w:rPr>
        <w:tab/>
      </w: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10 (“Source and Amount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17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Item 8. Interest in Securities of the Subject Company.</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(b)</w:t>
      </w:r>
      <w:r>
        <w:rPr>
          <w:sz w:val="20"/>
          <w:szCs w:val="20"/>
          <w:color w:val="auto"/>
        </w:rPr>
        <w:tab/>
      </w: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25" w:lineRule="exact"/>
        <w:rPr>
          <w:sz w:val="20"/>
          <w:szCs w:val="20"/>
          <w:color w:val="auto"/>
        </w:rPr>
      </w:pPr>
    </w:p>
    <w:p>
      <w:pPr>
        <w:ind w:right="40"/>
        <w:spacing w:after="0" w:line="498" w:lineRule="auto"/>
        <w:rPr>
          <w:sz w:val="20"/>
          <w:szCs w:val="20"/>
          <w:color w:val="auto"/>
        </w:rPr>
      </w:pPr>
      <w:r>
        <w:rPr>
          <w:rFonts w:ascii="Times New Roman" w:cs="Times New Roman" w:eastAsia="Times New Roman" w:hAnsi="Times New Roman"/>
          <w:sz w:val="18"/>
          <w:szCs w:val="18"/>
          <w:color w:val="auto"/>
        </w:rPr>
        <w:t>THE OFFER - Section 9 (“Certain Information Concerning the Purchaser, Zodiac Partners II, LLC, and Camac Fund, LP”) and Schedule I attached thereto THE OFFER - Section 11 (“Background of the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Persons/Assets, Retained, Employed, Compensated or Used.</w:t>
      </w:r>
    </w:p>
    <w:p>
      <w:pPr>
        <w:spacing w:after="0" w:line="229" w:lineRule="exact"/>
        <w:rPr>
          <w:sz w:val="20"/>
          <w:szCs w:val="20"/>
          <w:color w:val="auto"/>
        </w:rPr>
      </w:pPr>
    </w:p>
    <w:p>
      <w:pPr>
        <w:ind w:left="980" w:hanging="97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right="55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2 (“Acceptance for Payment and Payment for Shares”) THE OFFER - Section 3 (“Procedure for Tendering Shares”)</w:t>
      </w:r>
    </w:p>
    <w:p>
      <w:pPr>
        <w:spacing w:after="0" w:line="1" w:lineRule="exact"/>
        <w:rPr>
          <w:rFonts w:ascii="Times New Roman" w:cs="Times New Roman" w:eastAsia="Times New Roman" w:hAnsi="Times New Roman"/>
          <w:sz w:val="18"/>
          <w:szCs w:val="18"/>
          <w:color w:val="auto"/>
        </w:rPr>
      </w:pPr>
    </w:p>
    <w:p>
      <w:pPr>
        <w:ind w:right="7260"/>
        <w:spacing w:after="0" w:line="5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OFFER - Section 11 (“Background of the Offer”) THE OFFER - Section 17 (“Fees and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Financial Statements.</w:t>
      </w:r>
    </w:p>
    <w:p>
      <w:pPr>
        <w:spacing w:after="0" w:line="229" w:lineRule="exact"/>
        <w:rPr>
          <w:sz w:val="20"/>
          <w:szCs w:val="20"/>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11. Additional Information.</w:t>
      </w:r>
    </w:p>
    <w:p>
      <w:pPr>
        <w:spacing w:after="0" w:line="229" w:lineRule="exact"/>
        <w:rPr>
          <w:sz w:val="20"/>
          <w:szCs w:val="20"/>
          <w:color w:val="auto"/>
        </w:rPr>
      </w:pPr>
    </w:p>
    <w:p>
      <w:pPr>
        <w:ind w:left="980" w:hanging="97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 - Section 7 (“Possible Effects of the Offer on the Market for the Shares; Stock Exchange Listing; Registration Under the Exchange Act; Margin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11 (“Background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(“Purpose of the Offer and the Proposed Merger; Plans for DXL; Statutory Requirements; Approval of the Proposed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14 (“Conditions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15 (“Certain Legal Matters; Regulatory Approvals; Appraisal Rights”)</w:t>
      </w:r>
    </w:p>
    <w:p>
      <w:pPr>
        <w:spacing w:after="0" w:line="225" w:lineRule="exact"/>
        <w:rPr>
          <w:sz w:val="20"/>
          <w:szCs w:val="20"/>
          <w:color w:val="auto"/>
        </w:rPr>
      </w:pPr>
    </w:p>
    <w:p>
      <w:pPr>
        <w:ind w:left="980" w:hanging="97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and the Letter of Transmittal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(a)(1)(A)</w:t>
            </w:r>
          </w:p>
        </w:tc>
        <w:tc>
          <w:tcPr>
            <w:tcW w:w="1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 </w:t>
            </w:r>
          </w:p>
        </w:tc>
        <w:tc>
          <w:tcPr>
            <w:tcW w:w="10080" w:type="dxa"/>
            <w:vAlign w:val="bottom"/>
            <w:gridSpan w:val="4"/>
            <w:shd w:val="clear" w:color="auto" w:fill="CCEEFF"/>
          </w:tcPr>
          <w:p>
            <w:pPr>
              <w:spacing w:after="0" w:line="169"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Amended Offer to Purchase, dated June 2, 2026.</w:t>
              </w:r>
            </w:hyperlink>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(a)(1)(B)</w:t>
            </w:r>
          </w:p>
        </w:tc>
        <w:tc>
          <w:tcPr>
            <w:tcW w:w="1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500" w:type="dxa"/>
            <w:vAlign w:val="bottom"/>
            <w:tcBorders>
              <w:top w:val="single" w:sz="8" w:color="0000EE"/>
            </w:tcBorders>
            <w:gridSpan w:val="2"/>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of Letter of Transmittal.</w:t>
              </w:r>
            </w:hyperlink>
          </w:p>
        </w:tc>
        <w:tc>
          <w:tcPr>
            <w:tcW w:w="6580" w:type="dxa"/>
            <w:vAlign w:val="bottom"/>
            <w:tcBorders>
              <w:top w:val="single" w:sz="8" w:color="CCEEFF"/>
            </w:tcBorders>
            <w:gridSpan w:val="2"/>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(a)(5)(A)</w:t>
            </w:r>
          </w:p>
        </w:tc>
        <w:tc>
          <w:tcPr>
            <w:tcW w:w="1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00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Press Release Issued by Zodiac Partners II, LLC on May 12, 2026.</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r>
    </w:tbl>
    <w:p>
      <w:pPr>
        <w:ind w:left="980" w:hanging="97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Equity Commitment Letter between Zodiac Partners II, LLC and Camac Fund LP, dated May 11,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980" w:hanging="97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Indicative $75 million Revolving Credit Facility Term Sheet (confidential treatment has been requested for certain portions of this exhibit).</w:t>
        </w:r>
      </w:hyperlink>
    </w:p>
    <w:p>
      <w:pPr>
        <w:spacing w:after="0" w:line="9" w:lineRule="exact"/>
        <w:rPr>
          <w:sz w:val="20"/>
          <w:szCs w:val="20"/>
          <w:color w:val="auto"/>
        </w:rPr>
      </w:pPr>
    </w:p>
    <w:p>
      <w:pPr>
        <w:ind w:left="1160" w:hanging="1152"/>
        <w:spacing w:after="0"/>
        <w:tabs>
          <w:tab w:leader="none" w:pos="1160" w:val="left"/>
        </w:tabs>
        <w:numPr>
          <w:ilvl w:val="0"/>
          <w:numId w:val="13"/>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Filing Fee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160" w:hanging="1152"/>
        <w:spacing w:after="0"/>
        <w:tabs>
          <w:tab w:leader="none" w:pos="1160" w:val="left"/>
        </w:tabs>
        <w:numPr>
          <w:ilvl w:val="0"/>
          <w:numId w:val="14"/>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Schedule I.</w:t>
        </w:r>
      </w:hyperlink>
    </w:p>
    <w:tbl>
      <w:tblPr>
        <w:tblLayout w:type="fixed"/>
        <w:tblInd w:w="0" w:type="dxa"/>
        <w:tblCellMar>
          <w:top w:w="0" w:type="dxa"/>
          <w:left w:w="0" w:type="dxa"/>
          <w:bottom w:w="0" w:type="dxa"/>
          <w:right w:w="0" w:type="dxa"/>
        </w:tblCellMar>
      </w:tblPr>
      <w:tr>
        <w:trPr>
          <w:trHeight w:val="203"/>
        </w:trPr>
        <w:tc>
          <w:tcPr>
            <w:tcW w:w="1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(a)(1)(F)</w:t>
            </w:r>
          </w:p>
        </w:tc>
        <w:tc>
          <w:tcPr>
            <w:tcW w:w="10080" w:type="dxa"/>
            <w:vAlign w:val="bottom"/>
            <w:gridSpan w:val="2"/>
            <w:shd w:val="clear" w:color="auto" w:fill="CCEEFF"/>
          </w:tcPr>
          <w:p>
            <w:pPr>
              <w:spacing w:after="0" w:line="203"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W-9 Guidelines.</w:t>
              </w:r>
            </w:hyperlink>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(a)(1)(E)</w:t>
            </w:r>
          </w:p>
        </w:tc>
        <w:tc>
          <w:tcPr>
            <w:tcW w:w="10080" w:type="dxa"/>
            <w:vAlign w:val="bottom"/>
            <w:gridSpan w:val="2"/>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Letter to Clients.</w:t>
              </w:r>
            </w:hyperlink>
          </w:p>
        </w:tc>
      </w:tr>
      <w:tr>
        <w:trPr>
          <w:trHeight w:val="20"/>
        </w:trPr>
        <w:tc>
          <w:tcPr>
            <w:tcW w:w="1160" w:type="dxa"/>
            <w:vAlign w:val="bottom"/>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bl>
    <w:p>
      <w:pPr>
        <w:spacing w:after="0" w:line="9" w:lineRule="exact"/>
        <w:rPr>
          <w:sz w:val="20"/>
          <w:szCs w:val="20"/>
          <w:color w:val="auto"/>
        </w:rPr>
      </w:pPr>
    </w:p>
    <w:p>
      <w:pPr>
        <w:ind w:left="1160" w:hanging="1152"/>
        <w:spacing w:after="0"/>
        <w:tabs>
          <w:tab w:leader="none" w:pos="1160" w:val="left"/>
        </w:tabs>
        <w:numPr>
          <w:ilvl w:val="0"/>
          <w:numId w:val="15"/>
        </w:numPr>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Press Release Issued by Zodiac Partners II, LLC on May 21,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60" w:hanging="1152"/>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Issued by Zodiac Partners II, LLC on June 12, 2026.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Asterisk describes exhibits filed herewith. No asterisk means the exhibit has been previously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Information Required by Schedule 13E-3.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Zodiac Partners II, LLC</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Ziggy Gokea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Ziggy Gokea</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Camac Fund,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 Shahinian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Shahinian</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Manager of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684" w:right="1039" w:bottom="1440" w:gutter="0" w:footer="0" w:header="0"/>
        </w:sectPr>
      </w:pPr>
    </w:p>
    <w:bookmarkStart w:id="6" w:name="page7"/>
    <w:bookmarkEnd w:id="6"/>
    <w:p>
      <w:pPr>
        <w:ind w:left="10440"/>
        <w:spacing w:after="0"/>
        <w:rPr>
          <w:sz w:val="20"/>
          <w:szCs w:val="20"/>
          <w:color w:val="auto"/>
        </w:rPr>
      </w:pPr>
      <w:r>
        <w:rPr>
          <w:rFonts w:ascii="Times New Roman" w:cs="Times New Roman" w:eastAsia="Times New Roman" w:hAnsi="Times New Roman"/>
          <w:sz w:val="18"/>
          <w:szCs w:val="18"/>
          <w:b w:val="1"/>
          <w:bCs w:val="1"/>
          <w:color w:val="auto"/>
        </w:rPr>
        <w:t>Exhibit (j)</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Zodiac Partners II, LLC Reaffirms its Previously Announced $46 million Tender Offer to Acquire Destination XL Group, Inc. for $0.82 Per Share in Cash</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West Palm Beach FL, June 12, 2026 – </w:t>
      </w:r>
      <w:r>
        <w:rPr>
          <w:rFonts w:ascii="Times New Roman" w:cs="Times New Roman" w:eastAsia="Times New Roman" w:hAnsi="Times New Roman"/>
          <w:sz w:val="18"/>
          <w:szCs w:val="18"/>
          <w:color w:val="auto"/>
        </w:rPr>
        <w:t>In light of the recent announcement by Destination XL Group, Inc. (“DXLG” or “DXL”) that it has reevaluated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merger with FBB Holdings, Inc., Zodiac Partners II, LLC today reaffirmed its previously announced $46 million all-cash tender offer to acquire all outstanding shares of DXLG for $0.82 per share. Zodiac Partners commends the DXL Board of Directors for recognizing our view that the Full Beauty Brands Merger was not in the best interest of stockholders. Zodiac Partners stands ready willing and able to acquire DXL and is offering shareholders a 26% premium to the unaffected stock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All-Cash Alternative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Zodiac’s offer was designed to give shareholders a superior all-cash option and provides an opportunity to realize immediate value at a large premium to the share price prior to announcement. After spending more than $5 million dollars on the Full Beauty Brands Merger, only to realize that it is not in the best interest of stockholders, the DXL Board should recognize that engaging with an all-cash competing offer benefits shareholders by providing certainty of value. Shareholders should also note that if DXL were to terminate the Full Beauty Brands Merger, DXL would owe an additional $2.5 million dollars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would be left with significantly less cash, no transaction partner, and no CEO starting August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 This immediately puts DXL in a difficult position in the middle of a challenging period for the business, significantly compounding the risks to stockholder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Go-Forward Timeline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Zodiac maintains that to date, DXL has refused to provide Zodiac access to a data room or the customary non-public information required to remove financing conditionality from its offer. Zodiac Partners will continue to engage shareholders as it remains confident that it can execute a Definitive Agreement within 45 days of being granted appropriate access. Zodiac applauds shareholders for making their voices heard and speaking out against the Full Beauty Brands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offer is scheduled to expire at 5:00 PM, Eastern Time (ET), at the end of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2026, unless the offer is extended. The full terms, conditions and other details of the tender offer are set forth in the amended offering documents that the Purchaser is filing promptly with the Securities and Exchange Commission (the “SEC”). Wyrick Robbins Yates &amp; Ponton LLP is acting as legal counsel to Zodiac Partners II, LLC.</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Purchaser reiterates that it intends to pursue all options to complete a transaction, including potentially nominating directors for election at DXL’s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Statements that are not historical facts, including statements about beliefs, expectations, targets, goals, regulatory approval timing and nominating directors are forward-looking statements. These statements are based on plans, estimates, expectations and/or goals at the time the statements are made, and readers should not place undue reliance on them. In some cases, readers can identify forward-looking statements by the use of forward-looking terms such as “may,” “will,” “should,” “expect,” “opportunity,” “intend,” “plan,” “anticipate,” “believe,” “estimate,” “predict,” “potential,” “target,” “goal,”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Such factors include but are not limited to: the ultimate outcome of any possible transaction between the Purchaser and DXL, including the possibility that the parties will not agree to pursue a business combination transaction or that the terms of any definitive agreement will be materially different from those proposed; uncertainties as to whether DXL will cooperate with the Purchaser regarding the proposed transaction; the Purchaser’s ability to consummate the proposed transaction with DXL; the conditions to the completion of the proposed transaction, including the receipt of any required stockholder approvals and any required regulatory approvals; and the Purchaser’s ability to finance the proposed transaction. In addition, if the Purchaser consummates the tender offer but does not acquire 100% of the outstanding DXL stock through a merger or otherwise, the remaining DXL stockholders will face risks, including: the substantial indebtedness the Purchaser expects to incur in connection with the proposed transaction and the need to generate sufficient cash flows to service and repay such debt; the possibility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Purchaser’s ability to retain certain key employees; and general economic conditions that are less favorable than expected. The Purchaser cautions that forward-looking statements should not be relied on as predictions of future events, and these statements are not guarantees of performance or results. Forward-looking statements herein speak only as of the date each statement is made. The Purchaser does not assume any obligation to update any of these statements in light of new information or future events, except to the extent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communication is for informational purposes only and does not constitute a recommendation, an offer to purchase or a solicitation of an offer to sell DXL securities. Zodiac Partners II, LLC (the “Purchaser”) intends to file an Amended Tender Offer Statement on Schedule TO/A with the SEC on the date hereof, and DXL will file a Solicitation/Recommendation Statement on Schedule 14D-9 with respect to the tender offer with the SEC. Investors and security holders are urged to carefully read the Tender Offer Statement (including the Offer to Purchase, the related Letter of Transmittal and certain other tender offer documents, as each may be amended or supplemented from time to time), and the Solicitation/Recommendation Statement when available, as these materials contain important information that investors and security holders should consider before making any decision regarding tendering their common stock, including the terms and conditions of the tender offer. The Tender Offer Statement, Offer to Purchase, Solicitation/Recommendation Statement and related materials are filed with the SEC, and investors and security holders may obtain a free copy of these materials and other documents filed by the Purchaser and DXL with the SEC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Tender Offer Statement and other documents that the Purchaser file with the SEC will be made available to all investors and security holders of DXL free of charge from the information agent for the tender offer: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ectPr>
          <w:pgSz w:w="11900" w:h="16838" w:orient="portrait"/>
          <w:cols w:equalWidth="0" w:num="1">
            <w:col w:w="11240"/>
          </w:cols>
          <w:pgMar w:left="320" w:top="333"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8th Avenue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toll-free telephone: +1 (212) 257-1311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3"/>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3"/>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decimal"/>
      <w:start w:val="107"/>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8"/>
    </w:lvl>
  </w:abstractNum>
  <w:abstractNum w:abstractNumId="15">
    <w:nsid w:val="4E6AFB66"/>
    <w:multiLevelType w:val="hybridMultilevel"/>
    <w:lvl w:ilvl="0">
      <w:lvlJc w:val="left"/>
      <w:lvlText w:val="(%1)"/>
      <w:numFmt w:val="lowerLetter"/>
      <w:start w:val="10"/>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16" Type="http://schemas.openxmlformats.org/officeDocument/2006/relationships/hyperlink" Target="https://www.sec.gov/Archives/edgar/data/813298/000149315226026901/ex-99_a1a.htm" TargetMode="External"/><Relationship Id="rId17" Type="http://schemas.openxmlformats.org/officeDocument/2006/relationships/hyperlink" Target="https://www.sec.gov/Archives/edgar/data/813298/000149315226022429/ex-99_a1b.htm" TargetMode="External"/><Relationship Id="rId18" Type="http://schemas.openxmlformats.org/officeDocument/2006/relationships/hyperlink" Target="https://www.sec.gov/Archives/edgar/data/813298/000149315226022429/ex-99_a5a.htm" TargetMode="External"/><Relationship Id="rId19" Type="http://schemas.openxmlformats.org/officeDocument/2006/relationships/hyperlink" Target="https://www.sec.gov/Archives/edgar/data/813298/000149315226022429/ex-99_d.htm" TargetMode="External"/><Relationship Id="rId21" Type="http://schemas.openxmlformats.org/officeDocument/2006/relationships/hyperlink" Target="https://www.sec.gov/Archives/edgar/data/813298/000149315226025398/exb.htm" TargetMode="External"/><Relationship Id="rId22" Type="http://schemas.openxmlformats.org/officeDocument/2006/relationships/hyperlink" Target="https://www.sec.gov/Archives/edgar/data/813298/000149315226022429/ex107.htm" TargetMode="External"/><Relationship Id="rId24" Type="http://schemas.openxmlformats.org/officeDocument/2006/relationships/hyperlink" Target="https://www.sec.gov/Archives/edgar/data/813298/000149315226025398/exe.htm" TargetMode="External"/><Relationship Id="rId25" Type="http://schemas.openxmlformats.org/officeDocument/2006/relationships/hyperlink" Target="https://www.sec.gov/Archives/edgar/data/813298/000149315226025398/exa_1-f.htm" TargetMode="External"/><Relationship Id="rId26" Type="http://schemas.openxmlformats.org/officeDocument/2006/relationships/hyperlink" Target="https://www.sec.gov/Archives/edgar/data/813298/000149315226025398/exa_1-e.htm" TargetMode="External"/><Relationship Id="rId27" Type="http://schemas.openxmlformats.org/officeDocument/2006/relationships/hyperlink" Target="https://www.sec.gov/Archives/edgar/data/813298/000149315226025398/ex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2026-06-12T07:02:31Z</dcterms:created>
  <dcterms:modified xsi:type="dcterms:W3CDTF">2026-06-12T07:02:31Z</dcterms:modified>
</cp:coreProperties>
</file>