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DESTINATION XL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HOLDINGS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3,393,348.00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3,393,348.00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3,393,348.00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Shared voting and dispositive power represents 3,393,348 shares of Common Stock beneficially owned by Nomura Global Financial Products, Inc. ("NGFP"). NGFP is a wholly owned subsidiary of Nomura Holdings, Inc., which accordingly may be deemed to beneficially own the shares of Common Stock beneficially owned by NGFP. (2) The percent of class is calculated based on 55,273,092 shares of Common Stock outstanding as of June 15, 2026, as reported in the Issuer's proxy statement on Schedule 14A filed with the SEC on July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GLOBAL FINANCIAL PRODUCTS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3,393,348.00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3,393,348.00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3,393,348.00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(3) The percent of class is calculated based on 55,273,092 shares of Common Stock outstanding as of June 15, 2026, as reported in the Issuer's proxy statement on Schedule 14A filed with the SEC on July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DESTINATION XL GROUP,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Turnpike Street, Canton, Massachusetts 02021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Nomura Holdings, Inc. Nomura Global Financial Products, Inc. This Schedule 13G excludes securities beneficially owned, if any, by certain subsidiaries of Nomura Holdings Inc. whose beneficial ownership of securities are disaggregated from that of Nomura Holdings Inc. in accordance with SEC Release No.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Nomura Holdings, Inc.: 13-1, Nihonbashi 1-chome, Chuo-ku, Tokyo 103-8645, Japan Nomura Global Financial Products, Inc.: Worldwide Plaza 309 West 49th Street New York, NY 10019</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Nomura Holdings, Inc.: Japan Nomura Global Financial Products, Inc.: Delaware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5-11 of the cover pages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Items 5-11 of the cover pages are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B</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NOMURA HOLDINGS INC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Samir Patel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Samir Patel,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8"/>
        <w:gridCol w:w="5017"/>
      </w:tblGrid>
      <w:tr>
        <w:trPr/>
        <w:tc>
          <w:tcPr>
            <w:tcW w:w="5188" w:type="dxa"/>
            <w:tcBorders/>
            <w:vAlign w:val="center"/>
          </w:tcPr>
          <w:p>
            <w:pPr>
              <w:pStyle w:val="TableContents"/>
              <w:bidi w:val="0"/>
              <w:spacing w:before="0" w:after="0"/>
              <w:jc w:val="left"/>
              <w:rPr/>
            </w:pPr>
            <w:r>
              <w:rPr/>
              <w:t> </w:t>
            </w:r>
          </w:p>
          <w:tbl>
            <w:tblPr>
              <w:tblW w:w="5536" w:type="dxa"/>
              <w:jc w:val="left"/>
              <w:tblInd w:w="0" w:type="dxa"/>
              <w:tblLayout w:type="fixed"/>
              <w:tblCellMar>
                <w:top w:w="28" w:type="dxa"/>
                <w:left w:w="28" w:type="dxa"/>
                <w:bottom w:w="28" w:type="dxa"/>
                <w:right w:w="28" w:type="dxa"/>
              </w:tblCellMar>
            </w:tblPr>
            <w:tblGrid>
              <w:gridCol w:w="5536"/>
            </w:tblGrid>
            <w:tr>
              <w:trPr/>
              <w:tc>
                <w:tcPr>
                  <w:tcW w:w="5536" w:type="dxa"/>
                  <w:tcBorders/>
                  <w:vAlign w:val="center"/>
                </w:tcPr>
                <w:p>
                  <w:pPr>
                    <w:pStyle w:val="TableContents"/>
                    <w:bidi w:val="0"/>
                    <w:spacing w:before="0" w:after="0"/>
                    <w:jc w:val="left"/>
                    <w:rPr/>
                  </w:pPr>
                  <w:r>
                    <w:rPr/>
                    <w:t>NOMURA GLOBAL FINANCIAL PRODUCTS INC</w:t>
                  </w:r>
                </w:p>
              </w:tc>
            </w:tr>
          </w:tbl>
          <w:p>
            <w:pPr>
              <w:pStyle w:val="TableContents"/>
              <w:bidi w:val="0"/>
              <w:spacing w:before="0" w:after="283"/>
              <w:jc w:val="left"/>
              <w:rPr/>
            </w:pPr>
            <w:r>
              <w:rPr/>
            </w:r>
          </w:p>
        </w:tc>
        <w:tc>
          <w:tcPr>
            <w:tcW w:w="50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Samir Patel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Samir Patel, 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center"/>
              <w:rPr>
                <w:b/>
              </w:rPr>
            </w:pPr>
            <w:r>
              <w:rPr>
                <w:b/>
              </w:rPr>
              <w:t xml:space="preserve">Exhibit Information </w:t>
            </w:r>
          </w:p>
        </w:tc>
      </w:tr>
      <w:tr>
        <w:trPr/>
        <w:tc>
          <w:tcPr>
            <w:tcW w:w="5776" w:type="dxa"/>
            <w:tcBorders/>
            <w:vAlign w:val="center"/>
          </w:tcPr>
          <w:p>
            <w:pPr>
              <w:pStyle w:val="TableContents"/>
              <w:bidi w:val="0"/>
              <w:spacing w:before="0" w:after="283"/>
              <w:jc w:val="left"/>
              <w:rPr/>
            </w:pPr>
            <w:r>
              <w:rPr/>
              <w:t>Exhibit A - Joint Filing Agreement Exhibit B - Subsidiaries</w:t>
            </w:r>
          </w:p>
        </w:tc>
      </w:tr>
    </w:tbl>
    <w:p>
      <w:pPr>
        <w:pStyle w:val="TextBody"/>
        <w:bidi w:val="0"/>
        <w:spacing w:before="0" w:after="0"/>
        <w:jc w:val="center"/>
        <w:rPr/>
      </w:pPr>
      <w:bookmarkStart w:id="20" w:name="jfa.htm"/>
      <w:bookmarkStart w:id="21" w:name="ksjfa"/>
      <w:bookmarkEnd w:id="20"/>
      <w:bookmarkEnd w:id="21"/>
      <w:r>
        <w:rPr>
          <w:b/>
          <w:color w:val="000000"/>
          <w:sz w:val="20"/>
        </w:rPr>
        <w:br/>
        <w:t>EXHIBIT A</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JOINT FILING AGREEMENT</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August 14, 2026.</w:t>
      </w:r>
      <w:r>
        <w:rPr/>
        <w:t xml:space="preserve"> </w:t>
      </w:r>
    </w:p>
    <w:p>
      <w:pPr>
        <w:pStyle w:val="TextBody"/>
        <w:bidi w:val="0"/>
        <w:spacing w:before="0" w:after="0"/>
        <w:jc w:val="left"/>
        <w:rPr/>
      </w:pPr>
      <w:r>
        <w:rPr/>
        <w:t xml:space="preserve">  </w:t>
      </w:r>
    </w:p>
    <w:tbl>
      <w:tblPr>
        <w:tblW w:w="3627" w:type="dxa"/>
        <w:jc w:val="left"/>
        <w:tblInd w:w="0" w:type="dxa"/>
        <w:tblLayout w:type="fixed"/>
        <w:tblCellMar>
          <w:top w:w="28" w:type="dxa"/>
          <w:left w:w="28" w:type="dxa"/>
          <w:bottom w:w="28" w:type="dxa"/>
          <w:right w:w="28" w:type="dxa"/>
        </w:tblCellMar>
      </w:tblPr>
      <w:tblGrid>
        <w:gridCol w:w="3376"/>
        <w:gridCol w:w="251"/>
      </w:tblGrid>
      <w:tr>
        <w:trPr/>
        <w:tc>
          <w:tcPr>
            <w:tcW w:w="3376" w:type="dxa"/>
            <w:tcBorders/>
            <w:vAlign w:val="center"/>
          </w:tcPr>
          <w:p>
            <w:pPr>
              <w:pStyle w:val="TableContents"/>
              <w:bidi w:val="0"/>
              <w:spacing w:before="0" w:after="0"/>
              <w:jc w:val="left"/>
              <w:rPr/>
            </w:pPr>
            <w:r>
              <w:rPr>
                <w:color w:val="000000"/>
                <w:sz w:val="20"/>
              </w:rPr>
              <w:t>Nomura Holdings, Inc.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u w:val="single"/>
              </w:rPr>
              <w:t>/s/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Name: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Title:  Managing Director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Nomura Global Financial Products, Inc.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u w:val="single"/>
              </w:rPr>
              <w:t>/s/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Name: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Title:  Authorized Officer</w:t>
            </w:r>
            <w:r>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240"/>
        <w:jc w:val="left"/>
        <w:rPr/>
      </w:pPr>
      <w:r>
        <w:rPr/>
        <w:t xml:space="preserve">  </w:t>
      </w:r>
    </w:p>
    <w:p>
      <w:pPr>
        <w:pStyle w:val="TextBody"/>
        <w:bidi w:val="0"/>
        <w:spacing w:before="0" w:after="0"/>
        <w:jc w:val="center"/>
        <w:rPr/>
      </w:pPr>
      <w:bookmarkStart w:id="22" w:name="exb.htm"/>
      <w:bookmarkStart w:id="23" w:name="ksexb"/>
      <w:bookmarkEnd w:id="22"/>
      <w:bookmarkEnd w:id="23"/>
      <w:r>
        <w:rPr>
          <w:b/>
          <w:color w:val="000000"/>
          <w:sz w:val="20"/>
        </w:rPr>
        <w:t>EXHIBIT B</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SUBSIDIARIES</w:t>
      </w:r>
      <w:r>
        <w:rPr/>
        <w:t xml:space="preserve"> </w:t>
      </w:r>
    </w:p>
    <w:p>
      <w:pPr>
        <w:pStyle w:val="TextBody"/>
        <w:bidi w:val="0"/>
        <w:spacing w:before="0" w:after="0"/>
        <w:jc w:val="left"/>
        <w:rPr/>
      </w:pPr>
      <w:r>
        <w:rPr/>
        <w:t xml:space="preserve">  </w:t>
      </w:r>
    </w:p>
    <w:p>
      <w:pPr>
        <w:pStyle w:val="TextBody"/>
        <w:bidi w:val="0"/>
        <w:spacing w:before="0" w:after="240"/>
        <w:jc w:val="left"/>
        <w:rPr/>
      </w:pPr>
      <w:r>
        <w:rPr>
          <w:color w:val="000000"/>
          <w:sz w:val="20"/>
        </w:rPr>
        <w:t>Nomura Global Financial Products, Inc. is a wholly owned subsidiary of Nomura Holdings, Inc.</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6872</Characters>
  <CharactersWithSpaces>8199</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