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760" w:right="1600" w:hanging="3739"/>
        <w:spacing w:after="0" w:line="375" w:lineRule="auto"/>
        <w:tabs>
          <w:tab w:leader="none" w:pos="5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October 28,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240" w:right="1580" w:hanging="4219"/>
        <w:spacing w:after="0" w:line="423" w:lineRule="auto"/>
        <w:tabs>
          <w:tab w:leader="none" w:pos="49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DESTINATION XL GROUP, INC.</w:t>
      </w:r>
    </w:p>
    <w:p>
      <w:pPr>
        <w:sectPr>
          <w:pgSz w:w="11900" w:h="16838" w:orient="portrait"/>
          <w:cols w:equalWidth="0" w:num="1">
            <w:col w:w="11240"/>
          </w:cols>
          <w:pgMar w:left="320" w:top="746"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555 Turnpike Street</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04-2623104</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02021</w:t>
      </w:r>
    </w:p>
    <w:p>
      <w:pPr>
        <w:spacing w:after="0" w:line="36" w:lineRule="exact"/>
        <w:rPr>
          <w:sz w:val="24"/>
          <w:szCs w:val="24"/>
          <w:color w:val="auto"/>
        </w:rPr>
      </w:pPr>
    </w:p>
    <w:p>
      <w:pPr>
        <w:sectPr>
          <w:pgSz w:w="11900" w:h="16838" w:orient="portrait"/>
          <w:cols w:equalWidth="0" w:num="2">
            <w:col w:w="7720" w:space="220"/>
            <w:col w:w="3300"/>
          </w:cols>
          <w:pgMar w:left="320" w:top="74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7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48"/>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4"/>
        </w:trPr>
        <w:tc>
          <w:tcPr>
            <w:tcW w:w="14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
        </w:trPr>
        <w:tc>
          <w:tcPr>
            <w:tcW w:w="140" w:type="dxa"/>
            <w:vAlign w:val="bottom"/>
            <w:tcBorders>
              <w:right w:val="single" w:sz="8" w:color="auto"/>
            </w:tcBorders>
          </w:tcPr>
          <w:p>
            <w:pPr>
              <w:spacing w:after="0" w:line="20" w:lineRule="exact"/>
              <w:rPr>
                <w:sz w:val="1"/>
                <w:szCs w:val="1"/>
                <w:color w:val="auto"/>
              </w:rPr>
            </w:pPr>
          </w:p>
        </w:tc>
        <w:tc>
          <w:tcPr>
            <w:tcW w:w="46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r>
    </w:tbl>
    <w:p>
      <w:pPr>
        <w:spacing w:after="0" w:line="98" w:lineRule="exact"/>
        <w:rPr>
          <w:sz w:val="24"/>
          <w:szCs w:val="24"/>
          <w:color w:val="auto"/>
        </w:rPr>
      </w:pPr>
    </w:p>
    <w:p>
      <w:pPr>
        <w:jc w:val="both"/>
        <w:ind w:firstLine="599"/>
        <w:spacing w:after="0" w:line="22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00" w:firstLine="599"/>
        <w:spacing w:after="0" w:line="22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7"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0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360" w:firstLine="599"/>
        <w:spacing w:after="0" w:line="217" w:lineRule="exact"/>
        <w:rPr>
          <w:sz w:val="20"/>
          <w:szCs w:val="20"/>
          <w:color w:val="auto"/>
        </w:rPr>
      </w:pPr>
      <w:r>
        <w:rPr>
          <w:rFonts w:ascii="Arial" w:cs="Arial" w:eastAsia="Arial" w:hAnsi="Arial"/>
          <w:sz w:val="15"/>
          <w:szCs w:val="15"/>
          <w:color w:val="auto"/>
        </w:rPr>
        <w:t xml:space="preserve">Indicate by a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8, 2023, the registrant had 60,182,080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color w:val="auto"/>
                <w:w w:val="97"/>
              </w:rPr>
              <w:t>October 28, 2023</w:t>
            </w:r>
          </w:p>
        </w:tc>
        <w:tc>
          <w:tcPr>
            <w:tcW w:w="18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January 28, 2023</w:t>
            </w:r>
          </w:p>
        </w:tc>
      </w:tr>
      <w:tr>
        <w:trPr>
          <w:trHeight w:val="181"/>
        </w:trPr>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2023)</w:t>
            </w:r>
          </w:p>
        </w:tc>
        <w:tc>
          <w:tcPr>
            <w:tcW w:w="180" w:type="dxa"/>
            <w:vAlign w:val="bottom"/>
          </w:tcPr>
          <w:p>
            <w:pPr>
              <w:spacing w:after="0"/>
              <w:rPr>
                <w:sz w:val="15"/>
                <w:szCs w:val="15"/>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2022)</w:t>
            </w:r>
          </w:p>
        </w:tc>
      </w:tr>
      <w:tr>
        <w:trPr>
          <w:trHeight w:val="169"/>
        </w:trPr>
        <w:tc>
          <w:tcPr>
            <w:tcW w:w="77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49,632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99,858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93,004</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170,500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154,012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139,907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124,356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 of valuation allowance</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372,660</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350,598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28,256</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27,548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leases, current</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Pr>
          <w:p>
            <w:pPr>
              <w:spacing w:after="0"/>
              <w:rPr>
                <w:sz w:val="21"/>
                <w:szCs w:val="21"/>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101,039</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leases, non-current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119,502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106,912</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120,854</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111,618</w:t>
            </w:r>
          </w:p>
        </w:tc>
        <w:tc>
          <w:tcPr>
            <w:tcW w:w="100" w:type="dxa"/>
            <w:vAlign w:val="bottom"/>
          </w:tcPr>
          <w:p>
            <w:pPr>
              <w:spacing w:after="0"/>
              <w:rPr>
                <w:sz w:val="20"/>
                <w:szCs w:val="20"/>
                <w:color w:val="auto"/>
              </w:rPr>
            </w:pPr>
          </w:p>
        </w:tc>
      </w:tr>
      <w:tr>
        <w:trPr>
          <w:trHeight w:val="237"/>
        </w:trPr>
        <w:tc>
          <w:tcPr>
            <w:tcW w:w="7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w w:val="93"/>
              </w:rPr>
              <w:t>Common stock, $0.01 par value, 125,000,000 shares authorized, 78,885,187 and 78,229,861 shares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issued at October 28, 2023 and January 28, 2023,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324,141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321,516</w:t>
            </w: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w w:val="93"/>
              </w:rPr>
              <w:t>Treasury stock at cost, 18,712,467 shares at October 28, 2023 and 15,625,172 shares at January 28,</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(120,356 )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(105,386 )</w:t>
            </w: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(52,136 )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(74,756 )</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(1,671 )</w:t>
            </w:r>
          </w:p>
        </w:tc>
        <w:tc>
          <w:tcPr>
            <w:tcW w:w="18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(4,928 )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150,767</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372,660</w:t>
            </w:r>
          </w:p>
        </w:tc>
        <w:tc>
          <w:tcPr>
            <w:tcW w:w="3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350,598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-5485765</wp:posOffset>
            </wp:positionV>
            <wp:extent cx="685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-5485765</wp:posOffset>
            </wp:positionV>
            <wp:extent cx="685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-4242435</wp:posOffset>
            </wp:positionV>
            <wp:extent cx="6858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-2965450</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-2339340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6"/>
          </w:tcPr>
          <w:p>
            <w:pPr>
              <w:jc w:val="right"/>
              <w:ind w:right="90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5"/>
                <w:szCs w:val="15"/>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4"/>
                <w:szCs w:val="14"/>
                <w:color w:val="auto"/>
              </w:rPr>
              <w:t>For the Nine Months Ended</w:t>
            </w:r>
          </w:p>
        </w:tc>
      </w:tr>
      <w:tr>
        <w:trPr>
          <w:trHeight w:val="175"/>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4"/>
                <w:szCs w:val="14"/>
                <w:color w:val="auto"/>
                <w:w w:val="92"/>
              </w:rPr>
              <w:t>October 28, 2023</w:t>
            </w:r>
          </w:p>
        </w:tc>
        <w:tc>
          <w:tcPr>
            <w:tcW w:w="120" w:type="dxa"/>
            <w:vAlign w:val="bottom"/>
          </w:tcPr>
          <w:p>
            <w:pPr>
              <w:spacing w:after="0"/>
              <w:rPr>
                <w:sz w:val="15"/>
                <w:szCs w:val="15"/>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October 29, 2022</w:t>
            </w:r>
          </w:p>
        </w:tc>
        <w:tc>
          <w:tcPr>
            <w:tcW w:w="140" w:type="dxa"/>
            <w:vAlign w:val="bottom"/>
          </w:tcPr>
          <w:p>
            <w:pPr>
              <w:spacing w:after="0"/>
              <w:rPr>
                <w:sz w:val="15"/>
                <w:szCs w:val="15"/>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color w:val="auto"/>
                <w:w w:val="94"/>
              </w:rPr>
              <w:t>October 28, 2023</w:t>
            </w:r>
          </w:p>
        </w:tc>
        <w:tc>
          <w:tcPr>
            <w:tcW w:w="16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October 29, 2022</w:t>
            </w:r>
          </w:p>
        </w:tc>
      </w:tr>
      <w:tr>
        <w:trPr>
          <w:trHeight w:val="181"/>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4"/>
                <w:szCs w:val="14"/>
                <w:color w:val="auto"/>
                <w:w w:val="93"/>
              </w:rPr>
              <w:t>(Fiscal 2023)</w:t>
            </w:r>
          </w:p>
        </w:tc>
        <w:tc>
          <w:tcPr>
            <w:tcW w:w="1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2022)</w:t>
            </w:r>
          </w:p>
        </w:tc>
        <w:tc>
          <w:tcPr>
            <w:tcW w:w="140" w:type="dxa"/>
            <w:vAlign w:val="bottom"/>
          </w:tcPr>
          <w:p>
            <w:pPr>
              <w:spacing w:after="0"/>
              <w:rPr>
                <w:sz w:val="15"/>
                <w:szCs w:val="15"/>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color w:val="auto"/>
                <w:w w:val="96"/>
              </w:rPr>
              <w:t>(Fiscal 2023)</w:t>
            </w:r>
          </w:p>
        </w:tc>
        <w:tc>
          <w:tcPr>
            <w:tcW w:w="16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2022)</w:t>
            </w:r>
          </w:p>
        </w:tc>
      </w:tr>
      <w:tr>
        <w:trPr>
          <w:trHeight w:val="169"/>
        </w:trPr>
        <w:tc>
          <w:tcPr>
            <w:tcW w:w="4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119,188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129,671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384,673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401,960</w:t>
            </w: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Cost of goods sold including occupancy costs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62,577</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64,856</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196,767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197,960</w:t>
            </w:r>
          </w:p>
        </w:tc>
        <w:tc>
          <w:tcPr>
            <w:tcW w:w="100" w:type="dxa"/>
            <w:vAlign w:val="bottom"/>
          </w:tcPr>
          <w:p>
            <w:pPr>
              <w:spacing w:after="0"/>
              <w:rPr>
                <w:sz w:val="21"/>
                <w:szCs w:val="21"/>
                <w:color w:val="auto"/>
              </w:rPr>
            </w:pPr>
          </w:p>
        </w:tc>
      </w:tr>
      <w:tr>
        <w:trPr>
          <w:trHeight w:val="23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187,906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204,000</w:t>
            </w:r>
          </w:p>
        </w:tc>
        <w:tc>
          <w:tcPr>
            <w:tcW w:w="100" w:type="dxa"/>
            <w:vAlign w:val="bottom"/>
            <w:shd w:val="clear" w:color="auto" w:fill="CFF0FC"/>
          </w:tcPr>
          <w:p>
            <w:pPr>
              <w:spacing w:after="0"/>
              <w:rPr>
                <w:sz w:val="20"/>
                <w:szCs w:val="20"/>
                <w:color w:val="auto"/>
              </w:rPr>
            </w:pPr>
          </w:p>
        </w:tc>
      </w:tr>
      <w:tr>
        <w:trPr>
          <w:trHeight w:val="243"/>
        </w:trPr>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47,962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143,689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144,441</w:t>
            </w: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(gain) of assets</w:t>
            </w:r>
          </w:p>
        </w:tc>
        <w:tc>
          <w:tcPr>
            <w:tcW w:w="16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(398 )</w:t>
            </w: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1"/>
                <w:szCs w:val="21"/>
                <w:color w:val="auto"/>
              </w:rPr>
            </w:pPr>
          </w:p>
        </w:tc>
      </w:tr>
      <w:tr>
        <w:trPr>
          <w:trHeight w:val="237"/>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154,027</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48,209</w:t>
            </w: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termination of retirement plans</w:t>
            </w: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(4,231 )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(107 )</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(350 )</w:t>
            </w:r>
          </w:p>
        </w:tc>
      </w:tr>
      <w:tr>
        <w:trPr>
          <w:trHeight w:val="237"/>
        </w:trPr>
        <w:tc>
          <w:tcPr>
            <w:tcW w:w="49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Income before provision (benefit) for income taxes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47,859</w:t>
            </w: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(32,944 )</w:t>
            </w:r>
          </w:p>
        </w:tc>
      </w:tr>
      <w:tr>
        <w:trPr>
          <w:trHeight w:val="237"/>
        </w:trPr>
        <w:tc>
          <w:tcPr>
            <w:tcW w:w="49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80,803</w:t>
            </w:r>
          </w:p>
        </w:tc>
        <w:tc>
          <w:tcPr>
            <w:tcW w:w="10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62,928</w:t>
            </w:r>
          </w:p>
        </w:tc>
        <w:tc>
          <w:tcPr>
            <w:tcW w:w="100" w:type="dxa"/>
            <w:vAlign w:val="bottom"/>
            <w:shd w:val="clear" w:color="auto" w:fill="CFF0FC"/>
          </w:tcPr>
          <w:p>
            <w:pPr>
              <w:spacing w:after="0"/>
              <w:rPr>
                <w:sz w:val="21"/>
                <w:szCs w:val="21"/>
                <w:color w:val="auto"/>
              </w:rPr>
            </w:pPr>
          </w:p>
        </w:tc>
      </w:tr>
      <w:tr>
        <w:trPr>
          <w:trHeight w:val="230"/>
        </w:trPr>
        <w:tc>
          <w:tcPr>
            <w:tcW w:w="49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66,229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67,106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-2974340</wp:posOffset>
            </wp:positionV>
            <wp:extent cx="7683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-2974340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-2974340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-2974340</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-1722755</wp:posOffset>
            </wp:positionV>
            <wp:extent cx="7683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-1722755</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-1722755</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-1722755</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2860" w:type="dxa"/>
            <w:vAlign w:val="bottom"/>
            <w:gridSpan w:val="5"/>
          </w:tcPr>
          <w:p>
            <w:pPr>
              <w:jc w:val="right"/>
              <w:ind w:right="800"/>
              <w:spacing w:after="0"/>
              <w:rPr>
                <w:sz w:val="20"/>
                <w:szCs w:val="20"/>
                <w:color w:val="auto"/>
              </w:rPr>
            </w:pPr>
            <w:r>
              <w:rPr>
                <w:rFonts w:ascii="Arial" w:cs="Arial" w:eastAsia="Arial" w:hAnsi="Arial"/>
                <w:sz w:val="14"/>
                <w:szCs w:val="14"/>
                <w:color w:val="auto"/>
              </w:rPr>
              <w:t>For the Nine Months Ended</w:t>
            </w:r>
          </w:p>
        </w:tc>
      </w:tr>
      <w:tr>
        <w:trPr>
          <w:trHeight w:val="182"/>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October 28, 2023</w:t>
            </w: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w w:val="96"/>
              </w:rPr>
              <w:t>October 29, 2022</w:t>
            </w:r>
          </w:p>
        </w:tc>
        <w:tc>
          <w:tcPr>
            <w:tcW w:w="12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color w:val="auto"/>
                <w:w w:val="90"/>
              </w:rPr>
              <w:t>October 28, 2023</w:t>
            </w:r>
          </w:p>
        </w:tc>
        <w:tc>
          <w:tcPr>
            <w:tcW w:w="10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October 29, 2022</w:t>
            </w:r>
          </w:p>
        </w:tc>
      </w:tr>
      <w:tr>
        <w:trPr>
          <w:trHeight w:val="181"/>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rPr>
              <w:t>(Fiscal 2023)</w:t>
            </w:r>
          </w:p>
        </w:tc>
        <w:tc>
          <w:tcPr>
            <w:tcW w:w="14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w w:val="96"/>
              </w:rPr>
              <w:t>(Fiscal 2022)</w:t>
            </w:r>
          </w:p>
        </w:tc>
        <w:tc>
          <w:tcPr>
            <w:tcW w:w="12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2023)</w:t>
            </w:r>
          </w:p>
        </w:tc>
        <w:tc>
          <w:tcPr>
            <w:tcW w:w="10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2022)</w:t>
            </w:r>
          </w:p>
        </w:tc>
      </w:tr>
      <w:tr>
        <w:trPr>
          <w:trHeight w:val="236"/>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10,473</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22,620</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80,803</w:t>
            </w:r>
          </w:p>
        </w:tc>
        <w:tc>
          <w:tcPr>
            <w:tcW w:w="260" w:type="dxa"/>
            <w:vAlign w:val="bottom"/>
            <w:shd w:val="clear" w:color="auto" w:fill="CFF0FC"/>
          </w:tcPr>
          <w:p>
            <w:pPr>
              <w:spacing w:after="0"/>
              <w:rPr>
                <w:sz w:val="20"/>
                <w:szCs w:val="20"/>
                <w:color w:val="auto"/>
              </w:rPr>
            </w:pPr>
          </w:p>
        </w:tc>
      </w:tr>
      <w:tr>
        <w:trPr>
          <w:trHeight w:val="243"/>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(10 )</w:t>
            </w:r>
          </w:p>
        </w:tc>
      </w:tr>
      <w:tr>
        <w:trPr>
          <w:trHeight w:val="249"/>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Retirement plans</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FF0FC"/>
          </w:tcPr>
          <w:p>
            <w:pPr>
              <w:spacing w:after="0"/>
              <w:rPr>
                <w:sz w:val="21"/>
                <w:szCs w:val="21"/>
                <w:color w:val="auto"/>
              </w:rPr>
            </w:pP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Recognized loss on termination of retirement plans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FF0FC"/>
          </w:tcPr>
          <w:p>
            <w:pPr>
              <w:spacing w:after="0"/>
              <w:rPr>
                <w:sz w:val="20"/>
                <w:szCs w:val="20"/>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Tax effect related to items of other comprehensive income</w:t>
            </w:r>
          </w:p>
        </w:tc>
        <w:tc>
          <w:tcPr>
            <w:tcW w:w="1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(1,145 )</w:t>
            </w:r>
          </w:p>
        </w:tc>
        <w:tc>
          <w:tcPr>
            <w:tcW w:w="10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25,877</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80,996</w:t>
            </w:r>
          </w:p>
        </w:tc>
        <w:tc>
          <w:tcPr>
            <w:tcW w:w="26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-187960</wp:posOffset>
            </wp:positionV>
            <wp:extent cx="7747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685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-187960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Additional</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3"/>
                <w:szCs w:val="13"/>
                <w:color w:val="auto"/>
              </w:rPr>
              <w:t>Common Stock</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Paid-in</w:t>
            </w:r>
          </w:p>
        </w:tc>
        <w:tc>
          <w:tcPr>
            <w:tcW w:w="1900" w:type="dxa"/>
            <w:vAlign w:val="bottom"/>
            <w:gridSpan w:val="5"/>
          </w:tcPr>
          <w:p>
            <w:pPr>
              <w:jc w:val="right"/>
              <w:ind w:right="660"/>
              <w:spacing w:after="0"/>
              <w:rPr>
                <w:sz w:val="20"/>
                <w:szCs w:val="20"/>
                <w:color w:val="auto"/>
              </w:rPr>
            </w:pPr>
            <w:r>
              <w:rPr>
                <w:rFonts w:ascii="Arial" w:cs="Arial" w:eastAsia="Arial" w:hAnsi="Arial"/>
                <w:sz w:val="13"/>
                <w:szCs w:val="13"/>
                <w:color w:val="auto"/>
              </w:rPr>
              <w:t>Treasury Stock</w:t>
            </w: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Accumulated</w:t>
            </w:r>
          </w:p>
        </w:tc>
        <w:tc>
          <w:tcPr>
            <w:tcW w:w="1140" w:type="dxa"/>
            <w:vAlign w:val="bottom"/>
            <w:gridSpan w:val="3"/>
          </w:tcPr>
          <w:p>
            <w:pPr>
              <w:jc w:val="center"/>
              <w:ind w:right="220"/>
              <w:spacing w:after="0"/>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3480" w:type="dxa"/>
            <w:vAlign w:val="bottom"/>
          </w:tcPr>
          <w:p>
            <w:pPr>
              <w:spacing w:after="0"/>
              <w:rPr>
                <w:sz w:val="14"/>
                <w:szCs w:val="14"/>
                <w:color w:val="auto"/>
              </w:rPr>
            </w:pPr>
          </w:p>
        </w:tc>
        <w:tc>
          <w:tcPr>
            <w:tcW w:w="920" w:type="dxa"/>
            <w:vAlign w:val="bottom"/>
            <w:gridSpan w:val="3"/>
          </w:tcPr>
          <w:p>
            <w:pPr>
              <w:ind w:left="180"/>
              <w:spacing w:after="0"/>
              <w:rPr>
                <w:sz w:val="20"/>
                <w:szCs w:val="20"/>
                <w:color w:val="auto"/>
              </w:rPr>
            </w:pPr>
            <w:r>
              <w:rPr>
                <w:rFonts w:ascii="Arial" w:cs="Arial" w:eastAsia="Arial" w:hAnsi="Arial"/>
                <w:sz w:val="13"/>
                <w:szCs w:val="13"/>
                <w:color w:val="auto"/>
              </w:rPr>
              <w:t>Shares</w:t>
            </w:r>
          </w:p>
        </w:tc>
        <w:tc>
          <w:tcPr>
            <w:tcW w:w="840" w:type="dxa"/>
            <w:vAlign w:val="bottom"/>
            <w:gridSpan w:val="4"/>
          </w:tcPr>
          <w:p>
            <w:pPr>
              <w:ind w:left="60"/>
              <w:spacing w:after="0"/>
              <w:rPr>
                <w:sz w:val="20"/>
                <w:szCs w:val="20"/>
                <w:color w:val="auto"/>
              </w:rPr>
            </w:pPr>
            <w:r>
              <w:rPr>
                <w:rFonts w:ascii="Arial" w:cs="Arial" w:eastAsia="Arial" w:hAnsi="Arial"/>
                <w:sz w:val="13"/>
                <w:szCs w:val="13"/>
                <w:color w:val="auto"/>
              </w:rPr>
              <w:t>Amounts</w:t>
            </w: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color w:val="auto"/>
              </w:rPr>
              <w:t>Capital</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Amounts</w:t>
            </w:r>
          </w:p>
        </w:tc>
        <w:tc>
          <w:tcPr>
            <w:tcW w:w="16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w w:val="99"/>
              </w:rPr>
              <w:t>Deficit</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87"/>
              </w:rPr>
              <w:t>Loss</w:t>
            </w:r>
          </w:p>
        </w:tc>
        <w:tc>
          <w:tcPr>
            <w:tcW w:w="2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Total</w:t>
            </w:r>
          </w:p>
        </w:tc>
      </w:tr>
      <w:tr>
        <w:trPr>
          <w:trHeight w:val="201"/>
        </w:trPr>
        <w:tc>
          <w:tcPr>
            <w:tcW w:w="34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28, 2023</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321,516</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(105,386 )</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6"/>
              </w:rPr>
              <w:t>(74,756 )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(4,928 )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137,228</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FF0FC"/>
          </w:tcPr>
          <w:p>
            <w:pPr>
              <w:spacing w:after="0"/>
              <w:rPr>
                <w:sz w:val="20"/>
                <w:szCs w:val="20"/>
                <w:color w:val="auto"/>
              </w:rPr>
            </w:pP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Restricted stock units (RSUs) granted for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6"/>
                <w:szCs w:val="16"/>
                <w:color w:val="auto"/>
              </w:rPr>
              <w:t>achievement of performance-based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compensation, reclassified from liability to equity</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1,146</w:t>
            </w: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(3 )</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(445 )</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(446 )</w:t>
            </w: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6,967</w:t>
            </w:r>
          </w:p>
        </w:tc>
        <w:tc>
          <w:tcPr>
            <w:tcW w:w="100" w:type="dxa"/>
            <w:vAlign w:val="bottom"/>
            <w:shd w:val="clear" w:color="auto" w:fill="CFF0FC"/>
          </w:tcPr>
          <w:p>
            <w:pPr>
              <w:spacing w:after="0"/>
              <w:rPr>
                <w:sz w:val="20"/>
                <w:szCs w:val="20"/>
                <w:color w:val="auto"/>
              </w:rPr>
            </w:pPr>
          </w:p>
        </w:tc>
      </w:tr>
      <w:tr>
        <w:trPr>
          <w:trHeight w:val="203"/>
        </w:trPr>
        <w:tc>
          <w:tcPr>
            <w:tcW w:w="34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Balance at April 29, 2023</w:t>
            </w:r>
          </w:p>
        </w:tc>
        <w:tc>
          <w:tcPr>
            <w:tcW w:w="680" w:type="dxa"/>
            <w:vAlign w:val="bottom"/>
          </w:tcPr>
          <w:p>
            <w:pPr>
              <w:jc w:val="right"/>
              <w:spacing w:after="0"/>
              <w:rPr>
                <w:sz w:val="20"/>
                <w:szCs w:val="20"/>
                <w:color w:val="auto"/>
              </w:rPr>
            </w:pPr>
            <w:r>
              <w:rPr>
                <w:rFonts w:ascii="Arial" w:cs="Arial" w:eastAsia="Arial" w:hAnsi="Arial"/>
                <w:sz w:val="16"/>
                <w:szCs w:val="16"/>
                <w:color w:val="auto"/>
              </w:rPr>
              <w:t>78,496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785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322,941</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(105,386 )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(67,789 )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(4,879 )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145,672</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Repurchase of common stock, including excise tax</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(2,249 )</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(10,905 )</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(10,905 )</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19"/>
                <w:szCs w:val="19"/>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11,633</w:t>
            </w:r>
          </w:p>
        </w:tc>
        <w:tc>
          <w:tcPr>
            <w:tcW w:w="100" w:type="dxa"/>
            <w:vAlign w:val="bottom"/>
            <w:shd w:val="clear" w:color="auto" w:fill="CFF0FC"/>
          </w:tcPr>
          <w:p>
            <w:pPr>
              <w:spacing w:after="0"/>
              <w:rPr>
                <w:sz w:val="20"/>
                <w:szCs w:val="20"/>
                <w:color w:val="auto"/>
              </w:rPr>
            </w:pPr>
          </w:p>
        </w:tc>
      </w:tr>
      <w:tr>
        <w:trPr>
          <w:trHeight w:val="203"/>
        </w:trPr>
        <w:tc>
          <w:tcPr>
            <w:tcW w:w="34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Balance at July 29, 2023</w:t>
            </w:r>
          </w:p>
        </w:tc>
        <w:tc>
          <w:tcPr>
            <w:tcW w:w="680" w:type="dxa"/>
            <w:vAlign w:val="bottom"/>
          </w:tcPr>
          <w:p>
            <w:pPr>
              <w:jc w:val="right"/>
              <w:spacing w:after="0"/>
              <w:rPr>
                <w:sz w:val="20"/>
                <w:szCs w:val="20"/>
                <w:color w:val="auto"/>
              </w:rPr>
            </w:pPr>
            <w:r>
              <w:rPr>
                <w:rFonts w:ascii="Arial" w:cs="Arial" w:eastAsia="Arial" w:hAnsi="Arial"/>
                <w:sz w:val="16"/>
                <w:szCs w:val="16"/>
                <w:color w:val="auto"/>
              </w:rPr>
              <w:t>78,606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786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323,512</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(116,291 )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(56,156 )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(1,751 )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150,100</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3"/>
        </w:trPr>
        <w:tc>
          <w:tcPr>
            <w:tcW w:w="348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r>
      <w:tr>
        <w:trPr>
          <w:trHeight w:val="253"/>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1"/>
                <w:szCs w:val="21"/>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FF0FC"/>
          </w:tcPr>
          <w:p>
            <w:pPr>
              <w:spacing w:after="0"/>
              <w:rPr>
                <w:sz w:val="21"/>
                <w:szCs w:val="21"/>
                <w:color w:val="auto"/>
              </w:rPr>
            </w:pPr>
          </w:p>
        </w:tc>
      </w:tr>
      <w:tr>
        <w:trPr>
          <w:trHeight w:val="233"/>
        </w:trPr>
        <w:tc>
          <w:tcPr>
            <w:tcW w:w="3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r>
      <w:tr>
        <w:trPr>
          <w:trHeight w:val="253"/>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(3 )</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(311 )</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(312 )</w:t>
            </w:r>
          </w:p>
        </w:tc>
      </w:tr>
      <w:tr>
        <w:trPr>
          <w:trHeight w:val="253"/>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Repurchase of common stock, including excise tax</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1"/>
                <w:szCs w:val="21"/>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(838 )</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(4,065 )</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(4,065 )</w:t>
            </w:r>
          </w:p>
        </w:tc>
      </w:tr>
      <w:tr>
        <w:trPr>
          <w:trHeight w:val="233"/>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4,020</w:t>
            </w:r>
          </w:p>
        </w:tc>
        <w:tc>
          <w:tcPr>
            <w:tcW w:w="100" w:type="dxa"/>
            <w:vAlign w:val="bottom"/>
            <w:shd w:val="clear" w:color="auto" w:fill="CFF0FC"/>
          </w:tcPr>
          <w:p>
            <w:pPr>
              <w:spacing w:after="0"/>
              <w:rPr>
                <w:sz w:val="20"/>
                <w:szCs w:val="20"/>
                <w:color w:val="auto"/>
              </w:rPr>
            </w:pPr>
          </w:p>
        </w:tc>
      </w:tr>
      <w:tr>
        <w:trPr>
          <w:trHeight w:val="203"/>
        </w:trPr>
        <w:tc>
          <w:tcPr>
            <w:tcW w:w="34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(18,71</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Balance at October 28, 2023</w:t>
            </w:r>
          </w:p>
        </w:tc>
        <w:tc>
          <w:tcPr>
            <w:tcW w:w="680" w:type="dxa"/>
            <w:vAlign w:val="bottom"/>
          </w:tcPr>
          <w:p>
            <w:pPr>
              <w:jc w:val="right"/>
              <w:spacing w:after="0"/>
              <w:rPr>
                <w:sz w:val="20"/>
                <w:szCs w:val="20"/>
                <w:color w:val="auto"/>
              </w:rPr>
            </w:pPr>
            <w:r>
              <w:rPr>
                <w:rFonts w:ascii="Arial" w:cs="Arial" w:eastAsia="Arial" w:hAnsi="Arial"/>
                <w:sz w:val="16"/>
                <w:szCs w:val="16"/>
                <w:color w:val="auto"/>
              </w:rPr>
              <w:t>78,885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789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324,141</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(120,356 )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(52,136 )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(1,671 )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150,767</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-3347085</wp:posOffset>
            </wp:positionV>
            <wp:extent cx="76835"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-3347085</wp:posOffset>
            </wp:positionV>
            <wp:extent cx="76835"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-3347085</wp:posOffset>
            </wp:positionV>
            <wp:extent cx="7747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-3347085</wp:posOffset>
            </wp:positionV>
            <wp:extent cx="6858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-3347085</wp:posOffset>
            </wp:positionV>
            <wp:extent cx="6858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-3347085</wp:posOffset>
            </wp:positionV>
            <wp:extent cx="6858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-3347085</wp:posOffset>
            </wp:positionV>
            <wp:extent cx="6858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-3347085</wp:posOffset>
            </wp:positionV>
            <wp:extent cx="6858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-2044065</wp:posOffset>
            </wp:positionV>
            <wp:extent cx="76835"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-2044065</wp:posOffset>
            </wp:positionV>
            <wp:extent cx="76835" cy="282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-2044065</wp:posOffset>
            </wp:positionV>
            <wp:extent cx="77470" cy="282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-2044065</wp:posOffset>
            </wp:positionV>
            <wp:extent cx="68580" cy="282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-2044065</wp:posOffset>
            </wp:positionV>
            <wp:extent cx="68580" cy="282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-2044065</wp:posOffset>
            </wp:positionV>
            <wp:extent cx="68580"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-2044065</wp:posOffset>
            </wp:positionV>
            <wp:extent cx="68580"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-2044065</wp:posOffset>
            </wp:positionV>
            <wp:extent cx="68580" cy="282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-269875</wp:posOffset>
            </wp:positionV>
            <wp:extent cx="76835" cy="282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-269875</wp:posOffset>
            </wp:positionV>
            <wp:extent cx="76835" cy="282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-269875</wp:posOffset>
            </wp:positionV>
            <wp:extent cx="77470" cy="282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-269875</wp:posOffset>
            </wp:positionV>
            <wp:extent cx="68580" cy="282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-269875</wp:posOffset>
            </wp:positionV>
            <wp:extent cx="68580" cy="282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-269875</wp:posOffset>
            </wp:positionV>
            <wp:extent cx="68580"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-269875</wp:posOffset>
            </wp:positionV>
            <wp:extent cx="68580" cy="282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-269875</wp:posOffset>
            </wp:positionV>
            <wp:extent cx="68580" cy="282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82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3"/>
                <w:szCs w:val="13"/>
                <w:color w:val="auto"/>
                <w:w w:val="94"/>
              </w:rPr>
              <w:t>Additional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Common Stock</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3"/>
                <w:szCs w:val="13"/>
                <w:color w:val="auto"/>
                <w:w w:val="88"/>
              </w:rPr>
              <w:t>Paid-in</w:t>
            </w:r>
          </w:p>
        </w:tc>
        <w:tc>
          <w:tcPr>
            <w:tcW w:w="1900" w:type="dxa"/>
            <w:vAlign w:val="bottom"/>
            <w:gridSpan w:val="6"/>
          </w:tcPr>
          <w:p>
            <w:pPr>
              <w:jc w:val="right"/>
              <w:ind w:right="660"/>
              <w:spacing w:after="0"/>
              <w:rPr>
                <w:sz w:val="20"/>
                <w:szCs w:val="20"/>
                <w:color w:val="auto"/>
              </w:rPr>
            </w:pPr>
            <w:r>
              <w:rPr>
                <w:rFonts w:ascii="Arial" w:cs="Arial" w:eastAsia="Arial" w:hAnsi="Arial"/>
                <w:sz w:val="13"/>
                <w:szCs w:val="13"/>
                <w:color w:val="auto"/>
              </w:rPr>
              <w:t>Treasury Stock</w:t>
            </w: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Accumulated</w:t>
            </w:r>
          </w:p>
        </w:tc>
        <w:tc>
          <w:tcPr>
            <w:tcW w:w="1140" w:type="dxa"/>
            <w:vAlign w:val="bottom"/>
            <w:gridSpan w:val="3"/>
          </w:tcPr>
          <w:p>
            <w:pPr>
              <w:jc w:val="center"/>
              <w:ind w:right="220"/>
              <w:spacing w:after="0"/>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34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Shares</w:t>
            </w:r>
          </w:p>
        </w:tc>
        <w:tc>
          <w:tcPr>
            <w:tcW w:w="840" w:type="dxa"/>
            <w:vAlign w:val="bottom"/>
            <w:gridSpan w:val="4"/>
          </w:tcPr>
          <w:p>
            <w:pPr>
              <w:ind w:left="60"/>
              <w:spacing w:after="0"/>
              <w:rPr>
                <w:sz w:val="20"/>
                <w:szCs w:val="20"/>
                <w:color w:val="auto"/>
              </w:rPr>
            </w:pPr>
            <w:r>
              <w:rPr>
                <w:rFonts w:ascii="Arial" w:cs="Arial" w:eastAsia="Arial" w:hAnsi="Arial"/>
                <w:sz w:val="13"/>
                <w:szCs w:val="13"/>
                <w:color w:val="auto"/>
              </w:rPr>
              <w:t>Amounts</w:t>
            </w:r>
          </w:p>
        </w:tc>
        <w:tc>
          <w:tcPr>
            <w:tcW w:w="12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3"/>
                <w:szCs w:val="13"/>
                <w:color w:val="auto"/>
                <w:w w:val="88"/>
              </w:rPr>
              <w:t>Capital</w:t>
            </w:r>
          </w:p>
        </w:tc>
        <w:tc>
          <w:tcPr>
            <w:tcW w:w="840" w:type="dxa"/>
            <w:vAlign w:val="bottom"/>
            <w:gridSpan w:val="3"/>
          </w:tcPr>
          <w:p>
            <w:pPr>
              <w:ind w:left="140"/>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Amounts</w:t>
            </w: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Deficit</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87"/>
              </w:rPr>
              <w:t>Loss</w:t>
            </w:r>
          </w:p>
        </w:tc>
        <w:tc>
          <w:tcPr>
            <w:tcW w:w="2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Total</w:t>
            </w:r>
          </w:p>
        </w:tc>
      </w:tr>
      <w:tr>
        <w:trPr>
          <w:trHeight w:val="201"/>
        </w:trPr>
        <w:tc>
          <w:tcPr>
            <w:tcW w:w="34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29, 2022</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319,511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(92,658 )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0"/>
              </w:rPr>
              <w:t>(163,879 )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(5,525 )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58,219</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FF0FC"/>
          </w:tcPr>
          <w:p>
            <w:pPr>
              <w:spacing w:after="0"/>
              <w:rPr>
                <w:sz w:val="20"/>
                <w:szCs w:val="20"/>
                <w:color w:val="auto"/>
              </w:rPr>
            </w:pP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RSUs granted for achievement of performance-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6"/>
                <w:szCs w:val="16"/>
                <w:color w:val="auto"/>
              </w:rPr>
              <w:t>based</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compensation, reclassified from liability to equity</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8"/>
                <w:szCs w:val="18"/>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(85 )</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(414 )</w:t>
            </w: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(415 )</w:t>
            </w: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(946 )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(4,847 )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(4,847 )</w:t>
            </w: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20"/>
                <w:szCs w:val="20"/>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13,388</w:t>
            </w:r>
          </w:p>
        </w:tc>
        <w:tc>
          <w:tcPr>
            <w:tcW w:w="100" w:type="dxa"/>
            <w:vAlign w:val="bottom"/>
          </w:tcPr>
          <w:p>
            <w:pPr>
              <w:spacing w:after="0"/>
              <w:rPr>
                <w:sz w:val="19"/>
                <w:szCs w:val="19"/>
                <w:color w:val="auto"/>
              </w:rPr>
            </w:pPr>
          </w:p>
        </w:tc>
      </w:tr>
      <w:tr>
        <w:trPr>
          <w:trHeight w:val="203"/>
        </w:trPr>
        <w:tc>
          <w:tcPr>
            <w:tcW w:w="34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April 30, 2022</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320,745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(97,505 )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0"/>
              </w:rPr>
              <w:t>(150,491 )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(5,462 )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68,060</w:t>
            </w:r>
          </w:p>
        </w:tc>
        <w:tc>
          <w:tcPr>
            <w:tcW w:w="100" w:type="dxa"/>
            <w:vAlign w:val="bottom"/>
            <w:shd w:val="clear" w:color="auto" w:fill="CFF0FC"/>
          </w:tcPr>
          <w:p>
            <w:pPr>
              <w:spacing w:after="0"/>
              <w:rPr>
                <w:sz w:val="19"/>
                <w:szCs w:val="19"/>
                <w:color w:val="auto"/>
              </w:rPr>
            </w:pPr>
          </w:p>
        </w:tc>
      </w:tr>
      <w:tr>
        <w:trPr>
          <w:trHeight w:val="230"/>
        </w:trPr>
        <w:tc>
          <w:tcPr>
            <w:tcW w:w="3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(1,923 )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(7,881 )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(7,881 )</w:t>
            </w: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20"/>
                <w:szCs w:val="20"/>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56,942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56,942</w:t>
            </w:r>
          </w:p>
        </w:tc>
        <w:tc>
          <w:tcPr>
            <w:tcW w:w="100" w:type="dxa"/>
            <w:vAlign w:val="bottom"/>
          </w:tcPr>
          <w:p>
            <w:pPr>
              <w:spacing w:after="0"/>
              <w:rPr>
                <w:sz w:val="19"/>
                <w:szCs w:val="19"/>
                <w:color w:val="auto"/>
              </w:rPr>
            </w:pPr>
          </w:p>
        </w:tc>
      </w:tr>
      <w:tr>
        <w:trPr>
          <w:trHeight w:val="203"/>
        </w:trPr>
        <w:tc>
          <w:tcPr>
            <w:tcW w:w="34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July 30, 2022</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77,360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321,253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(105,386 )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(93,549 )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(5,397 )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117,695</w:t>
            </w:r>
          </w:p>
        </w:tc>
        <w:tc>
          <w:tcPr>
            <w:tcW w:w="100" w:type="dxa"/>
            <w:vAlign w:val="bottom"/>
            <w:shd w:val="clear" w:color="auto" w:fill="CFF0FC"/>
          </w:tcPr>
          <w:p>
            <w:pPr>
              <w:spacing w:after="0"/>
              <w:rPr>
                <w:sz w:val="19"/>
                <w:szCs w:val="19"/>
                <w:color w:val="auto"/>
              </w:rPr>
            </w:pPr>
          </w:p>
        </w:tc>
      </w:tr>
      <w:tr>
        <w:trPr>
          <w:trHeight w:val="230"/>
        </w:trPr>
        <w:tc>
          <w:tcPr>
            <w:tcW w:w="3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705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(305 )</w:t>
            </w:r>
          </w:p>
        </w:tc>
        <w:tc>
          <w:tcPr>
            <w:tcW w:w="2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(1,421 )</w:t>
            </w: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(1,424 )</w:t>
            </w: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10,473</w:t>
            </w:r>
          </w:p>
        </w:tc>
        <w:tc>
          <w:tcPr>
            <w:tcW w:w="100" w:type="dxa"/>
            <w:vAlign w:val="bottom"/>
            <w:shd w:val="clear" w:color="auto" w:fill="CFF0FC"/>
          </w:tcPr>
          <w:p>
            <w:pPr>
              <w:spacing w:after="0"/>
              <w:rPr>
                <w:sz w:val="20"/>
                <w:szCs w:val="20"/>
                <w:color w:val="auto"/>
              </w:rPr>
            </w:pPr>
          </w:p>
        </w:tc>
      </w:tr>
      <w:tr>
        <w:trPr>
          <w:trHeight w:val="203"/>
        </w:trPr>
        <w:tc>
          <w:tcPr>
            <w:tcW w:w="34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26"/>
        </w:trPr>
        <w:tc>
          <w:tcPr>
            <w:tcW w:w="3480" w:type="dxa"/>
            <w:vAlign w:val="bottom"/>
          </w:tcPr>
          <w:p>
            <w:pPr>
              <w:ind w:left="20"/>
              <w:spacing w:after="0"/>
              <w:rPr>
                <w:sz w:val="20"/>
                <w:szCs w:val="20"/>
                <w:color w:val="auto"/>
              </w:rPr>
            </w:pPr>
            <w:r>
              <w:rPr>
                <w:rFonts w:ascii="Arial" w:cs="Arial" w:eastAsia="Arial" w:hAnsi="Arial"/>
                <w:sz w:val="16"/>
                <w:szCs w:val="16"/>
                <w:color w:val="auto"/>
              </w:rPr>
              <w:t>Balance at October 29, 2022</w:t>
            </w:r>
          </w:p>
        </w:tc>
        <w:tc>
          <w:tcPr>
            <w:tcW w:w="680" w:type="dxa"/>
            <w:vAlign w:val="bottom"/>
          </w:tcPr>
          <w:p>
            <w:pPr>
              <w:jc w:val="right"/>
              <w:spacing w:after="0"/>
              <w:rPr>
                <w:sz w:val="20"/>
                <w:szCs w:val="20"/>
                <w:color w:val="auto"/>
              </w:rPr>
            </w:pPr>
            <w:r>
              <w:rPr>
                <w:rFonts w:ascii="Arial" w:cs="Arial" w:eastAsia="Arial" w:hAnsi="Arial"/>
                <w:sz w:val="16"/>
                <w:szCs w:val="16"/>
                <w:color w:val="auto"/>
              </w:rPr>
              <w:t>78,057</w:t>
            </w:r>
          </w:p>
        </w:tc>
        <w:tc>
          <w:tcPr>
            <w:tcW w:w="24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781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320,457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(105,386 )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(83,076 )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(5,332 )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127,444</w:t>
            </w:r>
          </w:p>
        </w:tc>
        <w:tc>
          <w:tcPr>
            <w:tcW w:w="10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-307975</wp:posOffset>
            </wp:positionV>
            <wp:extent cx="7683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-307975</wp:posOffset>
            </wp:positionV>
            <wp:extent cx="7683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-307975</wp:posOffset>
            </wp:positionV>
            <wp:extent cx="7747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-307975</wp:posOffset>
            </wp:positionV>
            <wp:extent cx="6858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6858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-307975</wp:posOffset>
            </wp:positionV>
            <wp:extent cx="6858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-307975</wp:posOffset>
            </wp:positionV>
            <wp:extent cx="6858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5"/>
          </w:tcPr>
          <w:p>
            <w:pPr>
              <w:jc w:val="right"/>
              <w:ind w:right="860"/>
              <w:spacing w:after="0"/>
              <w:rPr>
                <w:sz w:val="20"/>
                <w:szCs w:val="20"/>
                <w:color w:val="auto"/>
              </w:rPr>
            </w:pPr>
            <w:r>
              <w:rPr>
                <w:rFonts w:ascii="Arial" w:cs="Arial" w:eastAsia="Arial" w:hAnsi="Arial"/>
                <w:sz w:val="14"/>
                <w:szCs w:val="14"/>
                <w:color w:val="auto"/>
              </w:rPr>
              <w:t>For the Nine Months Ended</w:t>
            </w:r>
          </w:p>
        </w:tc>
      </w:tr>
      <w:tr>
        <w:trPr>
          <w:trHeight w:val="175"/>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October 28, 2023</w:t>
            </w:r>
          </w:p>
        </w:tc>
        <w:tc>
          <w:tcPr>
            <w:tcW w:w="160" w:type="dxa"/>
            <w:vAlign w:val="bottom"/>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October 29, 2022</w:t>
            </w:r>
          </w:p>
        </w:tc>
      </w:tr>
      <w:tr>
        <w:trPr>
          <w:trHeight w:val="181"/>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2023)</w:t>
            </w:r>
          </w:p>
        </w:tc>
        <w:tc>
          <w:tcPr>
            <w:tcW w:w="16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2022)</w:t>
            </w:r>
          </w:p>
        </w:tc>
      </w:tr>
      <w:tr>
        <w:trPr>
          <w:trHeight w:val="236"/>
        </w:trPr>
        <w:tc>
          <w:tcPr>
            <w:tcW w:w="8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22,620</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80,803</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Amortization of deferred debt issuance costs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(gain) of assets</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(398 )</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Loss on retirement plan terminations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Gain from the sale of equipment</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(136 )</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11,748</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taxes, net of valuation allowance</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(33,480 )</w:t>
            </w:r>
          </w:p>
        </w:tc>
      </w:tr>
      <w:tr>
        <w:trPr>
          <w:trHeight w:val="233"/>
        </w:trPr>
        <w:tc>
          <w:tcPr>
            <w:tcW w:w="8020" w:type="dxa"/>
            <w:vAlign w:val="bottom"/>
          </w:tcPr>
          <w:p>
            <w:pPr>
              <w:ind w:left="380"/>
              <w:spacing w:after="0"/>
              <w:rPr>
                <w:sz w:val="20"/>
                <w:szCs w:val="20"/>
                <w:color w:val="auto"/>
              </w:rPr>
            </w:pPr>
            <w:r>
              <w:rPr>
                <w:rFonts w:ascii="Arial" w:cs="Arial" w:eastAsia="Arial" w:hAnsi="Arial"/>
                <w:sz w:val="16"/>
                <w:szCs w:val="16"/>
                <w:color w:val="auto"/>
              </w:rPr>
              <w:t>Stock compensation expense</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Board of directors' stock compensation</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FF0FC"/>
          </w:tcPr>
          <w:p>
            <w:pPr>
              <w:spacing w:after="0"/>
              <w:rPr>
                <w:sz w:val="20"/>
                <w:szCs w:val="20"/>
                <w:color w:val="auto"/>
              </w:rPr>
            </w:pPr>
          </w:p>
        </w:tc>
      </w:tr>
      <w:tr>
        <w:trPr>
          <w:trHeight w:val="230"/>
        </w:trPr>
        <w:tc>
          <w:tcPr>
            <w:tcW w:w="8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(1,994 )</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(6,854 )</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(25,052 )</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(118 )</w:t>
            </w:r>
          </w:p>
        </w:tc>
        <w:tc>
          <w:tcPr>
            <w:tcW w:w="1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(1,892 )</w:t>
            </w: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(61 )</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leases, net</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(5,590 )</w:t>
            </w:r>
          </w:p>
        </w:tc>
      </w:tr>
      <w:tr>
        <w:trPr>
          <w:trHeight w:val="226"/>
        </w:trPr>
        <w:tc>
          <w:tcPr>
            <w:tcW w:w="8020" w:type="dxa"/>
            <w:vAlign w:val="bottom"/>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(7,533 )</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r>
      <w:tr>
        <w:trPr>
          <w:trHeight w:val="223"/>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33,101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8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Additions to property and equipment, net</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(10,404 )</w:t>
            </w:r>
          </w:p>
        </w:tc>
        <w:tc>
          <w:tcPr>
            <w:tcW w:w="1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(7,853 )</w:t>
            </w: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 of equipment</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Purchase of short-term investments</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(69,880 )</w:t>
            </w: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6"/>
        </w:trPr>
        <w:tc>
          <w:tcPr>
            <w:tcW w:w="8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Maturity of short-term investments</w:t>
            </w: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21,007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020" w:type="dxa"/>
            <w:vAlign w:val="bottom"/>
          </w:tcPr>
          <w:p>
            <w:pPr>
              <w:ind w:left="200"/>
              <w:spacing w:after="0"/>
              <w:rPr>
                <w:sz w:val="20"/>
                <w:szCs w:val="20"/>
                <w:color w:val="auto"/>
              </w:rPr>
            </w:pPr>
            <w:r>
              <w:rPr>
                <w:rFonts w:ascii="Arial" w:cs="Arial" w:eastAsia="Arial" w:hAnsi="Arial"/>
                <w:sz w:val="16"/>
                <w:szCs w:val="16"/>
                <w:color w:val="auto"/>
              </w:rPr>
              <w:t>Net cash used for investing activities</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(59,141 )</w:t>
            </w:r>
          </w:p>
        </w:tc>
        <w:tc>
          <w:tcPr>
            <w:tcW w:w="1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(7,853 )</w:t>
            </w:r>
          </w:p>
        </w:tc>
      </w:tr>
      <w:tr>
        <w:trPr>
          <w:trHeight w:val="226"/>
        </w:trPr>
        <w:tc>
          <w:tcPr>
            <w:tcW w:w="80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(14,850 )</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(12,728 )</w:t>
            </w:r>
          </w:p>
        </w:tc>
      </w:tr>
      <w:tr>
        <w:trPr>
          <w:trHeight w:val="220"/>
        </w:trPr>
        <w:tc>
          <w:tcPr>
            <w:tcW w:w="8020" w:type="dxa"/>
            <w:vAlign w:val="bottom"/>
          </w:tcPr>
          <w:p>
            <w:pPr>
              <w:ind w:left="380"/>
              <w:spacing w:after="0"/>
              <w:rPr>
                <w:sz w:val="20"/>
                <w:szCs w:val="20"/>
                <w:color w:val="auto"/>
              </w:rPr>
            </w:pPr>
            <w:r>
              <w:rPr>
                <w:rFonts w:ascii="Arial" w:cs="Arial" w:eastAsia="Arial" w:hAnsi="Arial"/>
                <w:sz w:val="16"/>
                <w:szCs w:val="16"/>
                <w:color w:val="auto"/>
              </w:rPr>
              <w:t>Tax withholdings paid related to net share settlements</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(758 )</w:t>
            </w:r>
          </w:p>
        </w:tc>
        <w:tc>
          <w:tcPr>
            <w:tcW w:w="1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(1,845 )</w:t>
            </w:r>
          </w:p>
        </w:tc>
      </w:tr>
      <w:tr>
        <w:trPr>
          <w:trHeight w:val="236"/>
        </w:trPr>
        <w:tc>
          <w:tcPr>
            <w:tcW w:w="8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Proceeds from the exercise of stock options</w:t>
            </w: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020" w:type="dxa"/>
            <w:vAlign w:val="bottom"/>
          </w:tcPr>
          <w:p>
            <w:pPr>
              <w:ind w:left="200"/>
              <w:spacing w:after="0"/>
              <w:rPr>
                <w:sz w:val="20"/>
                <w:szCs w:val="20"/>
                <w:color w:val="auto"/>
              </w:rPr>
            </w:pPr>
            <w:r>
              <w:rPr>
                <w:rFonts w:ascii="Arial" w:cs="Arial" w:eastAsia="Arial" w:hAnsi="Arial"/>
                <w:sz w:val="16"/>
                <w:szCs w:val="16"/>
                <w:color w:val="auto"/>
              </w:rPr>
              <w:t>Net cash used for financing activities</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(15,311 )</w:t>
            </w:r>
          </w:p>
        </w:tc>
        <w:tc>
          <w:tcPr>
            <w:tcW w:w="1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(14,337 )</w:t>
            </w:r>
          </w:p>
        </w:tc>
      </w:tr>
      <w:tr>
        <w:trPr>
          <w:trHeight w:val="20"/>
        </w:trPr>
        <w:tc>
          <w:tcPr>
            <w:tcW w:w="8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8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(41,351 )</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7,979</w:t>
            </w: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52,074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8020" w:type="dxa"/>
            <w:vAlign w:val="bottom"/>
          </w:tcPr>
          <w:p>
            <w:pPr>
              <w:ind w:left="200"/>
              <w:spacing w:after="0"/>
              <w:rPr>
                <w:sz w:val="20"/>
                <w:szCs w:val="20"/>
                <w:color w:val="auto"/>
              </w:rPr>
            </w:pPr>
            <w:r>
              <w:rPr>
                <w:rFonts w:ascii="Arial" w:cs="Arial" w:eastAsia="Arial" w:hAnsi="Arial"/>
                <w:sz w:val="16"/>
                <w:szCs w:val="16"/>
                <w:color w:val="auto"/>
              </w:rPr>
              <w:t>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10,723</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23,485</w:t>
            </w:r>
          </w:p>
        </w:tc>
        <w:tc>
          <w:tcPr>
            <w:tcW w:w="10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-2553970</wp:posOffset>
            </wp:positionV>
            <wp:extent cx="7747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-1670685</wp:posOffset>
            </wp:positionV>
            <wp:extent cx="7747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-779145</wp:posOffset>
            </wp:positionV>
            <wp:extent cx="7747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-179070</wp:posOffset>
            </wp:positionV>
            <wp:extent cx="7747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left="4280"/>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2023 included in the Company’s Annual Report on Form 10-K, which was filed with the Securities and Exchange Commission on March 16, 2023.</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2023 is a 53-week period ending on February 3, 2024, and fiscal 2022 was a 52-week period which ended on January 28,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Short-term investments consist of those investments that have a maturity date, when acquired, that is greater than three months and twelve months or less. </w:t>
      </w:r>
      <w:r>
        <w:rPr>
          <w:rFonts w:ascii="Arial" w:cs="Arial" w:eastAsia="Arial" w:hAnsi="Arial"/>
          <w:sz w:val="18"/>
          <w:szCs w:val="18"/>
          <w:color w:val="212121"/>
        </w:rPr>
        <w:t>These investments are classified as held-to-maturity and are carried at amortized cost, which approximates fair value due to the short period between purchase and maturity.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requires disclosure of the fair value of certain financial instruments.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w:t>
      </w:r>
      <w:r>
        <w:rPr>
          <w:rFonts w:ascii="Arial" w:cs="Arial" w:eastAsia="Arial" w:hAnsi="Arial"/>
          <w:sz w:val="16"/>
          <w:szCs w:val="16"/>
          <w:color w:val="auto"/>
        </w:rPr>
        <w:t>,” defines fair value, establishes a framework for measuring fair value and enhances disclosures about fair value measurements.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carrying amounts of cash and cash equivalents, accounts receivable, accounts payable and accrued expenses approximate fair value because of the short maturity of these instruments. See Note 10 -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for information regarding the fair value of certain financial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comprehensive income (loss) includes amounts related to foreign currency and retirement plans and is reported in the Consolidated Statements of Comprehensive Income (Loss). Other comprehensive income (loss) and reclassifications from AOCI for the three and nine months ended October 28, 2023 and October 29, 2022 were as follows: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2"/>
              </w:rPr>
              <w:t>October 28, 2023</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October 29, 2022</w:t>
            </w:r>
          </w:p>
        </w:tc>
        <w:tc>
          <w:tcPr>
            <w:tcW w:w="720" w:type="dxa"/>
            <w:vAlign w:val="bottom"/>
            <w:tcBorders>
              <w:bottom w:val="single" w:sz="8" w:color="auto"/>
            </w:tcBorders>
          </w:tcPr>
          <w:p>
            <w:pPr>
              <w:spacing w:after="0"/>
              <w:rPr>
                <w:sz w:val="15"/>
                <w:szCs w:val="15"/>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4"/>
                <w:szCs w:val="14"/>
                <w:i w:val="1"/>
                <w:iCs w:val="1"/>
                <w:color w:val="auto"/>
              </w:rPr>
              <w:t>For the three months ended:</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ind w:left="400"/>
              <w:spacing w:after="0"/>
              <w:rPr>
                <w:sz w:val="20"/>
                <w:szCs w:val="20"/>
                <w:color w:val="auto"/>
              </w:rPr>
            </w:pPr>
            <w:r>
              <w:rPr>
                <w:rFonts w:ascii="Arial" w:cs="Arial" w:eastAsia="Arial" w:hAnsi="Arial"/>
                <w:sz w:val="14"/>
                <w:szCs w:val="14"/>
                <w:i w:val="1"/>
                <w:iCs w:val="1"/>
                <w:color w:val="auto"/>
              </w:rPr>
              <w:t>(in</w:t>
            </w:r>
          </w:p>
        </w:tc>
        <w:tc>
          <w:tcPr>
            <w:tcW w:w="1040" w:type="dxa"/>
            <w:vAlign w:val="bottom"/>
            <w:gridSpan w:val="2"/>
          </w:tcPr>
          <w:p>
            <w:pPr>
              <w:spacing w:after="0"/>
              <w:rPr>
                <w:sz w:val="20"/>
                <w:szCs w:val="20"/>
                <w:color w:val="auto"/>
              </w:rPr>
            </w:pPr>
            <w:r>
              <w:rPr>
                <w:rFonts w:ascii="Arial" w:cs="Arial" w:eastAsia="Arial" w:hAnsi="Arial"/>
                <w:sz w:val="14"/>
                <w:szCs w:val="14"/>
                <w:i w:val="1"/>
                <w:iCs w:val="1"/>
                <w:color w:val="auto"/>
              </w:rPr>
              <w:t>thousands)</w:t>
            </w: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8"/>
        </w:trPr>
        <w:tc>
          <w:tcPr>
            <w:tcW w:w="5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Retirement</w:t>
            </w:r>
          </w:p>
        </w:tc>
        <w:tc>
          <w:tcPr>
            <w:tcW w:w="13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Foreign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Retirement</w:t>
            </w:r>
          </w:p>
        </w:tc>
        <w:tc>
          <w:tcPr>
            <w:tcW w:w="1280" w:type="dxa"/>
            <w:vAlign w:val="bottom"/>
          </w:tcPr>
          <w:p>
            <w:pPr>
              <w:ind w:left="340"/>
              <w:spacing w:after="0" w:line="149" w:lineRule="exact"/>
              <w:rPr>
                <w:sz w:val="20"/>
                <w:szCs w:val="20"/>
                <w:color w:val="auto"/>
              </w:rPr>
            </w:pPr>
            <w:r>
              <w:rPr>
                <w:rFonts w:ascii="Arial" w:cs="Arial" w:eastAsia="Arial" w:hAnsi="Arial"/>
                <w:sz w:val="14"/>
                <w:szCs w:val="14"/>
                <w:color w:val="auto"/>
              </w:rPr>
              <w:t>Foreign</w:t>
            </w:r>
          </w:p>
        </w:tc>
        <w:tc>
          <w:tcPr>
            <w:tcW w:w="720" w:type="dxa"/>
            <w:vAlign w:val="bottom"/>
          </w:tcPr>
          <w:p>
            <w:pPr>
              <w:spacing w:after="0"/>
              <w:rPr>
                <w:sz w:val="12"/>
                <w:szCs w:val="12"/>
                <w:color w:val="auto"/>
              </w:rPr>
            </w:pPr>
          </w:p>
        </w:tc>
      </w:tr>
      <w:tr>
        <w:trPr>
          <w:trHeight w:val="181"/>
        </w:trPr>
        <w:tc>
          <w:tcPr>
            <w:tcW w:w="5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Plans</w:t>
            </w:r>
          </w:p>
        </w:tc>
        <w:tc>
          <w:tcPr>
            <w:tcW w:w="1320" w:type="dxa"/>
            <w:vAlign w:val="bottom"/>
          </w:tcPr>
          <w:p>
            <w:pPr>
              <w:ind w:left="380"/>
              <w:spacing w:after="0"/>
              <w:rPr>
                <w:sz w:val="20"/>
                <w:szCs w:val="20"/>
                <w:color w:val="auto"/>
              </w:rPr>
            </w:pPr>
            <w:r>
              <w:rPr>
                <w:rFonts w:ascii="Arial" w:cs="Arial" w:eastAsia="Arial" w:hAnsi="Arial"/>
                <w:sz w:val="14"/>
                <w:szCs w:val="14"/>
                <w:color w:val="auto"/>
              </w:rPr>
              <w:t>Currency</w:t>
            </w:r>
          </w:p>
        </w:tc>
        <w:tc>
          <w:tcPr>
            <w:tcW w:w="740" w:type="dxa"/>
            <w:vAlign w:val="bottom"/>
          </w:tcPr>
          <w:p>
            <w:pPr>
              <w:ind w:left="20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Plans</w:t>
            </w:r>
          </w:p>
        </w:tc>
        <w:tc>
          <w:tcPr>
            <w:tcW w:w="1280" w:type="dxa"/>
            <w:vAlign w:val="bottom"/>
          </w:tcPr>
          <w:p>
            <w:pPr>
              <w:jc w:val="center"/>
              <w:ind w:right="28"/>
              <w:spacing w:after="0"/>
              <w:rPr>
                <w:sz w:val="20"/>
                <w:szCs w:val="20"/>
                <w:color w:val="auto"/>
              </w:rPr>
            </w:pPr>
            <w:r>
              <w:rPr>
                <w:rFonts w:ascii="Arial" w:cs="Arial" w:eastAsia="Arial" w:hAnsi="Arial"/>
                <w:sz w:val="14"/>
                <w:szCs w:val="14"/>
                <w:color w:val="auto"/>
                <w:w w:val="95"/>
              </w:rPr>
              <w:t>Currency</w:t>
            </w:r>
          </w:p>
        </w:tc>
        <w:tc>
          <w:tcPr>
            <w:tcW w:w="720" w:type="dxa"/>
            <w:vAlign w:val="bottom"/>
          </w:tcPr>
          <w:p>
            <w:pPr>
              <w:ind w:left="180"/>
              <w:spacing w:after="0"/>
              <w:rPr>
                <w:sz w:val="20"/>
                <w:szCs w:val="20"/>
                <w:color w:val="auto"/>
              </w:rPr>
            </w:pPr>
            <w:r>
              <w:rPr>
                <w:rFonts w:ascii="Arial" w:cs="Arial" w:eastAsia="Arial" w:hAnsi="Arial"/>
                <w:sz w:val="14"/>
                <w:szCs w:val="14"/>
                <w:color w:val="auto"/>
              </w:rPr>
              <w:t>Total</w:t>
            </w:r>
          </w:p>
        </w:tc>
      </w:tr>
    </w:tbl>
    <w:p>
      <w:pPr>
        <w:spacing w:after="0" w:line="13" w:lineRule="exact"/>
        <w:rPr>
          <w:sz w:val="20"/>
          <w:szCs w:val="20"/>
          <w:color w:val="auto"/>
        </w:rPr>
      </w:pPr>
    </w:p>
    <w:p>
      <w:pPr>
        <w:sectPr>
          <w:pgSz w:w="11900" w:h="16838" w:orient="portrait"/>
          <w:cols w:equalWidth="0" w:num="1">
            <w:col w:w="11240"/>
          </w:cols>
          <w:pgMar w:left="320" w:top="557" w:right="339" w:bottom="1440" w:gutter="0" w:footer="0" w:header="0"/>
        </w:sectPr>
      </w:pPr>
    </w:p>
    <w:p>
      <w:pPr>
        <w:ind w:left="20"/>
        <w:spacing w:after="0"/>
        <w:rPr>
          <w:sz w:val="20"/>
          <w:szCs w:val="20"/>
          <w:color w:val="auto"/>
        </w:rPr>
      </w:pPr>
      <w:r>
        <w:rPr>
          <w:rFonts w:ascii="Arial" w:cs="Arial" w:eastAsia="Arial" w:hAnsi="Arial"/>
          <w:sz w:val="18"/>
          <w:szCs w:val="18"/>
          <w:color w:val="auto"/>
        </w:rPr>
        <w:t>Balance at beginning of the quarter</w:t>
      </w:r>
    </w:p>
    <w:p>
      <w:pPr>
        <w:spacing w:after="0" w:line="279" w:lineRule="exact"/>
        <w:rPr>
          <w:sz w:val="20"/>
          <w:szCs w:val="20"/>
          <w:color w:val="auto"/>
        </w:rPr>
      </w:pPr>
    </w:p>
    <w:p>
      <w:pPr>
        <w:ind w:left="160" w:right="1680" w:hanging="134"/>
        <w:spacing w:after="0" w:line="277" w:lineRule="auto"/>
        <w:rPr>
          <w:sz w:val="20"/>
          <w:szCs w:val="20"/>
          <w:color w:val="auto"/>
        </w:rPr>
      </w:pPr>
      <w:r>
        <w:rPr>
          <w:rFonts w:ascii="Arial" w:cs="Arial" w:eastAsia="Arial" w:hAnsi="Arial"/>
          <w:sz w:val="18"/>
          <w:szCs w:val="18"/>
          <w:color w:val="auto"/>
        </w:rPr>
        <w:t>Other comprehensive income (loss) before reclassifications, net of taxes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Recognition of loss on retirement plan termination, net of taxes </w:t>
      </w:r>
      <w:r>
        <w:rPr>
          <w:rFonts w:ascii="Arial" w:cs="Arial" w:eastAsia="Arial" w:hAnsi="Arial"/>
          <w:sz w:val="21"/>
          <w:szCs w:val="21"/>
          <w:color w:val="auto"/>
          <w:vertAlign w:val="superscript"/>
        </w:rPr>
        <w:t>(1)</w:t>
      </w:r>
    </w:p>
    <w:p>
      <w:pPr>
        <w:spacing w:after="0" w:line="280" w:lineRule="exact"/>
        <w:rPr>
          <w:sz w:val="20"/>
          <w:szCs w:val="20"/>
          <w:color w:val="auto"/>
        </w:rPr>
      </w:pPr>
    </w:p>
    <w:p>
      <w:pPr>
        <w:ind w:left="160" w:right="1460" w:hanging="134"/>
        <w:spacing w:after="0" w:line="309" w:lineRule="auto"/>
        <w:rPr>
          <w:sz w:val="20"/>
          <w:szCs w:val="20"/>
          <w:color w:val="auto"/>
        </w:rPr>
      </w:pPr>
      <w:r>
        <w:rPr>
          <w:rFonts w:ascii="Arial" w:cs="Arial" w:eastAsia="Arial" w:hAnsi="Arial"/>
          <w:sz w:val="16"/>
          <w:szCs w:val="16"/>
          <w:color w:val="auto"/>
        </w:rPr>
        <w:t xml:space="preserve">Amounts reclassified from accumulated other comprehensive income, net of taxes </w:t>
      </w:r>
      <w:r>
        <w:rPr>
          <w:rFonts w:ascii="Arial" w:cs="Arial" w:eastAsia="Arial" w:hAnsi="Arial"/>
          <w:sz w:val="21"/>
          <w:szCs w:val="21"/>
          <w:color w:val="auto"/>
          <w:vertAlign w:val="superscript"/>
        </w:rPr>
        <w:t>(2)</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for the period</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quarter</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For the nine months ended:</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fiscal year</w:t>
      </w:r>
    </w:p>
    <w:p>
      <w:pPr>
        <w:spacing w:after="0" w:line="279" w:lineRule="exact"/>
        <w:rPr>
          <w:sz w:val="20"/>
          <w:szCs w:val="20"/>
          <w:color w:val="auto"/>
        </w:rPr>
      </w:pPr>
    </w:p>
    <w:p>
      <w:pPr>
        <w:ind w:left="160" w:right="1680" w:hanging="134"/>
        <w:spacing w:after="0" w:line="277" w:lineRule="auto"/>
        <w:rPr>
          <w:sz w:val="20"/>
          <w:szCs w:val="20"/>
          <w:color w:val="auto"/>
        </w:rPr>
      </w:pPr>
      <w:r>
        <w:rPr>
          <w:rFonts w:ascii="Arial" w:cs="Arial" w:eastAsia="Arial" w:hAnsi="Arial"/>
          <w:sz w:val="18"/>
          <w:szCs w:val="18"/>
          <w:color w:val="auto"/>
        </w:rPr>
        <w:t>Other comprehensive income (loss) before reclassifications, net of taxes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Recognition of loss on retirement plan termination, net of taxes </w:t>
      </w:r>
      <w:r>
        <w:rPr>
          <w:rFonts w:ascii="Arial" w:cs="Arial" w:eastAsia="Arial" w:hAnsi="Arial"/>
          <w:sz w:val="21"/>
          <w:szCs w:val="21"/>
          <w:color w:val="auto"/>
          <w:vertAlign w:val="superscript"/>
        </w:rPr>
        <w:t>(1)</w:t>
      </w:r>
    </w:p>
    <w:p>
      <w:pPr>
        <w:spacing w:after="0" w:line="280" w:lineRule="exact"/>
        <w:rPr>
          <w:sz w:val="20"/>
          <w:szCs w:val="20"/>
          <w:color w:val="auto"/>
        </w:rPr>
      </w:pPr>
    </w:p>
    <w:p>
      <w:pPr>
        <w:ind w:left="160" w:right="1460" w:hanging="134"/>
        <w:spacing w:after="0" w:line="309" w:lineRule="auto"/>
        <w:rPr>
          <w:sz w:val="20"/>
          <w:szCs w:val="20"/>
          <w:color w:val="auto"/>
        </w:rPr>
      </w:pPr>
      <w:r>
        <w:rPr>
          <w:rFonts w:ascii="Arial" w:cs="Arial" w:eastAsia="Arial" w:hAnsi="Arial"/>
          <w:sz w:val="16"/>
          <w:szCs w:val="16"/>
          <w:color w:val="auto"/>
        </w:rPr>
        <w:t xml:space="preserve">Amounts reclassified from accumulated other comprehensive income, net of taxes </w:t>
      </w:r>
      <w:r>
        <w:rPr>
          <w:rFonts w:ascii="Arial" w:cs="Arial" w:eastAsia="Arial" w:hAnsi="Arial"/>
          <w:sz w:val="21"/>
          <w:szCs w:val="21"/>
          <w:color w:val="auto"/>
          <w:vertAlign w:val="superscript"/>
        </w:rPr>
        <w:t>(2)</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for the period</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quarter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(1,751 )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4"/>
              <w:spacing w:after="0"/>
              <w:rPr>
                <w:sz w:val="20"/>
                <w:szCs w:val="20"/>
                <w:color w:val="auto"/>
              </w:rPr>
            </w:pPr>
            <w:r>
              <w:rPr>
                <w:rFonts w:ascii="Arial" w:cs="Arial" w:eastAsia="Arial" w:hAnsi="Arial"/>
                <w:sz w:val="18"/>
                <w:szCs w:val="18"/>
                <w:color w:val="auto"/>
              </w:rPr>
              <w:t>(1,751 )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(5,331 )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(66 )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(5,397 )</w:t>
            </w:r>
          </w:p>
        </w:tc>
      </w:tr>
      <w:tr>
        <w:trPr>
          <w:trHeight w:val="695"/>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r>
      <w:tr>
        <w:trPr>
          <w:trHeight w:val="486"/>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95"/>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3"/>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r>
      <w:tr>
        <w:trPr>
          <w:trHeight w:val="257"/>
        </w:trPr>
        <w:tc>
          <w:tcPr>
            <w:tcW w:w="18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300" w:type="dxa"/>
            <w:vAlign w:val="bottom"/>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260" w:type="dxa"/>
            <w:vAlign w:val="bottom"/>
            <w:gridSpan w:val="2"/>
          </w:tcPr>
          <w:p>
            <w:pPr>
              <w:spacing w:after="0"/>
              <w:rPr>
                <w:sz w:val="22"/>
                <w:szCs w:val="22"/>
                <w:color w:val="auto"/>
              </w:rPr>
            </w:pPr>
          </w:p>
        </w:tc>
        <w:tc>
          <w:tcPr>
            <w:tcW w:w="88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r>
      <w:tr>
        <w:trPr>
          <w:trHeight w:val="23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220" w:type="dxa"/>
            <w:vAlign w:val="bottom"/>
          </w:tcPr>
          <w:p>
            <w:pPr>
              <w:jc w:val="right"/>
              <w:ind w:right="84"/>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October 28, 2023</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4"/>
                <w:szCs w:val="14"/>
                <w:color w:val="auto"/>
                <w:w w:val="92"/>
              </w:rPr>
              <w:t>October 29, 2022</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4"/>
        </w:trPr>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i w:val="1"/>
                <w:iCs w:val="1"/>
                <w:color w:val="auto"/>
              </w:rPr>
              <w:t>(in</w:t>
            </w:r>
          </w:p>
        </w:tc>
        <w:tc>
          <w:tcPr>
            <w:tcW w:w="1100" w:type="dxa"/>
            <w:vAlign w:val="bottom"/>
            <w:gridSpan w:val="4"/>
          </w:tcPr>
          <w:p>
            <w:pPr>
              <w:jc w:val="right"/>
              <w:ind w:right="530"/>
              <w:spacing w:after="0"/>
              <w:rPr>
                <w:sz w:val="20"/>
                <w:szCs w:val="20"/>
                <w:color w:val="auto"/>
              </w:rPr>
            </w:pPr>
            <w:r>
              <w:rPr>
                <w:rFonts w:ascii="Arial" w:cs="Arial" w:eastAsia="Arial" w:hAnsi="Arial"/>
                <w:sz w:val="13"/>
                <w:szCs w:val="13"/>
                <w:i w:val="1"/>
                <w:iCs w:val="1"/>
                <w:color w:val="auto"/>
                <w:w w:val="71"/>
              </w:rPr>
              <w:t>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00" w:type="dxa"/>
            <w:vAlign w:val="bottom"/>
            <w:gridSpan w:val="3"/>
          </w:tcPr>
          <w:p>
            <w:pPr>
              <w:jc w:val="center"/>
              <w:ind w:right="10"/>
              <w:spacing w:after="0" w:line="149" w:lineRule="exact"/>
              <w:rPr>
                <w:sz w:val="20"/>
                <w:szCs w:val="20"/>
                <w:color w:val="auto"/>
              </w:rPr>
            </w:pPr>
            <w:r>
              <w:rPr>
                <w:rFonts w:ascii="Arial" w:cs="Arial" w:eastAsia="Arial" w:hAnsi="Arial"/>
                <w:sz w:val="14"/>
                <w:szCs w:val="14"/>
                <w:color w:val="auto"/>
                <w:w w:val="93"/>
              </w:rPr>
              <w:t>Retirement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Foreign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right"/>
              <w:ind w:right="70"/>
              <w:spacing w:after="0" w:line="149" w:lineRule="exact"/>
              <w:rPr>
                <w:sz w:val="20"/>
                <w:szCs w:val="20"/>
                <w:color w:val="auto"/>
              </w:rPr>
            </w:pPr>
            <w:r>
              <w:rPr>
                <w:rFonts w:ascii="Arial" w:cs="Arial" w:eastAsia="Arial" w:hAnsi="Arial"/>
                <w:sz w:val="14"/>
                <w:szCs w:val="14"/>
                <w:color w:val="auto"/>
              </w:rPr>
              <w:t>Retirement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9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180" w:type="dxa"/>
            <w:vAlign w:val="bottom"/>
          </w:tcPr>
          <w:p>
            <w:pPr>
              <w:spacing w:after="0"/>
              <w:rPr>
                <w:sz w:val="15"/>
                <w:szCs w:val="15"/>
                <w:color w:val="auto"/>
              </w:rPr>
            </w:pPr>
          </w:p>
        </w:tc>
        <w:tc>
          <w:tcPr>
            <w:tcW w:w="720" w:type="dxa"/>
            <w:vAlign w:val="bottom"/>
            <w:gridSpan w:val="2"/>
          </w:tcPr>
          <w:p>
            <w:pPr>
              <w:jc w:val="center"/>
              <w:ind w:right="190"/>
              <w:spacing w:after="0"/>
              <w:rPr>
                <w:sz w:val="20"/>
                <w:szCs w:val="20"/>
                <w:color w:val="auto"/>
              </w:rPr>
            </w:pPr>
            <w:r>
              <w:rPr>
                <w:rFonts w:ascii="Arial" w:cs="Arial" w:eastAsia="Arial" w:hAnsi="Arial"/>
                <w:sz w:val="14"/>
                <w:szCs w:val="14"/>
                <w:color w:val="auto"/>
                <w:w w:val="91"/>
              </w:rPr>
              <w:t>Plans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Currency</w:t>
            </w:r>
          </w:p>
        </w:tc>
        <w:tc>
          <w:tcPr>
            <w:tcW w:w="160" w:type="dxa"/>
            <w:vAlign w:val="bottom"/>
          </w:tcPr>
          <w:p>
            <w:pPr>
              <w:spacing w:after="0"/>
              <w:rPr>
                <w:sz w:val="15"/>
                <w:szCs w:val="15"/>
                <w:color w:val="auto"/>
              </w:rPr>
            </w:pPr>
          </w:p>
        </w:tc>
        <w:tc>
          <w:tcPr>
            <w:tcW w:w="840" w:type="dxa"/>
            <w:vAlign w:val="bottom"/>
            <w:gridSpan w:val="2"/>
          </w:tcPr>
          <w:p>
            <w:pPr>
              <w:jc w:val="right"/>
              <w:ind w:right="404"/>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700" w:type="dxa"/>
            <w:vAlign w:val="bottom"/>
            <w:gridSpan w:val="2"/>
          </w:tcPr>
          <w:p>
            <w:pPr>
              <w:jc w:val="right"/>
              <w:ind w:right="230"/>
              <w:spacing w:after="0"/>
              <w:rPr>
                <w:sz w:val="20"/>
                <w:szCs w:val="20"/>
                <w:color w:val="auto"/>
              </w:rPr>
            </w:pPr>
            <w:r>
              <w:rPr>
                <w:rFonts w:ascii="Arial" w:cs="Arial" w:eastAsia="Arial" w:hAnsi="Arial"/>
                <w:sz w:val="14"/>
                <w:szCs w:val="14"/>
                <w:color w:val="auto"/>
              </w:rPr>
              <w:t>Plans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5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5"/>
                <w:szCs w:val="15"/>
                <w:color w:val="auto"/>
              </w:rPr>
            </w:pPr>
          </w:p>
        </w:tc>
        <w:tc>
          <w:tcPr>
            <w:tcW w:w="680" w:type="dxa"/>
            <w:vAlign w:val="bottom"/>
            <w:gridSpan w:val="2"/>
          </w:tcPr>
          <w:p>
            <w:pPr>
              <w:jc w:val="right"/>
              <w:ind w:right="241"/>
              <w:spacing w:after="0"/>
              <w:rPr>
                <w:sz w:val="20"/>
                <w:szCs w:val="20"/>
                <w:color w:val="auto"/>
              </w:rPr>
            </w:pPr>
            <w:r>
              <w:rPr>
                <w:rFonts w:ascii="Arial" w:cs="Arial" w:eastAsia="Arial" w:hAnsi="Arial"/>
                <w:sz w:val="14"/>
                <w:szCs w:val="14"/>
                <w:color w:val="auto"/>
              </w:rPr>
              <w:t>Total</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220" w:type="dxa"/>
            <w:vAlign w:val="bottom"/>
          </w:tcPr>
          <w:p>
            <w:pPr>
              <w:jc w:val="right"/>
              <w:ind w:right="84"/>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701"/>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24"/>
                <w:szCs w:val="24"/>
                <w:color w:val="auto"/>
              </w:rPr>
            </w:pPr>
          </w:p>
        </w:tc>
      </w:tr>
      <w:tr>
        <w:trPr>
          <w:trHeight w:val="486"/>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695"/>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3"/>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4"/>
                <w:szCs w:val="24"/>
                <w:color w:val="auto"/>
              </w:rPr>
            </w:pPr>
          </w:p>
        </w:tc>
      </w:tr>
      <w:tr>
        <w:trPr>
          <w:trHeight w:val="256"/>
        </w:trPr>
        <w:tc>
          <w:tcPr>
            <w:tcW w:w="18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300" w:type="dxa"/>
            <w:vAlign w:val="bottom"/>
            <w:gridSpan w:val="2"/>
          </w:tcPr>
          <w:p>
            <w:pPr>
              <w:spacing w:after="0"/>
              <w:rPr>
                <w:sz w:val="22"/>
                <w:szCs w:val="22"/>
                <w:color w:val="auto"/>
              </w:rPr>
            </w:pPr>
          </w:p>
        </w:tc>
        <w:tc>
          <w:tcPr>
            <w:tcW w:w="90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260" w:type="dxa"/>
            <w:vAlign w:val="bottom"/>
            <w:gridSpan w:val="2"/>
          </w:tcPr>
          <w:p>
            <w:pPr>
              <w:spacing w:after="0"/>
              <w:rPr>
                <w:sz w:val="22"/>
                <w:szCs w:val="22"/>
                <w:color w:val="auto"/>
              </w:rPr>
            </w:pPr>
          </w:p>
        </w:tc>
        <w:tc>
          <w:tcPr>
            <w:tcW w:w="88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r>
      <w:tr>
        <w:trPr>
          <w:trHeight w:val="23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220" w:type="dxa"/>
            <w:vAlign w:val="bottom"/>
          </w:tcPr>
          <w:p>
            <w:pPr>
              <w:jc w:val="right"/>
              <w:ind w:right="84"/>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9"/>
        </w:trPr>
        <w:tc>
          <w:tcPr>
            <w:tcW w:w="180" w:type="dxa"/>
            <w:vAlign w:val="bottom"/>
          </w:tcPr>
          <w:p>
            <w:pPr>
              <w:spacing w:after="0"/>
              <w:rPr>
                <w:sz w:val="24"/>
                <w:szCs w:val="24"/>
                <w:color w:val="auto"/>
              </w:rPr>
            </w:pPr>
          </w:p>
        </w:tc>
        <w:tc>
          <w:tcPr>
            <w:tcW w:w="620" w:type="dxa"/>
            <w:vAlign w:val="bottom"/>
          </w:tcPr>
          <w:p>
            <w:pPr>
              <w:jc w:val="center"/>
              <w:ind w:right="91"/>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-4731385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-4285615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-3977005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-3531235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-3222625</wp:posOffset>
            </wp:positionV>
            <wp:extent cx="7132320" cy="342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-2125345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-1679575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-1370965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-925195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-616585</wp:posOffset>
            </wp:positionV>
            <wp:extent cx="7132320"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55880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60" w:space="460"/>
            <w:col w:w="6020"/>
          </w:cols>
          <w:pgMar w:left="320" w:top="557" w:right="339" w:bottom="1440" w:gutter="0" w:footer="0" w:header="0"/>
          <w:type w:val="continuous"/>
        </w:sectPr>
      </w:pPr>
    </w:p>
    <w:bookmarkStart w:id="9" w:name="page10"/>
    <w:bookmarkEnd w:id="9"/>
    <w:p>
      <w:pPr>
        <w:jc w:val="both"/>
        <w:ind w:left="760" w:hanging="378"/>
        <w:spacing w:after="0" w:line="25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Company's decision to terminate its frozen retirement plans, the Company completed a termination of its Supplemental Executive Retirement Plan ("SERP") in the third quarter of fiscal 2023 and recognized the loss in AOCI of $31,000, with no related tax effect. Results for the nine months ended October 28, 2023 also reflect the partial settlement of the Pension Plan which resulted in the recognition of $4.2 million loss on termination, or $3.1 million net of taxes.</w:t>
      </w:r>
    </w:p>
    <w:p>
      <w:pPr>
        <w:spacing w:after="0" w:line="2" w:lineRule="exact"/>
        <w:rPr>
          <w:rFonts w:ascii="Arial" w:cs="Arial" w:eastAsia="Arial" w:hAnsi="Arial"/>
          <w:sz w:val="18"/>
          <w:szCs w:val="18"/>
          <w:color w:val="auto"/>
        </w:rPr>
      </w:pPr>
    </w:p>
    <w:p>
      <w:pPr>
        <w:jc w:val="both"/>
        <w:ind w:left="760" w:hanging="378"/>
        <w:spacing w:after="0" w:line="252"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amortization of the unrecognized loss on retirement plans, which was charged to “Selling, General and Administrative” Expense on the Consolidated Statements of Operations for all periods presented. The Company recognized expense of $47,000, or $35,000 net of taxes, for the three months ended October 28, 2023 and expense of $139,000, or $103,000 net of taxes, for the nine months ended October 28, 2023. For the three and nine months ended October 29, 2022, the Company recognized income of $9,000 and $29,000, respectively, as a result of a change in amortization from average remaining future service to average remaining lifetime. There was no related tax effect for the three and nine months ended October 29,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based on the assumptions in the table below as it relates to stock options granted during the first nine months of fiscal 2023 and fiscal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97"/>
              </w:rPr>
              <w:t>October 28, 2023</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97"/>
              </w:rPr>
              <w:t>October 29, 2022</w:t>
            </w:r>
          </w:p>
        </w:tc>
        <w:tc>
          <w:tcPr>
            <w:tcW w:w="100" w:type="dxa"/>
            <w:vAlign w:val="bottom"/>
          </w:tcPr>
          <w:p>
            <w:pPr>
              <w:spacing w:after="0"/>
              <w:rPr>
                <w:sz w:val="15"/>
                <w:szCs w:val="15"/>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 - 92.1%</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 - 123.7%</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3.71%-4.42%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 - 4.41%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yrs.</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2.0 - 3.5 yrs.</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third quarter of fiscal 2023, the Company granted performance stock units (PSUs) with a market condition. The respective grant-date fair value and derived service periods assigned to the PSUs were determined using a Monte Carlo model. The valuation included assumptions with respect to the volatility, risk-free rate and cost of equity are discussed in Note 6,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were no impairments or non-cash gains recognized in the three and nine months ended October 28, 2023 or for the three months ended October 29, 2022. For the nine months ended October 29, 2022, the Company recognized a non-cash gain of $0.6 million. The non-cash gain related to the Company’s decision to close certain retail stores, which resulted in a revaluation of the existing lease liabilities. The portion of the gain that related to previously recorded impairment charges against the operating lease right-of-use asset was included as an offset to previously recorded asset impairment charges. Accordingly, for the nine months ended October 29, 2022, $0.4 million was included as an offset to asset impairment charges. The remaining gain for the nine months ended October 29, 2022 was included as a reduction of store occupancy costs.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October 28, 2023, the Company had no short-term leases.</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right-of-use asset and amortized as reductions to rent expense over the associated lease term.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See Note 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September 2022, the FASB issued Accounting Standards Update ("ASU") </w:t>
      </w:r>
      <w:r>
        <w:rPr>
          <w:rFonts w:ascii="Arial" w:cs="Arial" w:eastAsia="Arial" w:hAnsi="Arial"/>
          <w:sz w:val="17"/>
          <w:szCs w:val="17"/>
          <w:color w:val="252525"/>
        </w:rPr>
        <w:t>2022</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xml:space="preserve"> </w:t>
      </w:r>
      <w:r>
        <w:rPr>
          <w:rFonts w:ascii="Arial" w:cs="Arial" w:eastAsia="Arial" w:hAnsi="Arial"/>
          <w:sz w:val="17"/>
          <w:szCs w:val="17"/>
          <w:i w:val="1"/>
          <w:iCs w:val="1"/>
          <w:color w:val="252525"/>
        </w:rPr>
        <w:t>Liabilities – Supplier Finance Programs,</w:t>
      </w:r>
      <w:r>
        <w:rPr>
          <w:rFonts w:ascii="Arial" w:cs="Arial" w:eastAsia="Arial" w:hAnsi="Arial"/>
          <w:sz w:val="17"/>
          <w:szCs w:val="17"/>
          <w:color w:val="auto"/>
        </w:rPr>
        <w:t xml:space="preserve"> which is intended to enhance the transparency surrounding the use of supplier finance programs in connection with the purchase of goods and services. The guidance requires companies that use supplier finance programs to make annual disclosures about the program’s key terms, the balance sheet presentation of related amounts, the confirmed amount outstanding at the end of the period and associated rollforward information. The new standard does not affect the recognition, measurement, or financial statement presentation of supplier finance program obligations. ASU 2022-04 was adopted in the first quarter of fiscal 2023, with the exception of the rollforward information, which is not effective until fiscal 2024. The adoption of ASU 2022-04 did not have a material effect on the Company's Consolidated Financial Statements as the Company does not participate in supplier finance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Adopted</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July 2023, the FASB issued ASU 2023-03, </w:t>
      </w:r>
      <w:r>
        <w:rPr>
          <w:rFonts w:ascii="Arial" w:cs="Arial" w:eastAsia="Arial" w:hAnsi="Arial"/>
          <w:sz w:val="17"/>
          <w:szCs w:val="17"/>
          <w:i w:val="1"/>
          <w:iCs w:val="1"/>
          <w:color w:val="auto"/>
        </w:rPr>
        <w:t>Presentation of Financial Statements (Topic 205), Income Statement - Reporting 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w:t>
      </w:r>
      <w:r>
        <w:rPr>
          <w:rFonts w:ascii="Arial" w:cs="Arial" w:eastAsia="Arial" w:hAnsi="Arial"/>
          <w:sz w:val="17"/>
          <w:szCs w:val="17"/>
          <w:color w:val="auto"/>
        </w:rPr>
        <w:t>which amends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supersedes various SEC paragraphs within the Accounting Standards Codification to conform to past SEC announcements and guidance issued by the SEC. The ASU does not provide any new guidance, and as such, there is no transition effective date. ASU </w:t>
      </w:r>
      <w:r>
        <w:rPr>
          <w:rFonts w:ascii="Arial" w:cs="Arial" w:eastAsia="Arial" w:hAnsi="Arial"/>
          <w:sz w:val="17"/>
          <w:szCs w:val="17"/>
          <w:i w:val="1"/>
          <w:iCs w:val="1"/>
          <w:color w:val="auto"/>
        </w:rPr>
        <w:t>2023</w:t>
      </w:r>
      <w:r>
        <w:rPr>
          <w:rFonts w:ascii="Arial" w:cs="Arial" w:eastAsia="Arial" w:hAnsi="Arial"/>
          <w:sz w:val="17"/>
          <w:szCs w:val="17"/>
          <w:color w:val="auto"/>
        </w:rPr>
        <w:t>-</w:t>
      </w:r>
      <w:r>
        <w:rPr>
          <w:rFonts w:ascii="Arial" w:cs="Arial" w:eastAsia="Arial" w:hAnsi="Arial"/>
          <w:sz w:val="17"/>
          <w:szCs w:val="17"/>
          <w:i w:val="1"/>
          <w:iCs w:val="1"/>
          <w:color w:val="auto"/>
        </w:rPr>
        <w:t>03</w:t>
      </w:r>
      <w:r>
        <w:rPr>
          <w:rFonts w:ascii="Arial" w:cs="Arial" w:eastAsia="Arial" w:hAnsi="Arial"/>
          <w:sz w:val="17"/>
          <w:szCs w:val="17"/>
          <w:color w:val="auto"/>
        </w:rPr>
        <w:t xml:space="preserve"> is not expected to have a material impact on the Company's Consolidated Financial Statements.</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There were no other new accounting pronouncements, issued or effective during the first nine months of fiscal 2023, which had or are expected to have a significant impact on the Company’s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212121"/>
        </w:rPr>
        <w:t xml:space="preserve">The Company operates as a retailer of big and tall men’s clothing, which includes stores and direct. </w:t>
      </w:r>
      <w:r>
        <w:rPr>
          <w:rFonts w:ascii="Arial" w:cs="Arial" w:eastAsia="Arial" w:hAnsi="Arial"/>
          <w:sz w:val="18"/>
          <w:szCs w:val="18"/>
          <w:color w:val="000000"/>
        </w:rPr>
        <w:t>Revenue is recognized by the operating segment that</w:t>
      </w:r>
      <w:r>
        <w:rPr>
          <w:rFonts w:ascii="Arial" w:cs="Arial" w:eastAsia="Arial" w:hAnsi="Arial"/>
          <w:sz w:val="18"/>
          <w:szCs w:val="18"/>
          <w:color w:val="212121"/>
        </w:rPr>
        <w:t xml:space="preserve"> </w:t>
      </w:r>
      <w:r>
        <w:rPr>
          <w:rFonts w:ascii="Arial" w:cs="Arial" w:eastAsia="Arial" w:hAnsi="Arial"/>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Arial" w:cs="Arial" w:eastAsia="Arial" w:hAnsi="Arial"/>
          <w:sz w:val="18"/>
          <w:szCs w:val="18"/>
          <w:color w:val="212121"/>
        </w:rPr>
        <w:t>Generally, all revenues are recognized</w:t>
      </w:r>
      <w:r>
        <w:rPr>
          <w:rFonts w:ascii="Arial" w:cs="Arial" w:eastAsia="Arial" w:hAnsi="Arial"/>
          <w:sz w:val="18"/>
          <w:szCs w:val="18"/>
          <w:color w:val="000000"/>
        </w:rPr>
        <w:t xml:space="preserve"> </w:t>
      </w:r>
      <w:r>
        <w:rPr>
          <w:rFonts w:ascii="Arial" w:cs="Arial" w:eastAsia="Arial" w:hAnsi="Arial"/>
          <w:sz w:val="18"/>
          <w:szCs w:val="18"/>
          <w:color w:val="212121"/>
        </w:rPr>
        <w:t xml:space="preserve">when control of the promised goods is transferred to customers, in an amount that reflects the consideration in exchange for those goods. </w:t>
      </w:r>
      <w:r>
        <w:rPr>
          <w:rFonts w:ascii="Arial" w:cs="Arial" w:eastAsia="Arial" w:hAnsi="Arial"/>
          <w:sz w:val="18"/>
          <w:szCs w:val="18"/>
          <w:color w:val="000000"/>
        </w:rPr>
        <w:t>Sales tax</w:t>
      </w:r>
      <w:r>
        <w:rPr>
          <w:rFonts w:ascii="Arial" w:cs="Arial" w:eastAsia="Arial" w:hAnsi="Arial"/>
          <w:sz w:val="18"/>
          <w:szCs w:val="18"/>
          <w:color w:val="212121"/>
        </w:rPr>
        <w:t xml:space="preserve"> </w:t>
      </w:r>
      <w:r>
        <w:rPr>
          <w:rFonts w:ascii="Arial" w:cs="Arial" w:eastAsia="Arial" w:hAnsi="Arial"/>
          <w:sz w:val="18"/>
          <w:szCs w:val="18"/>
          <w:color w:val="000000"/>
        </w:rPr>
        <w:t>collected from customers and remitted to taxing authorities is excluded from revenue and is included as part of accrued expenses on the Consolidated Balance Sheets.</w:t>
      </w:r>
    </w:p>
    <w:p>
      <w:pPr>
        <w:spacing w:after="0" w:line="84"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i w:val="1"/>
          <w:iCs w:val="1"/>
          <w:color w:val="auto"/>
        </w:rPr>
        <w:t xml:space="preserve">Unredeemed Gift Cards, Gift Certificates, and Credit Vouchers. </w:t>
      </w:r>
      <w:r>
        <w:rPr>
          <w:rFonts w:ascii="Arial" w:cs="Arial" w:eastAsia="Arial" w:hAnsi="Arial"/>
          <w:sz w:val="16"/>
          <w:szCs w:val="16"/>
          <w:color w:val="auto"/>
        </w:rPr>
        <w:t>Upon issuance of a gift card, gift certificate, or credit voucher, a liability is established for</w:t>
      </w:r>
      <w:r>
        <w:rPr>
          <w:rFonts w:ascii="Arial" w:cs="Arial" w:eastAsia="Arial" w:hAnsi="Arial"/>
          <w:sz w:val="16"/>
          <w:szCs w:val="16"/>
          <w:i w:val="1"/>
          <w:iCs w:val="1"/>
          <w:color w:val="auto"/>
        </w:rPr>
        <w:t xml:space="preserve"> </w:t>
      </w:r>
      <w:r>
        <w:rPr>
          <w:rFonts w:ascii="Arial" w:cs="Arial" w:eastAsia="Arial" w:hAnsi="Arial"/>
          <w:sz w:val="16"/>
          <w:szCs w:val="16"/>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$2.0 million and $3.4 million at October 28, 2023 and January 28, 2023, respectively.</w:t>
      </w:r>
    </w:p>
    <w:p>
      <w:pPr>
        <w:spacing w:after="0" w:line="5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i w:val="1"/>
          <w:iCs w:val="1"/>
          <w:color w:val="auto"/>
        </w:rPr>
        <w:t xml:space="preserve">Unredeemed Loyalty Coupons. </w:t>
      </w:r>
      <w:r>
        <w:rPr>
          <w:rFonts w:ascii="Arial" w:cs="Arial" w:eastAsia="Arial" w:hAnsi="Arial"/>
          <w:sz w:val="18"/>
          <w:szCs w:val="18"/>
          <w:color w:val="auto"/>
        </w:rPr>
        <w:t>The Company offers a free loyalty program to its customers for which points accumulate based on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merchandise.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$1.7 million and $1.6 million at October 28, 2023 and January 28, 2023, respectively.</w:t>
      </w:r>
    </w:p>
    <w:p>
      <w:pPr>
        <w:spacing w:after="0" w:line="8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 xml:space="preserve">As noted above under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in Note 1, the Company’s business consists of one reportable segment, its retail segment. Substantially all of the Company’s revenue is generated from its stores and direct businesses. Results for the nine months ended October 29, 2022 included operating results from the wholesale segment, which was discontinued in the first quarter of fiscal 2022. Accordingly, the Company has determined that the following sales channels depict the nature, amount, timing, and uncertainty of how revenue and cash flows are affected by economic factors: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40" w:type="dxa"/>
            <w:vAlign w:val="bottom"/>
            <w:gridSpan w:val="5"/>
          </w:tcPr>
          <w:p>
            <w:pPr>
              <w:jc w:val="center"/>
              <w:ind w:right="330"/>
              <w:spacing w:after="0"/>
              <w:rPr>
                <w:sz w:val="20"/>
                <w:szCs w:val="20"/>
                <w:color w:val="auto"/>
              </w:rPr>
            </w:pPr>
            <w:r>
              <w:rPr>
                <w:rFonts w:ascii="Arial" w:cs="Arial" w:eastAsia="Arial" w:hAnsi="Arial"/>
                <w:sz w:val="18"/>
                <w:szCs w:val="18"/>
                <w:color w:val="auto"/>
                <w:w w:val="90"/>
              </w:rPr>
              <w:t>For the Three Months Ended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6"/>
          </w:tcPr>
          <w:p>
            <w:pPr>
              <w:jc w:val="right"/>
              <w:ind w:right="550"/>
              <w:spacing w:after="0"/>
              <w:rPr>
                <w:sz w:val="20"/>
                <w:szCs w:val="20"/>
                <w:color w:val="auto"/>
              </w:rPr>
            </w:pPr>
            <w:r>
              <w:rPr>
                <w:rFonts w:ascii="Arial" w:cs="Arial" w:eastAsia="Arial" w:hAnsi="Arial"/>
                <w:sz w:val="18"/>
                <w:szCs w:val="18"/>
                <w:color w:val="auto"/>
              </w:rPr>
              <w:t>For the Nine Months Ended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3"/>
              </w:rPr>
              <w:t>October 29,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1"/>
              </w:rPr>
              <w:t>October 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1"/>
              </w:rPr>
              <w:t>October 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October 28, 2023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226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82,997</w:t>
            </w:r>
          </w:p>
        </w:tc>
        <w:tc>
          <w:tcPr>
            <w:tcW w:w="880" w:type="dxa"/>
            <w:vAlign w:val="bottom"/>
            <w:gridSpan w:val="2"/>
          </w:tcPr>
          <w:p>
            <w:pPr>
              <w:jc w:val="center"/>
              <w:ind w:right="50"/>
              <w:spacing w:after="0"/>
              <w:rPr>
                <w:sz w:val="20"/>
                <w:szCs w:val="20"/>
                <w:color w:val="auto"/>
              </w:rPr>
            </w:pPr>
            <w:r>
              <w:rPr>
                <w:rFonts w:ascii="Arial" w:cs="Arial" w:eastAsia="Arial" w:hAnsi="Arial"/>
                <w:sz w:val="18"/>
                <w:szCs w:val="18"/>
                <w:i w:val="1"/>
                <w:iCs w:val="1"/>
                <w:color w:val="auto"/>
                <w:w w:val="90"/>
              </w:rPr>
              <w:t>69.6%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91,770</w:t>
            </w:r>
          </w:p>
        </w:tc>
        <w:tc>
          <w:tcPr>
            <w:tcW w:w="860" w:type="dxa"/>
            <w:vAlign w:val="bottom"/>
            <w:gridSpan w:val="2"/>
          </w:tcPr>
          <w:p>
            <w:pPr>
              <w:jc w:val="right"/>
              <w:ind w:right="170"/>
              <w:spacing w:after="0"/>
              <w:rPr>
                <w:sz w:val="20"/>
                <w:szCs w:val="20"/>
                <w:color w:val="auto"/>
              </w:rPr>
            </w:pPr>
            <w:r>
              <w:rPr>
                <w:rFonts w:ascii="Arial" w:cs="Arial" w:eastAsia="Arial" w:hAnsi="Arial"/>
                <w:sz w:val="18"/>
                <w:szCs w:val="18"/>
                <w:i w:val="1"/>
                <w:iCs w:val="1"/>
                <w:color w:val="auto"/>
              </w:rPr>
              <w:t>70.8%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267,739</w:t>
            </w:r>
          </w:p>
        </w:tc>
        <w:tc>
          <w:tcPr>
            <w:tcW w:w="940" w:type="dxa"/>
            <w:vAlign w:val="bottom"/>
            <w:gridSpan w:val="4"/>
          </w:tcPr>
          <w:p>
            <w:pPr>
              <w:jc w:val="right"/>
              <w:spacing w:after="0"/>
              <w:rPr>
                <w:sz w:val="20"/>
                <w:szCs w:val="20"/>
                <w:color w:val="auto"/>
              </w:rPr>
            </w:pPr>
            <w:r>
              <w:rPr>
                <w:rFonts w:ascii="Arial" w:cs="Arial" w:eastAsia="Arial" w:hAnsi="Arial"/>
                <w:sz w:val="18"/>
                <w:szCs w:val="18"/>
                <w:i w:val="1"/>
                <w:iCs w:val="1"/>
                <w:color w:val="auto"/>
              </w:rPr>
              <w:t>69.6 %</w:t>
            </w: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280,973</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70.0 %</w:t>
            </w:r>
          </w:p>
        </w:tc>
      </w:tr>
      <w:tr>
        <w:trPr>
          <w:trHeight w:val="256"/>
        </w:trPr>
        <w:tc>
          <w:tcPr>
            <w:tcW w:w="2260" w:type="dxa"/>
            <w:vAlign w:val="bottom"/>
          </w:tcPr>
          <w:p>
            <w:pPr>
              <w:ind w:left="20"/>
              <w:spacing w:after="0"/>
              <w:rPr>
                <w:sz w:val="20"/>
                <w:szCs w:val="20"/>
                <w:color w:val="auto"/>
              </w:rPr>
            </w:pPr>
            <w:r>
              <w:rPr>
                <w:rFonts w:ascii="Arial" w:cs="Arial" w:eastAsia="Arial" w:hAnsi="Arial"/>
                <w:sz w:val="18"/>
                <w:szCs w:val="18"/>
                <w:color w:val="auto"/>
              </w:rPr>
              <w:t>Direct sales</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36,191</w:t>
            </w:r>
          </w:p>
        </w:tc>
        <w:tc>
          <w:tcPr>
            <w:tcW w:w="120" w:type="dxa"/>
            <w:vAlign w:val="bottom"/>
          </w:tcPr>
          <w:p>
            <w:pPr>
              <w:spacing w:after="0"/>
              <w:rPr>
                <w:sz w:val="22"/>
                <w:szCs w:val="22"/>
                <w:color w:val="auto"/>
              </w:rPr>
            </w:pPr>
          </w:p>
        </w:tc>
        <w:tc>
          <w:tcPr>
            <w:tcW w:w="760" w:type="dxa"/>
            <w:vAlign w:val="bottom"/>
          </w:tcPr>
          <w:p>
            <w:pPr>
              <w:jc w:val="center"/>
              <w:ind w:right="170"/>
              <w:spacing w:after="0"/>
              <w:rPr>
                <w:sz w:val="20"/>
                <w:szCs w:val="20"/>
                <w:color w:val="auto"/>
              </w:rPr>
            </w:pPr>
            <w:r>
              <w:rPr>
                <w:rFonts w:ascii="Arial" w:cs="Arial" w:eastAsia="Arial" w:hAnsi="Arial"/>
                <w:sz w:val="18"/>
                <w:szCs w:val="18"/>
                <w:i w:val="1"/>
                <w:iCs w:val="1"/>
                <w:color w:val="auto"/>
                <w:w w:val="90"/>
              </w:rPr>
              <w:t>30.4%</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37,901</w:t>
            </w:r>
          </w:p>
        </w:tc>
        <w:tc>
          <w:tcPr>
            <w:tcW w:w="120" w:type="dxa"/>
            <w:vAlign w:val="bottom"/>
          </w:tcPr>
          <w:p>
            <w:pPr>
              <w:spacing w:after="0"/>
              <w:rPr>
                <w:sz w:val="22"/>
                <w:szCs w:val="22"/>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i w:val="1"/>
                <w:iCs w:val="1"/>
                <w:color w:val="auto"/>
                <w:w w:val="90"/>
              </w:rPr>
              <w:t>29.2%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116,934</w:t>
            </w:r>
          </w:p>
        </w:tc>
        <w:tc>
          <w:tcPr>
            <w:tcW w:w="12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i w:val="1"/>
                <w:iCs w:val="1"/>
                <w:color w:val="auto"/>
              </w:rPr>
              <w:t>30.4 %</w:t>
            </w:r>
          </w:p>
        </w:tc>
        <w:tc>
          <w:tcPr>
            <w:tcW w:w="1100" w:type="dxa"/>
            <w:vAlign w:val="bottom"/>
          </w:tcPr>
          <w:p>
            <w:pPr>
              <w:jc w:val="right"/>
              <w:spacing w:after="0"/>
              <w:rPr>
                <w:sz w:val="20"/>
                <w:szCs w:val="20"/>
                <w:color w:val="auto"/>
              </w:rPr>
            </w:pPr>
            <w:r>
              <w:rPr>
                <w:rFonts w:ascii="Arial" w:cs="Arial" w:eastAsia="Arial" w:hAnsi="Arial"/>
                <w:sz w:val="18"/>
                <w:szCs w:val="18"/>
                <w:color w:val="auto"/>
              </w:rPr>
              <w:t>120,588</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30.0 %</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Retail segment</w:t>
            </w:r>
          </w:p>
        </w:tc>
        <w:tc>
          <w:tcPr>
            <w:tcW w:w="2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119,188</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129,671</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384,673</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401,561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119,188</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129,671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384,673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401,960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316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-187960</wp:posOffset>
            </wp:positionV>
            <wp:extent cx="7747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-187960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Citizens Bank, N.A.</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On October 28, 2021, the Company entered into a credit facility with Citizens Bank, N.A. On April 20, 2023, the Company entered into the First Amendment to Credit Agreement which provided for the replacement of the London Interbank Offering Rate (“LIBOR”) interest rate options with the secured overnight financing rate ("SOFR") based options (as amended, the "Credit Facility").</w:t>
      </w:r>
    </w:p>
    <w:p>
      <w:pPr>
        <w:spacing w:after="0" w:line="76"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Credit Facility provides for a $125.0 million secured, asset-based credit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4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Effective April 20, 2023, 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86" w:right="279" w:bottom="1440" w:gutter="0" w:footer="0" w:header="0"/>
        </w:sectPr>
      </w:pPr>
    </w:p>
    <w:bookmarkStart w:id="12" w:name="page13"/>
    <w:bookmarkEnd w:id="12"/>
    <w:p>
      <w:pPr>
        <w:ind w:right="280"/>
        <w:spacing w:after="0" w:line="279" w:lineRule="auto"/>
        <w:rPr>
          <w:sz w:val="20"/>
          <w:szCs w:val="20"/>
          <w:color w:val="auto"/>
        </w:rPr>
      </w:pPr>
      <w:r>
        <w:rPr>
          <w:rFonts w:ascii="Arial" w:cs="Arial" w:eastAsia="Arial" w:hAnsi="Arial"/>
          <w:sz w:val="17"/>
          <w:szCs w:val="17"/>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October 28, 2023, the Company had no borrowings outstanding under the Credit Facility and unused availability was $87.6 million. The Company had no borrowings during the first nine months of fiscal 2023, resulting in an average unused excess availability of approximately $84.3 million. Outstanding standby letters of credit were $4.3 million and outstanding documentary letters were $0.4 million at October 28, 2023. At October 28, 2023, the Company’s prime-based interest rate was 8.75%.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is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October 28, 2023, the Company’s operating leases liabilities represent the present value of the remaining future minimum lease payments updated based on concessions and lease modifications.</w:t>
      </w:r>
    </w:p>
    <w:p>
      <w:pPr>
        <w:spacing w:after="0" w:line="7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is a summary of the Company’s components of net lease cost for the three and nine months ended October 28, 2023 and October 29,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320" w:type="dxa"/>
            <w:vAlign w:val="bottom"/>
            <w:gridSpan w:val="6"/>
            <w:shd w:val="clear" w:color="auto" w:fill="CFF0FC"/>
          </w:tcPr>
          <w:p>
            <w:pPr>
              <w:jc w:val="right"/>
              <w:ind w:right="760"/>
              <w:spacing w:after="0"/>
              <w:rPr>
                <w:sz w:val="20"/>
                <w:szCs w:val="20"/>
                <w:color w:val="auto"/>
              </w:rPr>
            </w:pPr>
            <w:r>
              <w:rPr>
                <w:rFonts w:ascii="Arial" w:cs="Arial" w:eastAsia="Arial" w:hAnsi="Arial"/>
                <w:sz w:val="18"/>
                <w:szCs w:val="18"/>
                <w:color w:val="auto"/>
              </w:rPr>
              <w:t>For the three months ended</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320" w:type="dxa"/>
            <w:vAlign w:val="bottom"/>
            <w:gridSpan w:val="8"/>
            <w:shd w:val="clear" w:color="auto" w:fill="CFF0FC"/>
          </w:tcPr>
          <w:p>
            <w:pPr>
              <w:ind w:left="580"/>
              <w:spacing w:after="0"/>
              <w:rPr>
                <w:sz w:val="20"/>
                <w:szCs w:val="20"/>
                <w:color w:val="auto"/>
              </w:rPr>
            </w:pPr>
            <w:r>
              <w:rPr>
                <w:rFonts w:ascii="Arial" w:cs="Arial" w:eastAsia="Arial" w:hAnsi="Arial"/>
                <w:sz w:val="18"/>
                <w:szCs w:val="18"/>
                <w:color w:val="auto"/>
              </w:rPr>
              <w:t>For the nine months ended</w:t>
            </w:r>
          </w:p>
        </w:tc>
      </w:tr>
      <w:tr>
        <w:trPr>
          <w:trHeight w:val="189"/>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w w:val="89"/>
              </w:rPr>
              <w:t>October 28, 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w w:val="89"/>
              </w:rPr>
              <w:t>October 29, 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w w:val="90"/>
              </w:rPr>
              <w:t>October 28, 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October 29, 2022</w:t>
            </w:r>
          </w:p>
        </w:tc>
      </w:tr>
      <w:tr>
        <w:trPr>
          <w:trHeight w:val="34"/>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11,420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11,365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33,461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33,123</w:t>
            </w:r>
          </w:p>
        </w:tc>
        <w:tc>
          <w:tcPr>
            <w:tcW w:w="100" w:type="dxa"/>
            <w:vAlign w:val="bottom"/>
          </w:tcPr>
          <w:p>
            <w:pPr>
              <w:spacing w:after="0"/>
              <w:rPr>
                <w:sz w:val="20"/>
                <w:szCs w:val="20"/>
                <w:color w:val="auto"/>
              </w:rPr>
            </w:pPr>
          </w:p>
        </w:tc>
      </w:tr>
      <w:tr>
        <w:trPr>
          <w:trHeight w:val="249"/>
        </w:trPr>
        <w:tc>
          <w:tcPr>
            <w:tcW w:w="404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4"/>
                <w:szCs w:val="24"/>
                <w:color w:val="auto"/>
                <w:vertAlign w:val="superscript"/>
              </w:rPr>
              <w:t>(1)</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3,261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9,648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14,610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14,626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43,109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42,657</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Variable lease costs include the cost of property taxes, insurance and common area maintenance fees related to leases.</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Supplemental cash flow and balance sheet information related to leases for the first nine months ended October 28, 2023 and October 29, 2022 was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shd w:val="clear" w:color="auto" w:fill="CFF0FC"/>
          </w:tcPr>
          <w:p>
            <w:pPr>
              <w:spacing w:after="0"/>
              <w:rPr>
                <w:sz w:val="21"/>
                <w:szCs w:val="21"/>
                <w:color w:val="auto"/>
              </w:rPr>
            </w:pPr>
          </w:p>
        </w:tc>
        <w:tc>
          <w:tcPr>
            <w:tcW w:w="3460" w:type="dxa"/>
            <w:vAlign w:val="bottom"/>
            <w:gridSpan w:val="6"/>
            <w:shd w:val="clear" w:color="auto" w:fill="CFF0FC"/>
          </w:tcPr>
          <w:p>
            <w:pPr>
              <w:jc w:val="right"/>
              <w:ind w:right="920"/>
              <w:spacing w:after="0"/>
              <w:rPr>
                <w:sz w:val="20"/>
                <w:szCs w:val="20"/>
                <w:color w:val="auto"/>
              </w:rPr>
            </w:pPr>
            <w:r>
              <w:rPr>
                <w:rFonts w:ascii="Arial" w:cs="Arial" w:eastAsia="Arial" w:hAnsi="Arial"/>
                <w:sz w:val="18"/>
                <w:szCs w:val="18"/>
                <w:color w:val="auto"/>
              </w:rPr>
              <w:t>For the nine months ended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20"/>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tcPr>
          <w:p>
            <w:pPr>
              <w:spacing w:after="0"/>
              <w:rPr>
                <w:sz w:val="16"/>
                <w:szCs w:val="16"/>
                <w:color w:val="auto"/>
              </w:rPr>
            </w:pPr>
          </w:p>
        </w:tc>
        <w:tc>
          <w:tcPr>
            <w:tcW w:w="164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w w:val="87"/>
              </w:rPr>
              <w:t>October 28, 2023</w:t>
            </w:r>
          </w:p>
        </w:tc>
        <w:tc>
          <w:tcPr>
            <w:tcW w:w="200" w:type="dxa"/>
            <w:vAlign w:val="bottom"/>
          </w:tcPr>
          <w:p>
            <w:pPr>
              <w:spacing w:after="0"/>
              <w:rPr>
                <w:sz w:val="16"/>
                <w:szCs w:val="16"/>
                <w:color w:val="auto"/>
              </w:rPr>
            </w:pPr>
          </w:p>
        </w:tc>
        <w:tc>
          <w:tcPr>
            <w:tcW w:w="1620" w:type="dxa"/>
            <w:vAlign w:val="bottom"/>
            <w:gridSpan w:val="3"/>
          </w:tcPr>
          <w:p>
            <w:pPr>
              <w:jc w:val="right"/>
              <w:ind w:right="320"/>
              <w:spacing w:after="0" w:line="189" w:lineRule="exact"/>
              <w:rPr>
                <w:sz w:val="20"/>
                <w:szCs w:val="20"/>
                <w:color w:val="auto"/>
              </w:rPr>
            </w:pPr>
            <w:r>
              <w:rPr>
                <w:rFonts w:ascii="Arial" w:cs="Arial" w:eastAsia="Arial" w:hAnsi="Arial"/>
                <w:sz w:val="18"/>
                <w:szCs w:val="18"/>
                <w:color w:val="auto"/>
                <w:w w:val="91"/>
              </w:rPr>
              <w:t>October 29, 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shd w:val="clear" w:color="auto" w:fill="CFF0FC"/>
          </w:tcPr>
          <w:p>
            <w:pPr>
              <w:ind w:left="120"/>
              <w:spacing w:after="0" w:line="243" w:lineRule="exact"/>
              <w:rPr>
                <w:sz w:val="20"/>
                <w:szCs w:val="20"/>
                <w:color w:val="auto"/>
              </w:rPr>
            </w:pPr>
            <w:r>
              <w:rPr>
                <w:rFonts w:ascii="Arial" w:cs="Arial" w:eastAsia="Arial" w:hAnsi="Arial"/>
                <w:sz w:val="18"/>
                <w:szCs w:val="18"/>
                <w:color w:val="auto"/>
              </w:rPr>
              <w:t xml:space="preserve">Operating cash flows for operating leases </w:t>
            </w:r>
            <w:r>
              <w:rPr>
                <w:rFonts w:ascii="Arial" w:cs="Arial" w:eastAsia="Arial" w:hAnsi="Arial"/>
                <w:sz w:val="24"/>
                <w:szCs w:val="24"/>
                <w:color w:val="auto"/>
                <w:vertAlign w:val="superscript"/>
              </w:rPr>
              <w:t>(1)</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34,121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42,001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Non-cash operating 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39,119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20,667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38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4.8 yrs.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4.3 yrs.</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80" w:type="dxa"/>
            <w:vAlign w:val="bottom"/>
          </w:tcPr>
          <w:p>
            <w:pPr>
              <w:spacing w:after="0"/>
              <w:rPr>
                <w:sz w:val="21"/>
                <w:szCs w:val="21"/>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6.48 %</w:t>
            </w:r>
          </w:p>
        </w:tc>
        <w:tc>
          <w:tcPr>
            <w:tcW w:w="200" w:type="dxa"/>
            <w:vAlign w:val="bottom"/>
          </w:tcPr>
          <w:p>
            <w:pPr>
              <w:spacing w:after="0"/>
              <w:rPr>
                <w:sz w:val="21"/>
                <w:szCs w:val="21"/>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6.45 %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cash paid for the first nine months of fiscal 2023 and fiscal 2022 included prepaid rent of $0.6 million and $4.1 million, respectively.</w:t>
      </w:r>
    </w:p>
    <w:p>
      <w:pPr>
        <w:spacing w:after="0" w:line="3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October 28,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2023 (remaining)</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49,316</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2025</w:t>
            </w:r>
          </w:p>
        </w:tc>
        <w:tc>
          <w:tcPr>
            <w:tcW w:w="3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41,254</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28,561</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2027</w:t>
            </w:r>
          </w:p>
        </w:tc>
        <w:tc>
          <w:tcPr>
            <w:tcW w:w="3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21,131</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186,939</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160,340</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34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119,502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-788670</wp:posOffset>
            </wp:positionV>
            <wp:extent cx="6858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2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As of October 28, 2023, the Company had entered into a ten-year store lease that has not yet commenced with aggregated estimated future lease payments of approximately $1.5 million, which are not included in the above table. The lease is expected to commence in the first quarter of fiscal 2024.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Incentive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2020-2022 LTIP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performance targets for the Company’s 2020-2022 LTIP were approved by the Compensation Committee of the Board of Directors (the "Compensation Committee”) on June 11, 2020, and covered a three-year period performance period, which ended on January 28, 2023. The time-vested portion of the 2020-2022 LTIP vests in four annual installments, with the remaining installment vesting on April 1, 2024.</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6, 2023, the Compensation Committee approved a grant of awards equal to $2.8 million for the achievement of the performance target for the 2020-2022 LTIP. The awards were granted on March 23, 2023, following completion of the audited financial statements, in a combination of 50% cash and 50% restricted stock units ("RSUs"). All awards were subject to further vesting through August 31, 2023. In connection with the grant of 267,219 RSUs, the Company reclassified $1.1 million of its liability accrual from “Accrued expenses and other current liabilities” to “Additional paid-in capital”. See the Consolidated Statement of Changes in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Active LTIPs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October 28, 2023, the Company had three active LTIPs: the 2021-2023 LTIP, the 2022-2024 LTIP and the 2023-2025 LTIP. The time-based awards under the 2021-2023 LTIP were granted in a combination of 25% stock options and 75% cash, and the time-based awards under the 2022-2024 LTIP and the 2023-2025 LTIP were granted in a combination of 50% RSUs and 50% cash.</w:t>
      </w:r>
    </w:p>
    <w:p>
      <w:pPr>
        <w:spacing w:after="0" w:line="7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Performance targets for the 2021-2023 LTIP, 2022-2024 LTIP and the 2023-2025 LITP were established and approved by the Compensation Committee on March 8, 2021, April 9, 2022 and May 1, 2023, respectively. The performance period for each LTIP is three years. Awards for any achievement of performance targets will not be granted until the performance targets are achieved and then will be subject to an additional service requirement through August 31, 2024, August 31, 2025 and August 31, 2026, respectively. The time-based awards under the 2021-2023 LTIP, 2022-2024 LTIP and 2023-2025 LTIP vest in four equal installments through April 1, 2025, April 1, 2026 and April 1, 2027, respectively. Assuming that the Company achieves the performance targets at target levels and all time-based awards vest, the compensation expense associated with the 2021-2023 LTIP, 2022-2024 LTIP and 2023-2025 LTIP is estimated to be approximately $4.1 million, $4.7 million and $4.9 million, respectively. Approximately half of the compensation expense for each LTIP relates to the time-based awards, which are being expensed straight-line over 49 months, 48 months and 47 months,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60"/>
        <w:spacing w:after="0" w:line="277" w:lineRule="auto"/>
        <w:rPr>
          <w:sz w:val="20"/>
          <w:szCs w:val="20"/>
          <w:color w:val="auto"/>
        </w:rPr>
      </w:pPr>
      <w:r>
        <w:rPr>
          <w:rFonts w:ascii="Arial" w:cs="Arial" w:eastAsia="Arial" w:hAnsi="Arial"/>
          <w:sz w:val="18"/>
          <w:szCs w:val="18"/>
          <w:color w:val="auto"/>
        </w:rPr>
        <w:t>At October 28, 2023, the Company had accrued $2.3 million under the 2021-2023 LTIP and $1.4 million under the 2022-2024 LTIP for the performance awards. At October 28, 2023, the Company had no accrual for the performance-based awards under the 2023-2025 LTIP.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one active stock-based compensation plan: the 2016 Incentive Compensation Plan (as amended,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October 28, 2023, 15,120,538 shares were authorized under the 2016 Plan, of which 2,288,734 shares remained available for grant.</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October 28, 2023, 90,487 stock options remained outstanding under the 2006 Plan.</w:t>
      </w:r>
    </w:p>
    <w:p>
      <w:pPr>
        <w:spacing w:after="0" w:line="7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share activity and stock option activity for the first nine months of fiscal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4"/>
                <w:szCs w:val="14"/>
                <w:color w:val="auto"/>
                <w:w w:val="93"/>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 xml:space="preserve">RSUs </w:t>
            </w:r>
            <w:r>
              <w:rPr>
                <w:rFonts w:ascii="Arial" w:cs="Arial" w:eastAsia="Arial" w:hAnsi="Arial"/>
                <w:sz w:val="19"/>
                <w:szCs w:val="19"/>
                <w:color w:val="auto"/>
                <w:vertAlign w:val="superscript"/>
              </w:rPr>
              <w:t>(1)</w:t>
            </w:r>
          </w:p>
        </w:tc>
        <w:tc>
          <w:tcPr>
            <w:tcW w:w="820" w:type="dxa"/>
            <w:vAlign w:val="bottom"/>
          </w:tcPr>
          <w:p>
            <w:pPr>
              <w:jc w:val="right"/>
              <w:ind w:right="75"/>
              <w:spacing w:after="0" w:line="141" w:lineRule="exact"/>
              <w:rPr>
                <w:sz w:val="20"/>
                <w:szCs w:val="20"/>
                <w:color w:val="auto"/>
              </w:rPr>
            </w:pPr>
            <w:r>
              <w:rPr>
                <w:rFonts w:ascii="Arial" w:cs="Arial" w:eastAsia="Arial" w:hAnsi="Arial"/>
                <w:sz w:val="14"/>
                <w:szCs w:val="14"/>
                <w:color w:val="auto"/>
              </w:rPr>
              <w:t>Deferred</w:t>
            </w:r>
          </w:p>
        </w:tc>
        <w:tc>
          <w:tcPr>
            <w:tcW w:w="240" w:type="dxa"/>
            <w:vAlign w:val="bottom"/>
          </w:tcPr>
          <w:p>
            <w:pPr>
              <w:spacing w:after="0"/>
              <w:rPr>
                <w:sz w:val="12"/>
                <w:szCs w:val="12"/>
                <w:color w:val="auto"/>
              </w:rPr>
            </w:pP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w w:val="99"/>
              </w:rPr>
              <w:t>Performance</w:t>
            </w:r>
          </w:p>
        </w:tc>
        <w:tc>
          <w:tcPr>
            <w:tcW w:w="112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Fully-Vested</w:t>
            </w:r>
          </w:p>
        </w:tc>
        <w:tc>
          <w:tcPr>
            <w:tcW w:w="1040" w:type="dxa"/>
            <w:vAlign w:val="bottom"/>
            <w:gridSpan w:val="2"/>
          </w:tcPr>
          <w:p>
            <w:pPr>
              <w:jc w:val="right"/>
              <w:ind w:right="240"/>
              <w:spacing w:after="0" w:line="141" w:lineRule="exact"/>
              <w:rPr>
                <w:sz w:val="20"/>
                <w:szCs w:val="20"/>
                <w:color w:val="auto"/>
              </w:rPr>
            </w:pPr>
            <w:r>
              <w:rPr>
                <w:rFonts w:ascii="Arial" w:cs="Arial" w:eastAsia="Arial" w:hAnsi="Arial"/>
                <w:sz w:val="14"/>
                <w:szCs w:val="14"/>
                <w:color w:val="auto"/>
                <w:w w:val="94"/>
              </w:rPr>
              <w:t>Total number</w:t>
            </w:r>
          </w:p>
        </w:tc>
        <w:tc>
          <w:tcPr>
            <w:tcW w:w="120" w:type="dxa"/>
            <w:vAlign w:val="bottom"/>
          </w:tcPr>
          <w:p>
            <w:pPr>
              <w:spacing w:after="0"/>
              <w:rPr>
                <w:sz w:val="12"/>
                <w:szCs w:val="12"/>
                <w:color w:val="auto"/>
              </w:rPr>
            </w:pPr>
          </w:p>
        </w:tc>
        <w:tc>
          <w:tcPr>
            <w:tcW w:w="780" w:type="dxa"/>
            <w:vAlign w:val="bottom"/>
          </w:tcPr>
          <w:p>
            <w:pPr>
              <w:jc w:val="center"/>
              <w:ind w:right="37"/>
              <w:spacing w:after="0" w:line="141" w:lineRule="exact"/>
              <w:rPr>
                <w:sz w:val="20"/>
                <w:szCs w:val="20"/>
                <w:color w:val="auto"/>
              </w:rPr>
            </w:pPr>
            <w:r>
              <w:rPr>
                <w:rFonts w:ascii="Arial" w:cs="Arial" w:eastAsia="Arial" w:hAnsi="Arial"/>
                <w:sz w:val="14"/>
                <w:szCs w:val="14"/>
                <w:color w:val="auto"/>
                <w:w w:val="90"/>
              </w:rPr>
              <w:t>grant-date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20" w:type="dxa"/>
            <w:vAlign w:val="bottom"/>
          </w:tcPr>
          <w:p>
            <w:pPr>
              <w:jc w:val="right"/>
              <w:ind w:right="75"/>
              <w:spacing w:after="0" w:line="18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(2)</w:t>
            </w:r>
          </w:p>
        </w:tc>
        <w:tc>
          <w:tcPr>
            <w:tcW w:w="24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4"/>
                <w:szCs w:val="14"/>
                <w:color w:val="auto"/>
                <w:w w:val="90"/>
              </w:rPr>
              <w:t xml:space="preserve">Share Units </w:t>
            </w:r>
            <w:r>
              <w:rPr>
                <w:rFonts w:ascii="Arial" w:cs="Arial" w:eastAsia="Arial" w:hAnsi="Arial"/>
                <w:sz w:val="19"/>
                <w:szCs w:val="19"/>
                <w:color w:val="auto"/>
                <w:w w:val="90"/>
                <w:vertAlign w:val="superscript"/>
              </w:rPr>
              <w:t>(3)</w:t>
            </w:r>
          </w:p>
        </w:tc>
        <w:tc>
          <w:tcPr>
            <w:tcW w:w="1120" w:type="dxa"/>
            <w:vAlign w:val="bottom"/>
            <w:gridSpan w:val="2"/>
          </w:tcPr>
          <w:p>
            <w:pPr>
              <w:jc w:val="right"/>
              <w:ind w:right="380"/>
              <w:spacing w:after="0" w:line="18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of shares</w:t>
            </w:r>
          </w:p>
        </w:tc>
        <w:tc>
          <w:tcPr>
            <w:tcW w:w="12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Outstanding non-vested shares at beginning of year</w:t>
            </w:r>
          </w:p>
        </w:tc>
        <w:tc>
          <w:tcPr>
            <w:tcW w:w="940" w:type="dxa"/>
            <w:vAlign w:val="bottom"/>
          </w:tcPr>
          <w:p>
            <w:pPr>
              <w:jc w:val="right"/>
              <w:spacing w:after="0"/>
              <w:rPr>
                <w:sz w:val="20"/>
                <w:szCs w:val="20"/>
                <w:color w:val="auto"/>
              </w:rPr>
            </w:pPr>
            <w:r>
              <w:rPr>
                <w:rFonts w:ascii="Arial" w:cs="Arial" w:eastAsia="Arial" w:hAnsi="Arial"/>
                <w:sz w:val="18"/>
                <w:szCs w:val="18"/>
                <w:color w:val="auto"/>
              </w:rPr>
              <w:t>520,008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435,568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granted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547,294</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573,000</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19,772</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Shares vested and/or issued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(535,786 )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(19,772 )</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(555,558 )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expired</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(240,000 )</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(240,000 )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0"/>
              <w:spacing w:after="0"/>
              <w:rPr>
                <w:sz w:val="20"/>
                <w:szCs w:val="20"/>
                <w:color w:val="auto"/>
              </w:rPr>
            </w:pPr>
            <w:r>
              <w:rPr>
                <w:rFonts w:ascii="Arial" w:cs="Arial" w:eastAsia="Arial" w:hAnsi="Arial"/>
                <w:sz w:val="18"/>
                <w:szCs w:val="18"/>
                <w:color w:val="auto"/>
              </w:rPr>
              <w:t>Shares forfeited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(50,612 )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(50,612 )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1,489,47</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non-vested shares at end of quarter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480,904</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435,568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573,000</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760" w:hanging="378"/>
        <w:spacing w:after="0" w:line="286"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During the first nine months of fiscal 2023, the Company granted RSUs for the achievement of performance metrics under the 2020-2022 LTIP that were subject to additional vesting through August 31, 2023 and time-based RSUs under its LTIPs. See Note 5,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As a result of net share settlements, of the 535,786 RSUs that vested, only 383,174 shares of common stock were issued.</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outstanding deferred shares will be issued upon the director’s separation from service.</w:t>
      </w:r>
    </w:p>
    <w:p>
      <w:pPr>
        <w:spacing w:after="0" w:line="117" w:lineRule="exact"/>
        <w:rPr>
          <w:rFonts w:ascii="Arial" w:cs="Arial" w:eastAsia="Arial" w:hAnsi="Arial"/>
          <w:sz w:val="18"/>
          <w:szCs w:val="18"/>
          <w:color w:val="auto"/>
        </w:rPr>
      </w:pPr>
    </w:p>
    <w:p>
      <w:pPr>
        <w:jc w:val="both"/>
        <w:ind w:left="760" w:hanging="378"/>
        <w:spacing w:after="0" w:line="25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installments with the ninth tranche vesting when such price is equal to or greater than $8.50 per share. The PSUs are subject to a one-year minimum vesting period, and any unvested PSUs will expire on August 11, 2026. The $2.4 million fair value is being expensed over the respective derived service periods of each tranche which range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8"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Represented compensation, with a fair value of $101,242, to certain directors, who are required to receive shares, in lieu of cash, in order to satisfy their minimum equity ownership under the Non-Employee Director Compensation Plan. Voluntary shares received, in lieu of cash, are reported below under </w:t>
      </w:r>
      <w:r>
        <w:rPr>
          <w:rFonts w:ascii="Arial" w:cs="Arial" w:eastAsia="Arial" w:hAnsi="Arial"/>
          <w:sz w:val="18"/>
          <w:szCs w:val="18"/>
          <w:i w:val="1"/>
          <w:iCs w:val="1"/>
          <w:color w:val="auto"/>
        </w:rPr>
        <w:t>Non-Employee Director Compensation Plan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color w:val="auto"/>
                <w:w w:val="90"/>
              </w:rPr>
              <w:t>Weighted-</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5"/>
              <w:spacing w:after="0" w:line="149" w:lineRule="exact"/>
              <w:rPr>
                <w:sz w:val="20"/>
                <w:szCs w:val="20"/>
                <w:color w:val="auto"/>
              </w:rPr>
            </w:pPr>
            <w:r>
              <w:rPr>
                <w:rFonts w:ascii="Arial" w:cs="Arial" w:eastAsia="Arial" w:hAnsi="Arial"/>
                <w:sz w:val="14"/>
                <w:szCs w:val="14"/>
                <w:color w:val="auto"/>
                <w:w w:val="90"/>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Number of</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7"/>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Aggregate</w:t>
            </w:r>
          </w:p>
        </w:tc>
        <w:tc>
          <w:tcPr>
            <w:tcW w:w="100" w:type="dxa"/>
            <w:vAlign w:val="bottom"/>
          </w:tcPr>
          <w:p>
            <w:pPr>
              <w:spacing w:after="0"/>
              <w:rPr>
                <w:sz w:val="12"/>
                <w:szCs w:val="12"/>
                <w:color w:val="auto"/>
              </w:rPr>
            </w:pPr>
          </w:p>
        </w:tc>
      </w:tr>
      <w:tr>
        <w:trPr>
          <w:trHeight w:val="181"/>
        </w:trPr>
        <w:tc>
          <w:tcPr>
            <w:tcW w:w="5840" w:type="dxa"/>
            <w:vAlign w:val="bottom"/>
          </w:tcPr>
          <w:p>
            <w:pPr>
              <w:spacing w:after="0"/>
              <w:rPr>
                <w:sz w:val="15"/>
                <w:szCs w:val="15"/>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color w:val="auto"/>
                <w:w w:val="93"/>
              </w:rPr>
              <w:t>per option</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94"/>
              <w:spacing w:after="0"/>
              <w:rPr>
                <w:sz w:val="20"/>
                <w:szCs w:val="20"/>
                <w:color w:val="auto"/>
              </w:rPr>
            </w:pPr>
            <w:r>
              <w:rPr>
                <w:rFonts w:ascii="Arial" w:cs="Arial" w:eastAsia="Arial" w:hAnsi="Arial"/>
                <w:sz w:val="14"/>
                <w:szCs w:val="14"/>
                <w:color w:val="auto"/>
                <w:w w:val="96"/>
              </w:rPr>
              <w:t>intrinsic value</w:t>
            </w:r>
          </w:p>
        </w:tc>
        <w:tc>
          <w:tcPr>
            <w:tcW w:w="100" w:type="dxa"/>
            <w:vAlign w:val="bottom"/>
          </w:tcPr>
          <w:p>
            <w:pPr>
              <w:spacing w:after="0"/>
              <w:rPr>
                <w:sz w:val="15"/>
                <w:szCs w:val="15"/>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 Options</w:t>
            </w: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Outstanding options at beginning of year</w:t>
            </w:r>
          </w:p>
        </w:tc>
        <w:tc>
          <w:tcPr>
            <w:tcW w:w="1220" w:type="dxa"/>
            <w:vAlign w:val="bottom"/>
          </w:tcPr>
          <w:p>
            <w:pPr>
              <w:jc w:val="right"/>
              <w:spacing w:after="0"/>
              <w:rPr>
                <w:sz w:val="20"/>
                <w:szCs w:val="20"/>
                <w:color w:val="auto"/>
              </w:rPr>
            </w:pPr>
            <w:r>
              <w:rPr>
                <w:rFonts w:ascii="Arial" w:cs="Arial" w:eastAsia="Arial" w:hAnsi="Arial"/>
                <w:sz w:val="18"/>
                <w:szCs w:val="18"/>
                <w:color w:val="auto"/>
              </w:rPr>
              <w:t>3,556,434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 years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23,238,665</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granted</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(210,225 )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729,318</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expired</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(18,115 )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(12,892 )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49,037</w:t>
            </w:r>
          </w:p>
        </w:tc>
        <w:tc>
          <w:tcPr>
            <w:tcW w:w="100" w:type="dxa"/>
            <w:vAlign w:val="bottom"/>
          </w:tcPr>
          <w:p>
            <w:pPr>
              <w:spacing w:after="0"/>
              <w:rPr>
                <w:sz w:val="21"/>
                <w:szCs w:val="21"/>
                <w:color w:val="auto"/>
              </w:rPr>
            </w:pPr>
          </w:p>
        </w:tc>
      </w:tr>
      <w:tr>
        <w:trPr>
          <w:trHeight w:val="236"/>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options at end of quarter</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3,316,519</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 years</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10,973,281</w:t>
            </w:r>
          </w:p>
        </w:tc>
        <w:tc>
          <w:tcPr>
            <w:tcW w:w="100" w:type="dxa"/>
            <w:vAlign w:val="bottom"/>
            <w:shd w:val="clear" w:color="auto" w:fill="CFF0FC"/>
          </w:tcPr>
          <w:p>
            <w:pPr>
              <w:spacing w:after="0"/>
              <w:rPr>
                <w:sz w:val="20"/>
                <w:szCs w:val="20"/>
                <w:color w:val="auto"/>
              </w:rPr>
            </w:pPr>
          </w:p>
        </w:tc>
      </w:tr>
      <w:tr>
        <w:trPr>
          <w:trHeight w:val="230"/>
        </w:trPr>
        <w:tc>
          <w:tcPr>
            <w:tcW w:w="5840" w:type="dxa"/>
            <w:vAlign w:val="bottom"/>
          </w:tcPr>
          <w:p>
            <w:pPr>
              <w:ind w:left="200"/>
              <w:spacing w:after="0"/>
              <w:rPr>
                <w:sz w:val="20"/>
                <w:szCs w:val="20"/>
                <w:color w:val="auto"/>
              </w:rPr>
            </w:pPr>
            <w:r>
              <w:rPr>
                <w:rFonts w:ascii="Arial" w:cs="Arial" w:eastAsia="Arial" w:hAnsi="Arial"/>
                <w:sz w:val="18"/>
                <w:szCs w:val="18"/>
                <w:color w:val="auto"/>
              </w:rPr>
              <w:t>Options exercisable at end of quarter</w:t>
            </w:r>
          </w:p>
        </w:tc>
        <w:tc>
          <w:tcPr>
            <w:tcW w:w="1220" w:type="dxa"/>
            <w:vAlign w:val="bottom"/>
          </w:tcPr>
          <w:p>
            <w:pPr>
              <w:jc w:val="right"/>
              <w:spacing w:after="0"/>
              <w:rPr>
                <w:sz w:val="20"/>
                <w:szCs w:val="20"/>
                <w:color w:val="auto"/>
              </w:rPr>
            </w:pPr>
            <w:r>
              <w:rPr>
                <w:rFonts w:ascii="Arial" w:cs="Arial" w:eastAsia="Arial" w:hAnsi="Arial"/>
                <w:sz w:val="18"/>
                <w:szCs w:val="18"/>
                <w:color w:val="auto"/>
              </w:rPr>
              <w:t>2,062,614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 years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6,729,437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nine months of fiscal 2023, the Company granted stock options to purchase an aggregate of 1,317 shares of common stock, 547,294 restricted stock units and 19,772 fully-vested shares. For the first nine months of fiscal 2022, the Company granted stock options to purchase an aggregate of 15,747 shares of common stock, 563,691 restricted stock units and 27,386 fully-vested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42,156 shares of common stock, with a fair value of approximately $230,601, to certain of its non-employee directors as compensation in lieu of cash in the first nine months of fiscal 2023.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total stock-based compensation expense of $1.6 million and $1.1 million for the first nine months of fiscal 2023 and fiscal 2022, respectively. The total compensation cost related to time-vested stock options, RSU awards, and PSU awards not yet recognized as of October 28, 2023 was approximately $4.1 million, net of estimated forfeitures, which will be expensed over a weighted average remaining life of 22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2600" w:type="dxa"/>
            <w:vAlign w:val="bottom"/>
            <w:gridSpan w:val="3"/>
          </w:tcPr>
          <w:p>
            <w:pPr>
              <w:jc w:val="right"/>
              <w:ind w:right="439"/>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5"/>
                <w:szCs w:val="15"/>
                <w:color w:val="auto"/>
              </w:rPr>
            </w:pPr>
          </w:p>
        </w:tc>
        <w:tc>
          <w:tcPr>
            <w:tcW w:w="2540" w:type="dxa"/>
            <w:vAlign w:val="bottom"/>
            <w:gridSpan w:val="3"/>
          </w:tcPr>
          <w:p>
            <w:pPr>
              <w:jc w:val="right"/>
              <w:ind w:right="419"/>
              <w:spacing w:after="0"/>
              <w:rPr>
                <w:sz w:val="20"/>
                <w:szCs w:val="20"/>
                <w:color w:val="auto"/>
              </w:rPr>
            </w:pPr>
            <w:r>
              <w:rPr>
                <w:rFonts w:ascii="Arial" w:cs="Arial" w:eastAsia="Arial" w:hAnsi="Arial"/>
                <w:sz w:val="14"/>
                <w:szCs w:val="14"/>
                <w:color w:val="auto"/>
              </w:rPr>
              <w:t>For the 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99"/>
              </w:rPr>
              <w:t>October 28, 2023</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October 29, 2022</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w w:val="97"/>
              </w:rPr>
              <w:t>October 28, 2023</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7"/>
              </w:rPr>
              <w:t>October 29,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60,169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62,016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61,612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equivalents – stock options, restricted stock</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200" w:type="dxa"/>
            <w:vAlign w:val="bottom"/>
            <w:vMerge w:val="restart"/>
            <w:shd w:val="clear" w:color="auto" w:fill="CFF0FC"/>
          </w:tcPr>
          <w:p>
            <w:pPr>
              <w:spacing w:after="0"/>
              <w:rPr>
                <w:sz w:val="19"/>
                <w:szCs w:val="1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200" w:type="dxa"/>
            <w:vAlign w:val="bottom"/>
            <w:vMerge w:val="restart"/>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200" w:type="dxa"/>
            <w:vAlign w:val="bottom"/>
            <w:vMerge w:val="restart"/>
            <w:shd w:val="clear" w:color="auto" w:fill="CFF0FC"/>
          </w:tcPr>
          <w:p>
            <w:pPr>
              <w:spacing w:after="0"/>
              <w:rPr>
                <w:sz w:val="19"/>
                <w:szCs w:val="19"/>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units and deferred stock</w:t>
            </w: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63,464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66,229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64,995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67,106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-154305</wp:posOffset>
            </wp:positionV>
            <wp:extent cx="685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-154305</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-154305</wp:posOffset>
            </wp:positionV>
            <wp:extent cx="60325"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-154305</wp:posOffset>
            </wp:positionV>
            <wp:extent cx="60325"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162560"/>
                    </a:xfrm>
                    <a:prstGeom prst="rect">
                      <a:avLst/>
                    </a:prstGeom>
                    <a:noFill/>
                  </pic:spPr>
                </pic:pic>
              </a:graphicData>
            </a:graphic>
          </wp:anchor>
        </w:drawing>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or restricted stock units had an anti-dilutive effect.</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680" w:type="dxa"/>
            <w:vAlign w:val="bottom"/>
            <w:gridSpan w:val="3"/>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220" w:type="dxa"/>
            <w:vAlign w:val="bottom"/>
          </w:tcPr>
          <w:p>
            <w:pPr>
              <w:spacing w:after="0"/>
              <w:rPr>
                <w:sz w:val="15"/>
                <w:szCs w:val="15"/>
                <w:color w:val="auto"/>
              </w:rPr>
            </w:pPr>
          </w:p>
        </w:tc>
        <w:tc>
          <w:tcPr>
            <w:tcW w:w="2620" w:type="dxa"/>
            <w:vAlign w:val="bottom"/>
            <w:gridSpan w:val="3"/>
          </w:tcPr>
          <w:p>
            <w:pPr>
              <w:jc w:val="right"/>
              <w:ind w:right="488"/>
              <w:spacing w:after="0"/>
              <w:rPr>
                <w:sz w:val="20"/>
                <w:szCs w:val="20"/>
                <w:color w:val="auto"/>
              </w:rPr>
            </w:pPr>
            <w:r>
              <w:rPr>
                <w:rFonts w:ascii="Arial" w:cs="Arial" w:eastAsia="Arial" w:hAnsi="Arial"/>
                <w:sz w:val="14"/>
                <w:szCs w:val="14"/>
                <w:color w:val="auto"/>
              </w:rPr>
              <w:t>For the nine months ended</w:t>
            </w:r>
          </w:p>
        </w:tc>
        <w:tc>
          <w:tcPr>
            <w:tcW w:w="80" w:type="dxa"/>
            <w:vAlign w:val="bottom"/>
          </w:tcPr>
          <w:p>
            <w:pPr>
              <w:spacing w:after="0"/>
              <w:rPr>
                <w:sz w:val="15"/>
                <w:szCs w:val="15"/>
                <w:color w:val="auto"/>
              </w:rPr>
            </w:pPr>
          </w:p>
        </w:tc>
      </w:tr>
      <w:tr>
        <w:trPr>
          <w:trHeight w:val="181"/>
        </w:trPr>
        <w:tc>
          <w:tcPr>
            <w:tcW w:w="4820" w:type="dxa"/>
            <w:vAlign w:val="bottom"/>
          </w:tcPr>
          <w:p>
            <w:pPr>
              <w:spacing w:after="0"/>
              <w:rPr>
                <w:sz w:val="15"/>
                <w:szCs w:val="15"/>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October 28, 2023</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9"/>
              </w:rPr>
              <w:t>October 29, 2022</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October 28, 2023</w:t>
            </w:r>
          </w:p>
        </w:tc>
        <w:tc>
          <w:tcPr>
            <w:tcW w:w="18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October 29, 2022</w:t>
            </w:r>
          </w:p>
        </w:tc>
        <w:tc>
          <w:tcPr>
            <w:tcW w:w="80" w:type="dxa"/>
            <w:vAlign w:val="bottom"/>
          </w:tcPr>
          <w:p>
            <w:pPr>
              <w:spacing w:after="0"/>
              <w:rPr>
                <w:sz w:val="15"/>
                <w:szCs w:val="15"/>
                <w:color w:val="auto"/>
              </w:rPr>
            </w:pPr>
          </w:p>
        </w:tc>
      </w:tr>
      <w:tr>
        <w:trPr>
          <w:trHeight w:val="183"/>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Range of exercise prices of such options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$4.48-$6.59</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$4.48 - $6.59</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28, 2023, expire from January 29, 2024 to March 20, 2033.</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Excluded from the computation of basic and diluted earnings per share were 573,000 shares for the third quarter and first nine months of fiscal 2023 and 240,000 shares for the third quarter and first nine months of fiscal 2022 of unvested performance stock units. These performance-based awards are included in the computation of basic and diluted earnings per share if, and when, the respective performance targets are achieved. In addition, 435,568 shares of deferred stock at October 28, 2023 and at October 29, 2022 were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excluded from the computation of basic earnings per share. Shares of deferred stock are not considered issued and outstanding until the vesting date of the deferral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second quarter of fiscal 2022, the Company determined that it was more likely than not that it would be able to realize the benefits of substantially all of its deferred tax assets in the United States. Accordingly, in the second quarter of fiscal 2022, the Company released substantially all of its deferred tax valuation allowance. As a result of the valuation allowance being released, the Company returned to a normal tax provision for fiscal 2023.</w:t>
      </w:r>
    </w:p>
    <w:p>
      <w:pPr>
        <w:spacing w:after="0" w:line="4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 xml:space="preserve">The Company's tax provision for income taxes for interim periods is determined using an estimate of its annual effective tax rate, adjusted for discrete items, if any. Each quarter, the Company updates its estimate of the annual effective </w:t>
      </w:r>
      <w:r>
        <w:rPr>
          <w:rFonts w:ascii="Arial" w:cs="Arial" w:eastAsia="Arial" w:hAnsi="Arial"/>
          <w:sz w:val="16"/>
          <w:szCs w:val="16"/>
          <w:color w:val="252525"/>
        </w:rPr>
        <w:t>tax rate</w:t>
      </w:r>
      <w:r>
        <w:rPr>
          <w:rFonts w:ascii="Arial" w:cs="Arial" w:eastAsia="Arial" w:hAnsi="Arial"/>
          <w:sz w:val="16"/>
          <w:szCs w:val="16"/>
          <w:color w:val="auto"/>
        </w:rPr>
        <w:t xml:space="preserve"> and makes a year-to-date </w:t>
      </w:r>
      <w:r>
        <w:rPr>
          <w:rFonts w:ascii="Arial" w:cs="Arial" w:eastAsia="Arial" w:hAnsi="Arial"/>
          <w:sz w:val="16"/>
          <w:szCs w:val="16"/>
          <w:color w:val="252525"/>
        </w:rPr>
        <w:t>adjustment</w:t>
      </w:r>
      <w:r>
        <w:rPr>
          <w:rFonts w:ascii="Arial" w:cs="Arial" w:eastAsia="Arial" w:hAnsi="Arial"/>
          <w:sz w:val="16"/>
          <w:szCs w:val="16"/>
          <w:color w:val="auto"/>
        </w:rPr>
        <w:t xml:space="preserve"> to the provision.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and first nine months of fiscal 2023, the Company’s effective tax rate was 30.2% and 27.2%, respectively.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third quarter of fiscal 2022, the effective tax rate was 16.6% and primarily reflected a $2.0 million discrete tax expense to adjust the release of valuation allowance. For the first nine months of fiscal 2022, the Company recognized an income tax benefit of $32.9 million, which included a discrete tax benefit of $33.5 million for the release of the valuation allowance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tax payments of $0.7 million and $0.3 million for the first nine months of fiscal 2023 and fiscal 2022,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Termination of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Noncontributory Pension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acquisition of Casual Male Corp.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 2023, the Audit Committee approved the termination of the Pension Plan, which was then approved and ratified by the Board of Directors on May 4, 2023 with a final termination approval on June 8, 2023. On July 1, 2023, the Company completed a partial settlement through the purchase of nonparticipating annuities. The Company made a cash contribution during the first nine months of fiscal 2023 of $1.7 million. The remaining pension liability, net of plan assets, at October 28, 2023 was approximately $0.1 million. The remaining plan assets are invested in short-term investments and cash equivalents.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for the nine months ended October 28, 2023, included a charge of $4.2 million recorded in the second quarter, representing a pro-rata portion of the unrealized loss in "Accumulated Other Comprehensive Loss" on the Consolidated Balance Sheet. The Company expects to settle the remaining obligation under the Pension Plan by the end of fiscal 2023, at which time the Company will recognize the remaining unrealized loss, including any remaining tax effects, that is part of "Accumulated Other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for the three and nine months ended October 28, 2023 and October 29, 2022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color w:val="auto"/>
              </w:rPr>
              <w:t>For the three months ended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jc w:val="right"/>
              <w:ind w:right="620"/>
              <w:spacing w:after="0"/>
              <w:rPr>
                <w:sz w:val="20"/>
                <w:szCs w:val="20"/>
                <w:color w:val="auto"/>
              </w:rPr>
            </w:pPr>
            <w:r>
              <w:rPr>
                <w:rFonts w:ascii="Arial" w:cs="Arial" w:eastAsia="Arial" w:hAnsi="Arial"/>
                <w:sz w:val="16"/>
                <w:szCs w:val="16"/>
                <w:color w:val="auto"/>
              </w:rPr>
              <w:t>For the nine months ended</w:t>
            </w:r>
          </w:p>
        </w:tc>
      </w:tr>
      <w:tr>
        <w:trPr>
          <w:trHeight w:val="19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92"/>
              </w:rPr>
              <w:t>October 28, 2023</w:t>
            </w:r>
          </w:p>
        </w:tc>
        <w:tc>
          <w:tcPr>
            <w:tcW w:w="24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October 29, 2022</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2"/>
              </w:rPr>
              <w:t>October 28, 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2"/>
              </w:rPr>
              <w:t>October 29, 2022</w:t>
            </w: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89"/>
              </w:rPr>
              <w:t>Net periodic pension cost:</w:t>
            </w: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60" w:type="dxa"/>
            <w:vAlign w:val="bottom"/>
            <w:gridSpan w:val="5"/>
          </w:tcPr>
          <w:p>
            <w:pPr>
              <w:jc w:val="right"/>
              <w:ind w:right="12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3"/>
                <w:szCs w:val="23"/>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3"/>
                <w:szCs w:val="23"/>
                <w:color w:val="auto"/>
              </w:rPr>
            </w:pPr>
          </w:p>
        </w:tc>
      </w:tr>
      <w:tr>
        <w:trPr>
          <w:trHeight w:val="250"/>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(150 )</w:t>
            </w:r>
          </w:p>
        </w:tc>
        <w:tc>
          <w:tcPr>
            <w:tcW w:w="8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(179 )</w:t>
            </w: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(450 )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(541 )</w:t>
            </w:r>
          </w:p>
        </w:tc>
      </w:tr>
      <w:tr>
        <w:trPr>
          <w:trHeight w:val="23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Amortization of unrecognized loss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r>
      <w:tr>
        <w:trPr>
          <w:trHeight w:val="249"/>
        </w:trPr>
        <w:tc>
          <w:tcPr>
            <w:tcW w:w="53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Loss on pension plan termination</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Net periodic pension cost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were as follows:</w:t>
      </w:r>
    </w:p>
    <w:p>
      <w:pPr>
        <w:spacing w:after="0" w:line="135"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For the three and nine months ended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15"/>
                <w:szCs w:val="15"/>
                <w:color w:val="auto"/>
              </w:rPr>
            </w:pPr>
          </w:p>
        </w:tc>
        <w:tc>
          <w:tcPr>
            <w:tcW w:w="1420" w:type="dxa"/>
            <w:vAlign w:val="bottom"/>
          </w:tcPr>
          <w:p>
            <w:pPr>
              <w:ind w:left="360"/>
              <w:spacing w:after="0"/>
              <w:rPr>
                <w:sz w:val="20"/>
                <w:szCs w:val="20"/>
                <w:color w:val="auto"/>
              </w:rPr>
            </w:pPr>
            <w:r>
              <w:rPr>
                <w:rFonts w:ascii="Arial" w:cs="Arial" w:eastAsia="Arial" w:hAnsi="Arial"/>
                <w:sz w:val="14"/>
                <w:szCs w:val="14"/>
                <w:color w:val="auto"/>
                <w:w w:val="96"/>
              </w:rPr>
              <w:t>October 28, 2023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2"/>
          </w:tcPr>
          <w:p>
            <w:pPr>
              <w:jc w:val="right"/>
              <w:ind w:right="630"/>
              <w:spacing w:after="0"/>
              <w:rPr>
                <w:sz w:val="20"/>
                <w:szCs w:val="20"/>
                <w:color w:val="auto"/>
              </w:rPr>
            </w:pPr>
            <w:r>
              <w:rPr>
                <w:rFonts w:ascii="Arial" w:cs="Arial" w:eastAsia="Arial" w:hAnsi="Arial"/>
                <w:sz w:val="14"/>
                <w:szCs w:val="14"/>
                <w:color w:val="auto"/>
              </w:rPr>
              <w:t>October 29, 2022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4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49"/>
        </w:trPr>
        <w:tc>
          <w:tcPr>
            <w:tcW w:w="8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5.1 %</w:t>
            </w:r>
          </w:p>
        </w:tc>
        <w:tc>
          <w:tcPr>
            <w:tcW w:w="2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6.5 %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Executive Retirement Plan ("SERP")</w:t>
      </w:r>
    </w:p>
    <w:p>
      <w:pPr>
        <w:spacing w:after="0" w:line="11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connection with the acquisition of Casual Male Corp. in May 2002, the Company also assumed the liability of the Casual Male Supplemental Executive Retirement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spacing w:after="0" w:line="301" w:lineRule="auto"/>
        <w:rPr>
          <w:sz w:val="20"/>
          <w:szCs w:val="20"/>
          <w:color w:val="auto"/>
        </w:rPr>
      </w:pPr>
      <w:r>
        <w:rPr>
          <w:rFonts w:ascii="Arial" w:cs="Arial" w:eastAsia="Arial" w:hAnsi="Arial"/>
          <w:sz w:val="16"/>
          <w:szCs w:val="16"/>
          <w:color w:val="auto"/>
        </w:rPr>
        <w:t>On May 3, 2023, the Audit Committee approved the termination of the SERP, which was then approved and ratified by the Board of Directors on May 4, 2023</w:t>
      </w:r>
      <w:r>
        <w:rPr>
          <w:rFonts w:ascii="Arial" w:cs="Arial" w:eastAsia="Arial" w:hAnsi="Arial"/>
          <w:sz w:val="16"/>
          <w:szCs w:val="16"/>
          <w:b w:val="1"/>
          <w:bCs w:val="1"/>
          <w:color w:val="auto"/>
        </w:rPr>
        <w:t>.</w:t>
      </w:r>
      <w:r>
        <w:rPr>
          <w:rFonts w:ascii="Arial" w:cs="Arial" w:eastAsia="Arial" w:hAnsi="Arial"/>
          <w:sz w:val="16"/>
          <w:szCs w:val="16"/>
          <w:color w:val="auto"/>
        </w:rPr>
        <w:t xml:space="preserve"> During the third quarter of fiscal 2023, the Company completed the termination of the SERP though the purchase of a nonparticipating annuity. In connection with that termination, during the third quarter of fiscal 2023, the Company made a cash contribution of $0.4 million and recognized a loss on the termination of the plan of $57,000, which included the recognition of the unrealized loss of $31,000 in Accumulated Other Comprehensive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October 28, 2023 and January 28, 2023, the Company held U.S. treasury bills which were classified as held-to maturity and carried at amortized cost.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Fair Value</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Quoted Prices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in Active</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Markets for</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500" w:type="dxa"/>
            <w:vAlign w:val="bottom"/>
          </w:tcPr>
          <w:p>
            <w:pPr>
              <w:ind w:left="320"/>
              <w:spacing w:after="0"/>
              <w:rPr>
                <w:sz w:val="20"/>
                <w:szCs w:val="20"/>
                <w:color w:val="auto"/>
              </w:rPr>
            </w:pPr>
            <w:r>
              <w:rPr>
                <w:rFonts w:ascii="Arial" w:cs="Arial" w:eastAsia="Arial" w:hAnsi="Arial"/>
                <w:sz w:val="18"/>
                <w:szCs w:val="18"/>
                <w:color w:val="auto"/>
              </w:rPr>
              <w:t>Significant</w:t>
            </w: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Identical Assets</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r>
      <w:tr>
        <w:trPr>
          <w:trHeight w:val="244"/>
        </w:trPr>
        <w:tc>
          <w:tcPr>
            <w:tcW w:w="41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Carrying value</w:t>
            </w: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(Level 1)</w:t>
            </w:r>
          </w:p>
        </w:tc>
        <w:tc>
          <w:tcPr>
            <w:tcW w:w="2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Inputs (Level 3)</w:t>
            </w:r>
          </w:p>
        </w:tc>
        <w:tc>
          <w:tcPr>
            <w:tcW w:w="100" w:type="dxa"/>
            <w:vAlign w:val="bottom"/>
          </w:tcPr>
          <w:p>
            <w:pPr>
              <w:spacing w:after="0"/>
              <w:rPr>
                <w:sz w:val="21"/>
                <w:szCs w:val="21"/>
                <w:color w:val="auto"/>
              </w:rPr>
            </w:pPr>
          </w:p>
        </w:tc>
      </w:tr>
      <w:tr>
        <w:trPr>
          <w:trHeight w:val="237"/>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October 28, 2023:</w:t>
            </w: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Short-term investments: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U.S. Treasury Bills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49,632</w:t>
            </w: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49,652</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4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January 28, 2023</w:t>
            </w: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14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U.S. Treasury Bills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29,076</w:t>
            </w: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29,071</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Repurchase Program and Subsequent Event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March 14, 2023, the Company's Board of Directors (“Board”) approved a stock repurchase program, effective March 16, 2023. Under the program, the Company was initially authorized to repurchase up to $15.0 million of its common stock, including excise tax, through open market and privately negotiated transactions. The Company completed the initial authorization during the third quarter of fiscal 2023.</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Subsequent to the end of the third quarter, on November 15, 2023, the Board approved an amendment to the stock repurchase program to increase the amount authorized under the program from $15.0 million to $25.0 million, effective November 17, 2023. 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 The Company expects to finance any repurchases from cash generated from operations.</w:t>
      </w:r>
    </w:p>
    <w:p>
      <w:pPr>
        <w:spacing w:after="0" w:line="8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During the first nine months of fiscal 2023, the Company repurchased 3.1 million shares at an aggregate cost of $14.9 million, excluding excise taxes. The Inflation Reduction Act of 2022 imposed a nondeductible 1% excise tax on the net value of certain share repurchases made after December 31, 2022. Beginning in fiscal year 2023, the applicable excise tax is being charged to additional paid-in capital in the Company's Consolidated Balance Sheet as part of the cost basis of the shares repurchased, with the corresponding liability for the excise tax payable recorded in accrued expenses and other current liabilities. This liability is partially offset by a 1% credit permitted under the rules for the fair value of shares issued by the Company. For the nine months ended October 28, 2023, the Company has accrued $0.1 million for the payment of excise taxes.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long-range strategic growth plan and our ability to achieve accelerated growth in the future; the expected impact of our strategic initiatives, including with respect to raising brand awareness, store development, website replatform and future alliances and collaborations; expected marketing costs, gross margin rates and expected capital expenditures in 2023; expected timing of stock repurchases under our board-approved stock repurchase program; and expected changes in our store portfolio and long-term plans for new or relocated stores.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28, 2023, included in our Annual Report on Form 10-K for the year ended January 28, 2023, as filed with the Securities and Exchange Commission on March 16, 2023 (our “Fiscal 2022 Annual Report”).</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Numerous factors could cause our actual results to differ materially from such forward-looking statements. This discussion sets forth certain risks and uncertainties that may have an impact on future results and direction of our Company, including, without limitation, risks related to inflationary pressures, changes in consumer spending in response to economic factors, increased labor costs and potential labor shortages, the continuing economic impact of the Russian invasion of Ukraine and the war in the Middle East, our ability to manage appropriate inventory levels, our ability to successfully execute on our strategic initiatives, our ability to predict customer tastes and fashion trends, our ability to grow market share, our ability to forecast sales growth trends and compete in the market, and the other risks and uncertainties set forth in the “Risk Factors” section in Part I, Item 1A of our Fiscal 2022 Annual Report.</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and tall men’s clothing with retail and direct operations in the United States. We operate under the trade names of Destination XL</w:t>
      </w:r>
      <w:r>
        <w:rPr>
          <w:rFonts w:ascii="Arial" w:cs="Arial" w:eastAsia="Arial" w:hAnsi="Arial"/>
          <w:sz w:val="21"/>
          <w:szCs w:val="21"/>
          <w:color w:val="auto"/>
          <w:vertAlign w:val="superscript"/>
        </w:rPr>
        <w:t>®</w:t>
      </w:r>
      <w:r>
        <w:rPr>
          <w:rFonts w:ascii="Arial" w:cs="Arial" w:eastAsia="Arial" w:hAnsi="Arial"/>
          <w:sz w:val="18"/>
          <w:szCs w:val="18"/>
          <w:color w:val="auto"/>
        </w:rPr>
        <w:t>, DXL</w:t>
      </w:r>
      <w:r>
        <w:rPr>
          <w:rFonts w:ascii="Arial" w:cs="Arial" w:eastAsia="Arial" w:hAnsi="Arial"/>
          <w:sz w:val="21"/>
          <w:szCs w:val="21"/>
          <w:color w:val="auto"/>
          <w:vertAlign w:val="superscript"/>
        </w:rPr>
        <w:t>®</w:t>
      </w:r>
      <w:r>
        <w:rPr>
          <w:rFonts w:ascii="Arial" w:cs="Arial" w:eastAsia="Arial" w:hAnsi="Arial"/>
          <w:sz w:val="18"/>
          <w:szCs w:val="18"/>
          <w:color w:val="auto"/>
        </w:rPr>
        <w:t>, DXL Outlets, Casual Male XL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Casual Male XL Outlets. At October 28, 2023, we operated 226 Destination XL stores, 16 DXL outlet stores, 21 Casual Male XL retail stores, 19 Casual Male XL outlet stores and a digital business, including an e-commerce site at dxl.com and a mobile site, m.destinationXL.com, mobile app and third-party marketplaces.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3, 2024, January 28, 2023 and January 29, 2022 as "fiscal 2023", “fiscal 2022,” and “fiscal 2021” respectively. Fiscal 2023 is a 53-week period and fiscal 2022 and fiscal 2021 were 52-week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140"/>
        <w:spacing w:after="0" w:line="311" w:lineRule="auto"/>
        <w:rPr>
          <w:sz w:val="20"/>
          <w:szCs w:val="20"/>
          <w:color w:val="auto"/>
        </w:rPr>
      </w:pPr>
      <w:r>
        <w:rPr>
          <w:rFonts w:ascii="Arial" w:cs="Arial" w:eastAsia="Arial" w:hAnsi="Arial"/>
          <w:sz w:val="16"/>
          <w:szCs w:val="16"/>
          <w:color w:val="auto"/>
        </w:rPr>
        <w:t>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5"/>
          </w:tcPr>
          <w:p>
            <w:pPr>
              <w:jc w:val="right"/>
              <w:ind w:right="78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920" w:type="dxa"/>
            <w:vAlign w:val="bottom"/>
            <w:gridSpan w:val="5"/>
          </w:tcPr>
          <w:p>
            <w:pPr>
              <w:jc w:val="right"/>
              <w:ind w:right="740"/>
              <w:spacing w:after="0"/>
              <w:rPr>
                <w:sz w:val="20"/>
                <w:szCs w:val="20"/>
                <w:color w:val="auto"/>
              </w:rPr>
            </w:pPr>
            <w:r>
              <w:rPr>
                <w:rFonts w:ascii="Arial" w:cs="Arial" w:eastAsia="Arial" w:hAnsi="Arial"/>
                <w:sz w:val="14"/>
                <w:szCs w:val="14"/>
                <w:color w:val="auto"/>
              </w:rPr>
              <w:t>For the nine months ended</w:t>
            </w: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color w:val="auto"/>
                <w:w w:val="94"/>
              </w:rPr>
              <w:t>October 28, 2023</w:t>
            </w:r>
          </w:p>
        </w:tc>
        <w:tc>
          <w:tcPr>
            <w:tcW w:w="12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October 29, 2022</w:t>
            </w:r>
          </w:p>
        </w:tc>
        <w:tc>
          <w:tcPr>
            <w:tcW w:w="10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w w:val="92"/>
              </w:rPr>
              <w:t>October 28, 2023</w:t>
            </w:r>
          </w:p>
        </w:tc>
        <w:tc>
          <w:tcPr>
            <w:tcW w:w="12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October 29, 2022</w:t>
            </w: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3420" w:type="dxa"/>
            <w:vAlign w:val="bottom"/>
            <w:tcBorders>
              <w:bottom w:val="single" w:sz="8" w:color="auto"/>
            </w:tcBorders>
            <w:gridSpan w:val="2"/>
            <w:shd w:val="clear" w:color="auto" w:fill="CFF0FC"/>
          </w:tcPr>
          <w:p>
            <w:pPr>
              <w:spacing w:after="0" w:line="142" w:lineRule="exact"/>
              <w:rPr>
                <w:sz w:val="20"/>
                <w:szCs w:val="20"/>
                <w:color w:val="auto"/>
              </w:rPr>
            </w:pPr>
            <w:r>
              <w:rPr>
                <w:rFonts w:ascii="Arial" w:cs="Arial" w:eastAsia="Arial" w:hAnsi="Arial"/>
                <w:sz w:val="14"/>
                <w:szCs w:val="14"/>
                <w:i w:val="1"/>
                <w:iCs w:val="1"/>
                <w:color w:val="auto"/>
                <w:w w:val="92"/>
              </w:rPr>
              <w:t>(in millions, except percentage of sales and per share data)</w:t>
            </w:r>
          </w:p>
        </w:tc>
        <w:tc>
          <w:tcPr>
            <w:tcW w:w="16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CFF0FC"/>
            </w:tcBorders>
            <w:shd w:val="clear" w:color="auto" w:fill="CFF0FC"/>
          </w:tcPr>
          <w:p>
            <w:pPr>
              <w:spacing w:after="0"/>
              <w:rPr>
                <w:sz w:val="12"/>
                <w:szCs w:val="12"/>
                <w:color w:val="auto"/>
              </w:rPr>
            </w:pPr>
          </w:p>
        </w:tc>
        <w:tc>
          <w:tcPr>
            <w:tcW w:w="1180" w:type="dxa"/>
            <w:vAlign w:val="bottom"/>
            <w:tcBorders>
              <w:top w:val="single" w:sz="8" w:color="auto"/>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CFF0FC"/>
            </w:tcBorders>
            <w:shd w:val="clear" w:color="auto" w:fill="CFF0FC"/>
          </w:tcPr>
          <w:p>
            <w:pPr>
              <w:spacing w:after="0"/>
              <w:rPr>
                <w:sz w:val="12"/>
                <w:szCs w:val="12"/>
                <w:color w:val="auto"/>
              </w:rPr>
            </w:pPr>
          </w:p>
        </w:tc>
        <w:tc>
          <w:tcPr>
            <w:tcW w:w="1140" w:type="dxa"/>
            <w:vAlign w:val="bottom"/>
            <w:tcBorders>
              <w:top w:val="single" w:sz="8" w:color="auto"/>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r>
      <w:tr>
        <w:trPr>
          <w:trHeight w:val="176"/>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Sales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119.2</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129.7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384.7</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402.0</w:t>
            </w:r>
          </w:p>
        </w:tc>
        <w:tc>
          <w:tcPr>
            <w:tcW w:w="220" w:type="dxa"/>
            <w:vAlign w:val="bottom"/>
          </w:tcPr>
          <w:p>
            <w:pPr>
              <w:spacing w:after="0"/>
              <w:rPr>
                <w:sz w:val="15"/>
                <w:szCs w:val="15"/>
                <w:color w:val="auto"/>
              </w:rPr>
            </w:pPr>
          </w:p>
        </w:tc>
      </w:tr>
      <w:tr>
        <w:trPr>
          <w:trHeight w:val="175"/>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w:t>
            </w:r>
          </w:p>
        </w:tc>
        <w:tc>
          <w:tcPr>
            <w:tcW w:w="220" w:type="dxa"/>
            <w:vAlign w:val="bottom"/>
            <w:shd w:val="clear" w:color="auto" w:fill="CFF0FC"/>
          </w:tcPr>
          <w:p>
            <w:pPr>
              <w:spacing w:after="0"/>
              <w:rPr>
                <w:sz w:val="15"/>
                <w:szCs w:val="15"/>
                <w:color w:val="auto"/>
              </w:rPr>
            </w:pPr>
          </w:p>
        </w:tc>
      </w:tr>
      <w:tr>
        <w:trPr>
          <w:trHeight w:val="176"/>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Adjusted net income (Non-GAAP basis)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25.8</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34.6</w:t>
            </w:r>
          </w:p>
        </w:tc>
        <w:tc>
          <w:tcPr>
            <w:tcW w:w="220" w:type="dxa"/>
            <w:vAlign w:val="bottom"/>
          </w:tcPr>
          <w:p>
            <w:pPr>
              <w:spacing w:after="0"/>
              <w:rPr>
                <w:sz w:val="15"/>
                <w:szCs w:val="15"/>
                <w:color w:val="auto"/>
              </w:rPr>
            </w:pPr>
          </w:p>
        </w:tc>
      </w:tr>
      <w:tr>
        <w:trPr>
          <w:trHeight w:val="175"/>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Adjusted EBITDA (Non-GAAP basis)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w:t>
            </w:r>
          </w:p>
        </w:tc>
        <w:tc>
          <w:tcPr>
            <w:tcW w:w="22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r>
      <w:tr>
        <w:trPr>
          <w:trHeight w:val="176"/>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Gross margin. as a percentage of sales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47.5 %</w:t>
            </w: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48.8 %</w:t>
            </w: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50.8 %</w:t>
            </w:r>
          </w:p>
        </w:tc>
      </w:tr>
      <w:tr>
        <w:trPr>
          <w:trHeight w:val="175"/>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SG&amp;A expenses, as a percentage of sales</w:t>
            </w:r>
          </w:p>
        </w:tc>
        <w:tc>
          <w:tcPr>
            <w:tcW w:w="12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40.2 %</w:t>
            </w:r>
          </w:p>
        </w:tc>
        <w:tc>
          <w:tcPr>
            <w:tcW w:w="12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37.3 %</w:t>
            </w: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37.4 %</w:t>
            </w:r>
          </w:p>
        </w:tc>
        <w:tc>
          <w:tcPr>
            <w:tcW w:w="12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35.9 %</w:t>
            </w:r>
          </w:p>
        </w:tc>
      </w:tr>
      <w:tr>
        <w:trPr>
          <w:trHeight w:val="176"/>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5080" w:type="dxa"/>
            <w:vAlign w:val="bottom"/>
            <w:gridSpan w:val="3"/>
          </w:tcPr>
          <w:p>
            <w:pPr>
              <w:spacing w:after="0" w:line="149" w:lineRule="exact"/>
              <w:rPr>
                <w:sz w:val="20"/>
                <w:szCs w:val="20"/>
                <w:color w:val="auto"/>
              </w:rPr>
            </w:pPr>
            <w:r>
              <w:rPr>
                <w:rFonts w:ascii="Arial" w:cs="Arial" w:eastAsia="Arial" w:hAnsi="Arial"/>
                <w:sz w:val="14"/>
                <w:szCs w:val="14"/>
                <w:color w:val="auto"/>
              </w:rPr>
              <w:t>Per diluted share:</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Net income</w:t>
            </w:r>
          </w:p>
        </w:tc>
        <w:tc>
          <w:tcPr>
            <w:tcW w:w="4080" w:type="dxa"/>
            <w:vAlign w:val="bottom"/>
            <w:gridSpan w:val="2"/>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FF0FC"/>
          </w:tcPr>
          <w:p>
            <w:pPr>
              <w:spacing w:after="0"/>
              <w:rPr>
                <w:sz w:val="15"/>
                <w:szCs w:val="15"/>
                <w:color w:val="auto"/>
              </w:rPr>
            </w:pPr>
          </w:p>
        </w:tc>
      </w:tr>
      <w:tr>
        <w:trPr>
          <w:trHeight w:val="182"/>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Adjusted net income (Non-GAAP basis)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0.07</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0.14</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0.40</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0.52</w:t>
            </w:r>
          </w:p>
        </w:tc>
        <w:tc>
          <w:tcPr>
            <w:tcW w:w="220" w:type="dxa"/>
            <w:vAlign w:val="bottom"/>
          </w:tcPr>
          <w:p>
            <w:pPr>
              <w:spacing w:after="0"/>
              <w:rPr>
                <w:sz w:val="15"/>
                <w:szCs w:val="15"/>
                <w:color w:val="auto"/>
              </w:rPr>
            </w:pPr>
          </w:p>
        </w:tc>
      </w:tr>
    </w:tbl>
    <w:p>
      <w:pPr>
        <w:spacing w:after="0" w:line="200" w:lineRule="exact"/>
        <w:rPr>
          <w:sz w:val="20"/>
          <w:szCs w:val="20"/>
          <w:color w:val="auto"/>
        </w:rPr>
      </w:pPr>
    </w:p>
    <w:p>
      <w:pPr>
        <w:spacing w:after="0" w:line="2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comparable sales for the third quarter decreased 6.7% with comparable sales from our stores down 8.1% and our direct business down 3.2%. The decrease was primarily driven by a slowdown in traffic. Despite this pressure on our top line results, we maintained a solid gross margin, managed our operating expenses, and generated net income of $0.06 per diluted share and an adjusted EBITDA margin (a non-GAAP measure) of 7.3%. Further, we continued to strengthen our financial position, successfully managing our inventory levels, which are down 6.5% to last year, and we generated $22.7 million in free cash flow year to date.</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for the third quarter of fiscal 2023 was $4.0 million, or $0.06 per diluted share, as compared to net income of $10.5 million, or $0.16 per diluted share, for the third quarter of fiscal 2022.</w:t>
      </w:r>
    </w:p>
    <w:p>
      <w:pPr>
        <w:spacing w:after="0" w:line="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first nine months of fiscal 2023, net income was $22.6 million, or $0.35 per diluted share, as compared to net income of $80.8 million, or $1.20 per diluted share, for the first nine months of fiscal 2022. Net income for the first nine months of fiscal 2022 included the release of substantially all of the valuation allowance against our deferred tax assets. Assuming a normalized tax rate and adjusting for the loss from retirement plan terminations and asset impairments (gains), if any, adjusted net income for the first nine months of fiscal 2023, was $25.8 million, or $0.40 per diluted share, as compared to net income of $34.6 million, or $0.52 per diluted share, for the first nine months of fiscal 2022.</w:t>
      </w:r>
    </w:p>
    <w:p>
      <w:pPr>
        <w:spacing w:after="0" w:line="6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of October 28, 2023, we had cash and investments of $60.4 million as compared to $23.5 million at October 29, 2022. As of October 28, 2023, we had no debt outstanding, unused excess availability of $87.6 million, and no borrowings during the first nine months. With cash on hand, no outstanding debt and full availability under our credit facility, we are continuing to pursue our strategic initiatives this year to grow our business.</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Through the nine months ended October 28, 2023, we repurchased 3.1 million shares at a total cost, including fees, of $14.9 million. Subsequent to the end of the third quarter of fiscal 2023, effective November 17, 2023 the Board of Directors amended the stock repurchase program to increase the number of shares authorized to be repurchased from $15.0 million to $25.0 million.</w:t>
      </w:r>
    </w:p>
    <w:p>
      <w:pPr>
        <w:spacing w:after="0" w:line="7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May 2023, we also made the decision to terminate our frozen, noncontributory pension plan and the frozen supplemental executive retirement plan ("SERP"). Given the current high interest rates, we saw this as an opportunistic use of excess cash to eliminate these variable liabilities. In connection with that decision, during the second quarter, we completed a partial settlement of our pension obligations through the purchase of nonparticipating annuities. Our results for the nine months ended October 28, 2023 include a loss of $4.2 million, representing a pro-rata portion of the unrealized loss in Accumulated Other Comprehensive Loss. We expect to complete the final settlement of the terminated pension plan by the end of fiscal 2023. In the third quarter, we completed the termination of the SERP plan, recognizing a loss for the three and nine months ended October 28, 2023 of $0.1 million.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Our Future Growth Strategy</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Last quarter, we shared our long-term strategic plan to meaningfully accelerate the growth trajectory of the Company. We are actively working on these initiatives and continue to believe there is a substantial opportunity to take a greater share of market and grow our top line. Despite this more challenging quarter, we remain relentlessly disciplined and committed to our strategy and initiatives.</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Company is in a fundamentally different position today than it was pre-pandemic. We have achieved a heightened level of operational excellence, recapitalized our balance sheet to provide a greater level of financial flexibility, made investments in our technical capabilities, and upgraded our leadership team. Since we repositioned DXL in fiscal 2019, we have grown comparable sales by more than 25% and more than doubled our adjusted EBITDA margin rate. This trajectory supports our strong belief in the longer-term opportunity for DXL in the men’s big &amp; tall apparel category. As we look beyond fiscal 2023, we are excited about our long-term growth plan. Our goal is to accelerate the trajectory of the Company meaningfully over the next three to five years, by focusing on four specific growth initiatives: store development, website replatform, brand building and alliances/collaborations.</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u w:val="single" w:color="auto"/>
          <w:color w:val="auto"/>
        </w:rPr>
        <w:t>Store Development</w:t>
      </w:r>
      <w:r>
        <w:rPr>
          <w:rFonts w:ascii="Arial" w:cs="Arial" w:eastAsia="Arial" w:hAnsi="Arial"/>
          <w:sz w:val="17"/>
          <w:szCs w:val="17"/>
          <w:color w:val="auto"/>
        </w:rPr>
        <w:t>: As we have stated before, we believe there are at least 50 net new store opportunities. New store development addresses another factor critical to our growth. While we have stores in every major metro market across the United States, there are voids in certain markets where big + tall consumers are not being serviced by a DXL. In our most recent research across 2,500 big + tall men, both customers and non-customers, 49% self-reported that they do not shop with us because a store is not near them, while 37% self-reported that they do not shop with us because a store location is not convenient. This quarter, we opened our first new DXL store since 2018 in Queens, NY. We expect to open two more new stores before year-end and plan to open another 10 new stores in fiscal 2024 and 15 to 20 new stores in fiscal 2025. We have also converted seven Casual Male stores to DXL this year and expect to convert three more by the end of 2023.</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Website Replatform</w:t>
      </w:r>
      <w:r>
        <w:rPr>
          <w:rFonts w:ascii="Arial" w:cs="Arial" w:eastAsia="Arial" w:hAnsi="Arial"/>
          <w:sz w:val="18"/>
          <w:szCs w:val="18"/>
          <w:color w:val="auto"/>
        </w:rPr>
        <w:t>: We are upgrading our website from legacy infrastructure to a modern commerce platform, with features and functionality launching throughout 2024. We believe this modernization will offer immediate performance improvements and customer experience benefits, while positioning us to deliver a greater pace of change in the future.</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u w:val="single" w:color="auto"/>
          <w:color w:val="auto"/>
        </w:rPr>
        <w:t>Marketing and Brand-Building</w:t>
      </w:r>
      <w:r>
        <w:rPr>
          <w:rFonts w:ascii="Arial" w:cs="Arial" w:eastAsia="Arial" w:hAnsi="Arial"/>
          <w:sz w:val="17"/>
          <w:szCs w:val="17"/>
          <w:color w:val="auto"/>
        </w:rPr>
        <w:t>: We believe one of our greatest opportunities is to address our overall brand awareness levels. Over the past few years, we have transformed our brand position and differentiated ourselves in terms of experience, fit, and assortment. However, many of our target consumers simply do not know DXL. We now have the financial flexibility, informed consumer research, and the right messaging to invest in building our brand. For the past several years, our advertising-to-sales ratio has been between 5.0% to 6.0%. Our plan is to increase our advertising-to-sales ratio over the next few years. We expect to invest more in brand building and top-of-funnel marketing to grow our customer file. We have begun a search for a creative agency to develop, build and execute a campaign that will drive an emotional connection to the brand and drive brand awareness. We are targeting a campaign launch for late Spring 2024 and we are prepared to conservatively spend another 1.0% to 2.0% of sales to initially fund that initiative and, with results, fund our marketing and brand building initiatives at greater levels over time.</w:t>
      </w:r>
    </w:p>
    <w:p>
      <w:pPr>
        <w:spacing w:after="0" w:line="7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u w:val="single" w:color="auto"/>
          <w:color w:val="auto"/>
        </w:rPr>
        <w:t>Alliances/Collaborations</w:t>
      </w:r>
      <w:r>
        <w:rPr>
          <w:rFonts w:ascii="Arial" w:cs="Arial" w:eastAsia="Arial" w:hAnsi="Arial"/>
          <w:sz w:val="16"/>
          <w:szCs w:val="16"/>
          <w:color w:val="auto"/>
        </w:rPr>
        <w:t>: We strongly believe that our "fit authority" is one of our biggest assets and that we can develop successful collaborations with other brands, who are interested in finding a cost-effective way to expand their offering to include big + tall men's apparel. During the third quarter, we launched UNTUCKit, Fit by DXL in partnership with UNTUCKit which is being sold exclusively by DXL. In addition, we also added Hugo Boss and Faherty to our list of national brands this quarter, each with a level of merchandise exclusivity that cannot be found elsewhere. All three programs have exceeded our initial expectations and we will look for door expansions in all three for fiscal 2024. We believe these examples are only the beginning, and we are working in real-time on additional retail brand alliances. Lastly, we also launched our new fit technology and size mapping in twelve of our stores.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by segment for the three and nine months ended October 28, 2023 and October 29,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40" w:type="dxa"/>
            <w:vAlign w:val="bottom"/>
            <w:gridSpan w:val="5"/>
          </w:tcPr>
          <w:p>
            <w:pPr>
              <w:jc w:val="center"/>
              <w:ind w:right="330"/>
              <w:spacing w:after="0"/>
              <w:rPr>
                <w:sz w:val="20"/>
                <w:szCs w:val="20"/>
                <w:color w:val="auto"/>
              </w:rPr>
            </w:pPr>
            <w:r>
              <w:rPr>
                <w:rFonts w:ascii="Arial" w:cs="Arial" w:eastAsia="Arial" w:hAnsi="Arial"/>
                <w:sz w:val="18"/>
                <w:szCs w:val="18"/>
                <w:color w:val="auto"/>
                <w:w w:val="90"/>
              </w:rPr>
              <w:t>For the Three Months Ended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6"/>
          </w:tcPr>
          <w:p>
            <w:pPr>
              <w:jc w:val="right"/>
              <w:ind w:right="550"/>
              <w:spacing w:after="0"/>
              <w:rPr>
                <w:sz w:val="20"/>
                <w:szCs w:val="20"/>
                <w:color w:val="auto"/>
              </w:rPr>
            </w:pPr>
            <w:r>
              <w:rPr>
                <w:rFonts w:ascii="Arial" w:cs="Arial" w:eastAsia="Arial" w:hAnsi="Arial"/>
                <w:sz w:val="18"/>
                <w:szCs w:val="18"/>
                <w:color w:val="auto"/>
              </w:rPr>
              <w:t>For the Nine Months Ended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3"/>
              </w:rPr>
              <w:t>October 29,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1"/>
              </w:rPr>
              <w:t>October 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1"/>
              </w:rPr>
              <w:t>October 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October 28, 2023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226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82,997</w:t>
            </w:r>
          </w:p>
        </w:tc>
        <w:tc>
          <w:tcPr>
            <w:tcW w:w="880" w:type="dxa"/>
            <w:vAlign w:val="bottom"/>
            <w:gridSpan w:val="2"/>
          </w:tcPr>
          <w:p>
            <w:pPr>
              <w:jc w:val="center"/>
              <w:ind w:right="50"/>
              <w:spacing w:after="0"/>
              <w:rPr>
                <w:sz w:val="20"/>
                <w:szCs w:val="20"/>
                <w:color w:val="auto"/>
              </w:rPr>
            </w:pPr>
            <w:r>
              <w:rPr>
                <w:rFonts w:ascii="Arial" w:cs="Arial" w:eastAsia="Arial" w:hAnsi="Arial"/>
                <w:sz w:val="18"/>
                <w:szCs w:val="18"/>
                <w:i w:val="1"/>
                <w:iCs w:val="1"/>
                <w:color w:val="auto"/>
                <w:w w:val="90"/>
              </w:rPr>
              <w:t>69.6%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91,770</w:t>
            </w:r>
          </w:p>
        </w:tc>
        <w:tc>
          <w:tcPr>
            <w:tcW w:w="860" w:type="dxa"/>
            <w:vAlign w:val="bottom"/>
            <w:gridSpan w:val="2"/>
          </w:tcPr>
          <w:p>
            <w:pPr>
              <w:jc w:val="right"/>
              <w:ind w:right="170"/>
              <w:spacing w:after="0"/>
              <w:rPr>
                <w:sz w:val="20"/>
                <w:szCs w:val="20"/>
                <w:color w:val="auto"/>
              </w:rPr>
            </w:pPr>
            <w:r>
              <w:rPr>
                <w:rFonts w:ascii="Arial" w:cs="Arial" w:eastAsia="Arial" w:hAnsi="Arial"/>
                <w:sz w:val="18"/>
                <w:szCs w:val="18"/>
                <w:i w:val="1"/>
                <w:iCs w:val="1"/>
                <w:color w:val="auto"/>
              </w:rPr>
              <w:t>70.8%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267,739</w:t>
            </w:r>
          </w:p>
        </w:tc>
        <w:tc>
          <w:tcPr>
            <w:tcW w:w="940" w:type="dxa"/>
            <w:vAlign w:val="bottom"/>
            <w:gridSpan w:val="4"/>
          </w:tcPr>
          <w:p>
            <w:pPr>
              <w:jc w:val="right"/>
              <w:spacing w:after="0"/>
              <w:rPr>
                <w:sz w:val="20"/>
                <w:szCs w:val="20"/>
                <w:color w:val="auto"/>
              </w:rPr>
            </w:pPr>
            <w:r>
              <w:rPr>
                <w:rFonts w:ascii="Arial" w:cs="Arial" w:eastAsia="Arial" w:hAnsi="Arial"/>
                <w:sz w:val="18"/>
                <w:szCs w:val="18"/>
                <w:i w:val="1"/>
                <w:iCs w:val="1"/>
                <w:color w:val="auto"/>
              </w:rPr>
              <w:t>69.6 %</w:t>
            </w: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280,973</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70.0 %</w:t>
            </w:r>
          </w:p>
        </w:tc>
      </w:tr>
      <w:tr>
        <w:trPr>
          <w:trHeight w:val="256"/>
        </w:trPr>
        <w:tc>
          <w:tcPr>
            <w:tcW w:w="2260" w:type="dxa"/>
            <w:vAlign w:val="bottom"/>
          </w:tcPr>
          <w:p>
            <w:pPr>
              <w:ind w:left="20"/>
              <w:spacing w:after="0"/>
              <w:rPr>
                <w:sz w:val="20"/>
                <w:szCs w:val="20"/>
                <w:color w:val="auto"/>
              </w:rPr>
            </w:pPr>
            <w:r>
              <w:rPr>
                <w:rFonts w:ascii="Arial" w:cs="Arial" w:eastAsia="Arial" w:hAnsi="Arial"/>
                <w:sz w:val="18"/>
                <w:szCs w:val="18"/>
                <w:color w:val="auto"/>
              </w:rPr>
              <w:t>Direct sales</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36,191</w:t>
            </w:r>
          </w:p>
        </w:tc>
        <w:tc>
          <w:tcPr>
            <w:tcW w:w="120" w:type="dxa"/>
            <w:vAlign w:val="bottom"/>
          </w:tcPr>
          <w:p>
            <w:pPr>
              <w:spacing w:after="0"/>
              <w:rPr>
                <w:sz w:val="22"/>
                <w:szCs w:val="22"/>
                <w:color w:val="auto"/>
              </w:rPr>
            </w:pPr>
          </w:p>
        </w:tc>
        <w:tc>
          <w:tcPr>
            <w:tcW w:w="760" w:type="dxa"/>
            <w:vAlign w:val="bottom"/>
          </w:tcPr>
          <w:p>
            <w:pPr>
              <w:jc w:val="center"/>
              <w:ind w:right="170"/>
              <w:spacing w:after="0"/>
              <w:rPr>
                <w:sz w:val="20"/>
                <w:szCs w:val="20"/>
                <w:color w:val="auto"/>
              </w:rPr>
            </w:pPr>
            <w:r>
              <w:rPr>
                <w:rFonts w:ascii="Arial" w:cs="Arial" w:eastAsia="Arial" w:hAnsi="Arial"/>
                <w:sz w:val="18"/>
                <w:szCs w:val="18"/>
                <w:i w:val="1"/>
                <w:iCs w:val="1"/>
                <w:color w:val="auto"/>
                <w:w w:val="90"/>
              </w:rPr>
              <w:t>30.4%</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37,901</w:t>
            </w:r>
          </w:p>
        </w:tc>
        <w:tc>
          <w:tcPr>
            <w:tcW w:w="120" w:type="dxa"/>
            <w:vAlign w:val="bottom"/>
          </w:tcPr>
          <w:p>
            <w:pPr>
              <w:spacing w:after="0"/>
              <w:rPr>
                <w:sz w:val="22"/>
                <w:szCs w:val="22"/>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i w:val="1"/>
                <w:iCs w:val="1"/>
                <w:color w:val="auto"/>
                <w:w w:val="90"/>
              </w:rPr>
              <w:t>29.2%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116,934</w:t>
            </w:r>
          </w:p>
        </w:tc>
        <w:tc>
          <w:tcPr>
            <w:tcW w:w="12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i w:val="1"/>
                <w:iCs w:val="1"/>
                <w:color w:val="auto"/>
              </w:rPr>
              <w:t>30.4 %</w:t>
            </w:r>
          </w:p>
        </w:tc>
        <w:tc>
          <w:tcPr>
            <w:tcW w:w="1100" w:type="dxa"/>
            <w:vAlign w:val="bottom"/>
          </w:tcPr>
          <w:p>
            <w:pPr>
              <w:jc w:val="right"/>
              <w:spacing w:after="0"/>
              <w:rPr>
                <w:sz w:val="20"/>
                <w:szCs w:val="20"/>
                <w:color w:val="auto"/>
              </w:rPr>
            </w:pPr>
            <w:r>
              <w:rPr>
                <w:rFonts w:ascii="Arial" w:cs="Arial" w:eastAsia="Arial" w:hAnsi="Arial"/>
                <w:sz w:val="18"/>
                <w:szCs w:val="18"/>
                <w:color w:val="auto"/>
              </w:rPr>
              <w:t>120,588</w:t>
            </w:r>
          </w:p>
        </w:tc>
        <w:tc>
          <w:tcPr>
            <w:tcW w:w="980" w:type="dxa"/>
            <w:vAlign w:val="bottom"/>
            <w:gridSpan w:val="4"/>
          </w:tcPr>
          <w:p>
            <w:pPr>
              <w:jc w:val="right"/>
              <w:spacing w:after="0"/>
              <w:rPr>
                <w:sz w:val="20"/>
                <w:szCs w:val="20"/>
                <w:color w:val="auto"/>
              </w:rPr>
            </w:pPr>
            <w:r>
              <w:rPr>
                <w:rFonts w:ascii="Arial" w:cs="Arial" w:eastAsia="Arial" w:hAnsi="Arial"/>
                <w:sz w:val="18"/>
                <w:szCs w:val="18"/>
                <w:i w:val="1"/>
                <w:iCs w:val="1"/>
                <w:color w:val="auto"/>
              </w:rPr>
              <w:t>30.0 %</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Retail segment</w:t>
            </w:r>
          </w:p>
        </w:tc>
        <w:tc>
          <w:tcPr>
            <w:tcW w:w="2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119,188</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129,671</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384,673</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401,561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119,188</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129,671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384,673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401,960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317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-187960</wp:posOffset>
            </wp:positionV>
            <wp:extent cx="7747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-187960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Total sales for the third quarter of fiscal 2023 were $119.2 million, as compared to $129.7 million in the third quarter of fiscal 2022. Comparable sales for the third quarter decreased 6.7% with comparable sales from our stores down 8.1% and our direct business down 3.2%. The remainder of the decrease was due to sales from closed stores and a decrease in non-comparable sales.</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3" w:right="279" w:bottom="1440" w:gutter="0" w:footer="0" w:header="0"/>
        </w:sectPr>
      </w:pPr>
    </w:p>
    <w:bookmarkStart w:id="21" w:name="page22"/>
    <w:bookmarkEnd w:id="21"/>
    <w:p>
      <w:pPr>
        <w:ind w:right="20"/>
        <w:spacing w:after="0" w:line="273" w:lineRule="auto"/>
        <w:rPr>
          <w:sz w:val="20"/>
          <w:szCs w:val="20"/>
          <w:color w:val="auto"/>
        </w:rPr>
      </w:pPr>
      <w:r>
        <w:rPr>
          <w:rFonts w:ascii="Arial" w:cs="Arial" w:eastAsia="Arial" w:hAnsi="Arial"/>
          <w:sz w:val="17"/>
          <w:szCs w:val="17"/>
          <w:color w:val="auto"/>
        </w:rPr>
        <w:t>Comparable sales in August decreased 6.5%, slightly improved in September to a decrease of 5.4%, but in October comparable sales decreased to 8.3%. Through the third quarter, we saw a further slowdown in store traffic as consumer spending continues to be negatively impacted by the economy and inflationary pressures. Store traffic was down 5.9% while dollars per transaction and conversion combined were down approximately 2.0%, with dollars per transaction down more than conversion. Sales were particularly softer in categories that outperformed last year due to a resurgence of back-to-work and social events. The decrease of 3.2% in the direct business was primarily due to a decrease in marketplace sales. The DXL website, which was down 1.5%, performed better as a result of improvements in email marketing and growth from our mobile app.</w:t>
      </w:r>
    </w:p>
    <w:p>
      <w:pPr>
        <w:spacing w:after="0" w:line="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Sales for the first nine months of fiscal 2023 were $384.7 million as compared to $402.0 million for the first nine months of fiscal 2022. Comparable sales for the first nine months of fiscal 2023 decreased 2.5%, with comparable sales from our stores down 2.7% and direct down 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 Rate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third quarter of fiscal 2023, our gross margin rate, inclusive of occupancy costs, was 47.5% as compared to a gross margin rate of 50.0% for the third quarter of fiscal 2022.</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gross margin rate decreased by 250-basis points, with a decrease in merchandise margin of 110-basis points and an increase of 140-basis points in occupancy costs primarily due to the deleveraging of sales and increased rents as a result of lease extensions. The decrease in merchandise margin of 110-basis points was due to continued cost pressures on certain private-label merchandise, much of which we continued to absorb rather than passing on to the customer through price increases. We also experienced increased shipping costs related to direct-to-consumer shipments and costs related to our loyalty program with more sales tendered with loyalty certificates, as compared to the third quarter of fiscal 2022. These cost increases were partially offset by lower inbound freight costs.</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the first nine months of fiscal 2023, our gross margin rate, inclusive of occupancy costs, was 48.8% as compared to a gross margin rate of 50.8% for the first nine months of fiscal 2022. The decrease of 200-basis points was due to a decrease in merchandise margins of 120-basis points and an 80-basis point increase in occupancy costs. Similar to the third quarter merchandise margin, the decrease was due to cost pressures on certain private-label merchandise, increased direct-to-consumer shipping costs and costs related to our loyalty program. The 80-basis point increase in occupancy costs was due to a combination of the deleveraging of sales and increased rents as a result of lease extensions.</w:t>
      </w:r>
    </w:p>
    <w:p>
      <w:pPr>
        <w:spacing w:after="0" w:line="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fiscal 2023, we expect gross margin rates to be approximately 180-basis points lower than fiscal 2022, of which approximately half of this decrease being attributable to the expected deleveraging of occupancy costs on the lower sales base.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percentage of sales, SG&amp;A (selling, general and administrative) expenses for the third quarter of fiscal 2023 were 40.2% as compared to 37.3% for the third quarter of fiscal 2022. For the first nine months of fiscal 2023, SG&amp;A expenses, as a percentage of sales, were 37.4% as compared to 35.9% for the first nine months of fiscal 2022.</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 dollar basis, SG&amp;A expenses decreased by $0.4 million and $0.8 million for the third quarter and first nine months of fiscal 2023, respectively as compared to the third quarter and first nine months of fiscal 2022. The decreases were primarily due to a decrease in performance-based incentive accruals, partially offset by an increase in payroll-related costs from new positions added in the past year to support our long-range growth initiatives.</w:t>
      </w:r>
    </w:p>
    <w:p>
      <w:pPr>
        <w:spacing w:after="0" w:line="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21.0% of sales in the first nine months of fiscal 2023 as compared to 20.4% of sales in the first nine months of fiscal 2022. Corporate Support Costs, which include the distribution center and corporate overhead costs, represented 16.4% of sales in the first nine months of fiscal 2023 as compared to 15.5% of sales in the first nine months of fiscal 2022. Marketing costs for the first nine months of fiscal 2023 were 5.6% of sales as compared to 5.5% of sales for the first nine months of fiscal 2022. For fiscal 2023, marketing costs are expected to be approximately 5.7% of sales.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(Gain) of Assets</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There were no impairments or non-cash gains recognized in the first nine months of fiscal 2023. For the nine months ended October 29, 2022, we recognized a non-cash gain of $0.6 million. The non-cash gain related to the decision to close certain retail stores, which resulted in a revaluation of the existing lease liabilities. The portion of the gain that related to previously recorded impairment charges against the operating lease right-of-use asset was included as an offset to previously recorded asset impairment charges. Accordingly, for the nine months ended October 29, 2022, $0.4 million was included in the Impairment (Gain) of Assets line of the Consolidated Statement of Operations for the first nine months of fiscal 2022. The remaining gain was recorded as a reduction to occupancy costs.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Depreciation and amortization for the third quarter of fiscal 2023 decreased to $3.4 million as compared to $3.8 million for the third quarter of fiscal 2022. For the first nine months of fiscal 2023, depreciation and amortization decreased to $10.3 million as compared to $11.7 million for the first nine months of fiscal 2022. The decrease was due to a lower depreciable cost base, especially from our store assets, due to our limited capital spending since fiscal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Termination of Retirement Plans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second quarter of fiscal 2023, we identified an opportunity to eliminate a variable liability by taking advantage of the current high-interest rate environment and terminating the frozen pension plan and SERP.</w:t>
      </w:r>
    </w:p>
    <w:p>
      <w:pPr>
        <w:spacing w:after="0" w:line="62" w:lineRule="exact"/>
        <w:rPr>
          <w:sz w:val="20"/>
          <w:szCs w:val="20"/>
          <w:color w:val="auto"/>
        </w:rPr>
      </w:pPr>
    </w:p>
    <w:p>
      <w:pPr>
        <w:jc w:val="both"/>
        <w:ind w:right="260"/>
        <w:spacing w:after="0" w:line="275" w:lineRule="auto"/>
        <w:rPr>
          <w:sz w:val="20"/>
          <w:szCs w:val="20"/>
          <w:color w:val="auto"/>
        </w:rPr>
      </w:pPr>
      <w:r>
        <w:rPr>
          <w:rFonts w:ascii="Arial" w:cs="Arial" w:eastAsia="Arial" w:hAnsi="Arial"/>
          <w:sz w:val="17"/>
          <w:szCs w:val="17"/>
          <w:color w:val="auto"/>
        </w:rPr>
        <w:t>In the second quarter of fiscal 2023, we completed a partial settlement of the pension obligation through the purchase of nonparticipating annuities. We made a cash contribution to the plan during the first nine months of fiscal 2023 of $1.7 million. The remaining pension liability as of October 28, 2023, was approximately $0.1 million. For the nine months ended October 28, 2023, we recognized a charge of $4.2 million, representing a pro-rata portion of the unrealized loss that is part of accumulated other comprehensive loss on the balance sheet. We expect to settle the remaining obligation and recognize the remaining unrealized loss from the terminated pension plan by the end of fiscal 2023.</w:t>
      </w:r>
    </w:p>
    <w:p>
      <w:pPr>
        <w:spacing w:after="0" w:line="6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the third quarter of fiscal 2023, we completed the termination of the SERP through the purchase of a nonparticipating annuity. We made a cash contribution to the SERP during the first nine months of fiscal 2023 of $0.4 million and recognized a loss on the termination of $0.1 million, which is included in the Consolidated Statement of Operations for the three and nine months ended October 28,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Income/Expense, Net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interest income for the third quarter of fiscal 2023 was $0.6 million, as compared to net interest expense of $0.1 million for the third quarter of fiscal 2022. For the first nine months of fiscal 2023, net interest income was $1.4 million as compared to net interest expense of $0.4 million for the first nine months of fiscal 2022. For the third quarter and first nine months of fiscal 2023, interest income was earned from investments in U.S. government-backed investments and money market accounts. Interest costs for all periods were immaterial because we had no outstanding debt and no borrowings under our credit facility during any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As a result of releasing substantially all of the valuation allowance against our deferred tax assets during fiscal 2022, we have returned to a normal tax provision for fiscal 2023. Our tax provision for income taxes for interim periods is determined using an estimate of our annual effective tax rate, adjusted for discrete items, if any. Each quarter, we update our estimate of the annual effective tax rate and make a year-to-date adjustment to the provision.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Accordingly, for the third quarter and first nine months of fiscal 2023, the Company’s effective tax rate was 30.2% and 27.2%, respectively.</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third quarter of fiscal 2022, the effective tax rate was 16.6% and primarily reflected a $2.0 million discrete tax expense to adjust the release of valuation allowance. For the first nine months of fiscal 2022, the Company recognized an income tax benefit of $32.9 million, which included a discrete tax benefit of $33.5 million for the release of the valuation allowance discussed above.</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able to utilize our remaining NOL carryforwards to reduce our cash federal and state income taxes. We began the year with $78.9 million in federal NOL carryforwards.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For the third quarter of fiscal 2023, we recorded net income of $4.0 million, or $0.06 per diluted share, as compared to net income of $10.5 million, or $0.16 per diluted share, for the third quarter of fiscal 2022. Net income for the first nine months of fiscal 2023 was $22.6 million, or $0.35 per diluted share, as compared to net income of $80.8 million, or $1.20 per diluted share for the first nine months of fiscal 2022.</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 non-GAAP basis, assuming a normalized tax rate of 27% and adjusting for asset impairments (gains), if any, and for the loss on the termination of the retirement plans, adjusted net income for the third quarter of fiscal 2023 was $4.2 million, or $0.07 per diluted share, as compared to adjusted net income of $9.2 million, or $0.14 per diluted share for the third quarter of fiscal 2022. For the first nine months of fiscal 2023, adjusted net income was $25.8 million, or $0.40 per diluted share, as compared to adjusted net income of $34.6 million, or $0.52 per diluted share for the first nine months of fiscal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As of October 28, 2023, our inventory decreased by approximately $7.0 million to $99.9 million, as compared to $106.8 million at October 29, 2022. Managing our inventory remains a primary focus for us given the impact that inflation appears to have had 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right="160"/>
        <w:spacing w:after="0" w:line="263" w:lineRule="auto"/>
        <w:rPr>
          <w:sz w:val="20"/>
          <w:szCs w:val="20"/>
          <w:color w:val="auto"/>
        </w:rPr>
      </w:pPr>
      <w:r>
        <w:rPr>
          <w:rFonts w:ascii="Arial" w:cs="Arial" w:eastAsia="Arial" w:hAnsi="Arial"/>
          <w:sz w:val="18"/>
          <w:szCs w:val="18"/>
          <w:color w:val="auto"/>
        </w:rPr>
        <w:t>consumer discretionary spending for clothing. Based on the sales trends we started to see in March 2023, we began taking proactive measures to manage our inventory and adjust our receipt plan. At October 28, 2023, our clearance inventory was 9.7% of our total inventory, as compared to 6.7% at October 29, 2022 and still below our historical benchmark of approximately 10.0%.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primary sources of liquidity are our cash and cash equivalents, short-term investments, cash generated from operations and availability under our credit facility, which is discussed below. At October 28, 2023, we had no outstanding debt, including no borrowings under our credit facility during the first nine months of fiscal 2023. Cash that is in excess of our forecasted needs may be invested in money market accounts and U.S. government-backed securities.</w:t>
      </w:r>
    </w:p>
    <w:p>
      <w:pPr>
        <w:spacing w:after="0" w:line="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including inflation and high interest costs, may have on consumer spending as well as the continuing geopolitical impact of Russia's invasion of Ukraine and the Israel-Hamas war on our business and the global economy. We also believe that cash flows from operating activities and cash on hand will be sufficient to satisfy our capital requirements in the longer-term, however, to the extent future capital requirements exceed cash on hand plus cash flows from operating activities, we anticipate that working capital will be financed by our credit facility, as discussed below.</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first nine months of fiscal 2023, cash flow from operations increased to $33.1 million as compared to $30.2 million for the first nine months of fiscal 2022. Free cash flow, a non-GAAP measure, increased to $22.7 million for the first nine months of fiscal 2023 as compared to $22.3 million for the first nine months of fiscal 2022. The increase in free cash flow was primarily due to a decrease in merchandise purchases as we continue to drive more productive inventory utilization, partially offset by a decrease in operating income.</w:t>
      </w:r>
    </w:p>
    <w:p>
      <w:pPr>
        <w:spacing w:after="0" w:line="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Cash flow used for investing activities increased by $51.3 million for the first nine months of fiscal 2023 as compared to the first nine months of fiscal 2022, primarily due to the purchase of short-term investments, net of maturities, of $48.9 million and an increase in capital expenditures of $2.4 million.</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 used for financing activities for the first nine months of fiscal 2023 increased by $1.0 million as compared to the first nine months of fiscal 2022, primarily due to an increase in shares repurchased.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2023, the Company’s Board of Directors approved a stock repurchase program. Under the stock repurchase program, the Company was initially authorized to repurchase up to $15.0 million of its common stock through open market and privately negotiated transactions. Subsequent to the end of the third quarter, the Board of Directors approved an amendment to the stock repurchase program to increase the amount authorized for repurchase from $15.0 million to $25.0 million, effective November 17, 2023. 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 The Company expects to finance any repurchases from cash generated from operations.</w:t>
      </w:r>
    </w:p>
    <w:p>
      <w:pPr>
        <w:spacing w:after="0" w:line="56"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During the first nine months of fiscal 2023, we repurchased 3.1 million shares at a total cost, including fees, of $14.9 million. Shares of repurchased common stock are held as treasury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October 28, 2021, we entered into a $125.0 million revolving credit agreement with Citizens Bank, N.A., with a maturity date of October 28, 2026. On April 20, 2023, the Company entered into the First Amendment to Credit Agreement which provided for the replacement of the London Interbank Offering Rate (“LIBOR”) interest rate options with the secured overnight financing rate ("SOFR") based options (as amended, the "Credit Facility"). The Credit Facility includes a sublimit of $20.0 million for commercial and standby letters of credit and a sublimit of up to $15.0 million for swingline loans. Effective April 20, 2023, 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no outstanding borrowings under the Credit Facility at October 28, 2023 and no borrowings during the first nine months of fiscal 2023. At October 28, 2023, outstanding standby letters of credit were $4.3 million and outstanding documentary letters of credit were $0.4 million. The average unused excess availability during the first nine months of fiscal 2023 was approximately $84.3 million and the unused excess availability at October 28, 2023 was $87.6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fiscal 2023, we expect our capital expenditures to range from $15.5 million to $17.5 million, of which approximately $7.8 million is discretionary spending for new or improved stores with the remaining for non-discretionary, infrastructure improvements.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October 28, 2023 and October 29, 2022,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3"/>
          </w:tcPr>
          <w:p>
            <w:pPr>
              <w:jc w:val="right"/>
              <w:ind w:right="708"/>
              <w:spacing w:after="0"/>
              <w:rPr>
                <w:sz w:val="20"/>
                <w:szCs w:val="20"/>
                <w:color w:val="auto"/>
              </w:rPr>
            </w:pPr>
            <w:r>
              <w:rPr>
                <w:rFonts w:ascii="Arial" w:cs="Arial" w:eastAsia="Arial" w:hAnsi="Arial"/>
                <w:sz w:val="14"/>
                <w:szCs w:val="14"/>
                <w:color w:val="auto"/>
              </w:rPr>
              <w:t>October 28, 2023</w:t>
            </w:r>
          </w:p>
        </w:tc>
        <w:tc>
          <w:tcPr>
            <w:tcW w:w="220" w:type="dxa"/>
            <w:vAlign w:val="bottom"/>
          </w:tcPr>
          <w:p>
            <w:pPr>
              <w:spacing w:after="0"/>
              <w:rPr>
                <w:sz w:val="15"/>
                <w:szCs w:val="15"/>
                <w:color w:val="auto"/>
              </w:rPr>
            </w:pPr>
          </w:p>
        </w:tc>
        <w:tc>
          <w:tcPr>
            <w:tcW w:w="2520" w:type="dxa"/>
            <w:vAlign w:val="bottom"/>
            <w:gridSpan w:val="3"/>
          </w:tcPr>
          <w:p>
            <w:pPr>
              <w:jc w:val="right"/>
              <w:ind w:right="688"/>
              <w:spacing w:after="0"/>
              <w:rPr>
                <w:sz w:val="20"/>
                <w:szCs w:val="20"/>
                <w:color w:val="auto"/>
              </w:rPr>
            </w:pPr>
            <w:r>
              <w:rPr>
                <w:rFonts w:ascii="Arial" w:cs="Arial" w:eastAsia="Arial" w:hAnsi="Arial"/>
                <w:sz w:val="14"/>
                <w:szCs w:val="14"/>
                <w:color w:val="auto"/>
              </w:rPr>
              <w:t>October 29, 2022</w:t>
            </w:r>
          </w:p>
        </w:tc>
        <w:tc>
          <w:tcPr>
            <w:tcW w:w="220" w:type="dxa"/>
            <w:vAlign w:val="bottom"/>
          </w:tcPr>
          <w:p>
            <w:pPr>
              <w:spacing w:after="0"/>
              <w:rPr>
                <w:sz w:val="15"/>
                <w:szCs w:val="15"/>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2"/>
                <w:szCs w:val="12"/>
                <w:color w:val="auto"/>
              </w:rPr>
            </w:pPr>
          </w:p>
        </w:tc>
        <w:tc>
          <w:tcPr>
            <w:tcW w:w="114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Square</w:t>
            </w:r>
          </w:p>
        </w:tc>
        <w:tc>
          <w:tcPr>
            <w:tcW w:w="220" w:type="dxa"/>
            <w:vAlign w:val="bottom"/>
          </w:tcPr>
          <w:p>
            <w:pPr>
              <w:spacing w:after="0"/>
              <w:rPr>
                <w:sz w:val="12"/>
                <w:szCs w:val="12"/>
                <w:color w:val="auto"/>
              </w:rPr>
            </w:pPr>
          </w:p>
        </w:tc>
        <w:tc>
          <w:tcPr>
            <w:tcW w:w="11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11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Square</w:t>
            </w:r>
          </w:p>
        </w:tc>
        <w:tc>
          <w:tcPr>
            <w:tcW w:w="220" w:type="dxa"/>
            <w:vAlign w:val="bottom"/>
          </w:tcPr>
          <w:p>
            <w:pPr>
              <w:spacing w:after="0"/>
              <w:rPr>
                <w:sz w:val="12"/>
                <w:szCs w:val="12"/>
                <w:color w:val="auto"/>
              </w:rPr>
            </w:pPr>
          </w:p>
        </w:tc>
      </w:tr>
      <w:tr>
        <w:trPr>
          <w:trHeight w:val="18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Store Concept</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Stores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Footage</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Stores</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Footage</w:t>
            </w:r>
          </w:p>
        </w:tc>
        <w:tc>
          <w:tcPr>
            <w:tcW w:w="220" w:type="dxa"/>
            <w:vAlign w:val="bottom"/>
          </w:tcPr>
          <w:p>
            <w:pPr>
              <w:spacing w:after="0"/>
              <w:rPr>
                <w:sz w:val="15"/>
                <w:szCs w:val="15"/>
                <w:color w:val="auto"/>
              </w:rPr>
            </w:pPr>
          </w:p>
        </w:tc>
      </w:tr>
      <w:tr>
        <w:trPr>
          <w:trHeight w:val="197"/>
        </w:trPr>
        <w:tc>
          <w:tcPr>
            <w:tcW w:w="5600" w:type="dxa"/>
            <w:vAlign w:val="bottom"/>
          </w:tcPr>
          <w:p>
            <w:pPr>
              <w:ind w:left="20"/>
              <w:spacing w:after="0"/>
              <w:rPr>
                <w:sz w:val="20"/>
                <w:szCs w:val="20"/>
                <w:color w:val="auto"/>
              </w:rPr>
            </w:pPr>
            <w:r>
              <w:rPr>
                <w:rFonts w:ascii="Arial" w:cs="Arial" w:eastAsia="Arial" w:hAnsi="Arial"/>
                <w:sz w:val="14"/>
                <w:szCs w:val="14"/>
                <w:i w:val="1"/>
                <w:iCs w:val="1"/>
                <w:color w:val="auto"/>
              </w:rPr>
              <w:t>(square footage in thousands)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9"/>
        </w:trPr>
        <w:tc>
          <w:tcPr>
            <w:tcW w:w="560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1380" w:type="dxa"/>
            <w:vAlign w:val="bottom"/>
            <w:gridSpan w:val="2"/>
          </w:tcPr>
          <w:p>
            <w:pPr>
              <w:spacing w:after="0"/>
              <w:rPr>
                <w:sz w:val="3"/>
                <w:szCs w:val="3"/>
                <w:color w:val="auto"/>
              </w:rPr>
            </w:pPr>
          </w:p>
        </w:tc>
        <w:tc>
          <w:tcPr>
            <w:tcW w:w="1360" w:type="dxa"/>
            <w:vAlign w:val="bottom"/>
            <w:gridSpan w:val="2"/>
          </w:tcPr>
          <w:p>
            <w:pPr>
              <w:spacing w:after="0"/>
              <w:rPr>
                <w:sz w:val="3"/>
                <w:szCs w:val="3"/>
                <w:color w:val="auto"/>
              </w:rPr>
            </w:pPr>
          </w:p>
        </w:tc>
        <w:tc>
          <w:tcPr>
            <w:tcW w:w="13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DXL Retail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20" w:type="dxa"/>
            <w:vAlign w:val="bottom"/>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DXL Outlets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Casual Male XL Retail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Casual Male Outlets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Stores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2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third quarter of fiscal 2023, we opened a new DXL store in Queens, New York and expect to open two additional new stores with one in the Cincinnati market and one in the Los Angeles market by the end of fiscal 2023. During the first nine months, we completed the conversion of seven Casual Male stores to the DXL store format and completed the remodel of one existing DXL store. By the end of fiscal 2023, we expect to have opened a total of 3 new DXL stores and 10 Casual Male-to-DXL conversion stores and to have begun construction on at least 5 DXL remodels. Over the next three to five years, we believe we could potentially open 50 net new DXL stores across the country which could average 6,000 square feet or 300,000 sq. ft. in total, a 15% increase over our current square footage.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2022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Free cash flow, adjusted net income, adjusted net income per diluted share, adjusted EBITDA and adjusted EBITDA margin are non-GAAP measures. These non-GAAP measures are not presented in accordance with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100"/>
        <w:spacing w:after="0" w:line="277" w:lineRule="auto"/>
        <w:rPr>
          <w:sz w:val="20"/>
          <w:szCs w:val="20"/>
          <w:color w:val="auto"/>
        </w:rPr>
      </w:pPr>
      <w:r>
        <w:rPr>
          <w:rFonts w:ascii="Arial" w:cs="Arial" w:eastAsia="Arial" w:hAnsi="Arial"/>
          <w:sz w:val="18"/>
          <w:szCs w:val="18"/>
          <w:color w:val="auto"/>
        </w:rPr>
        <w:t>comparing such results to previous periods and that they are useful as an additional means for investors to evaluate our operating results, when reviewed in conjunction with our GAAP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Reconciliations of these non-GAAP measures are presented in the following tables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 expenditures. Free cash flow excludes the mandatory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growth. We expect to fund our ongoing capital expenditures with cash flow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gridSpan w:val="5"/>
          </w:tcPr>
          <w:p>
            <w:pPr>
              <w:jc w:val="right"/>
              <w:ind w:right="1840"/>
              <w:spacing w:after="0"/>
              <w:rPr>
                <w:sz w:val="20"/>
                <w:szCs w:val="20"/>
                <w:color w:val="auto"/>
              </w:rPr>
            </w:pPr>
            <w:r>
              <w:rPr>
                <w:rFonts w:ascii="Arial" w:cs="Arial" w:eastAsia="Arial" w:hAnsi="Arial"/>
                <w:sz w:val="14"/>
                <w:szCs w:val="14"/>
                <w:color w:val="auto"/>
              </w:rPr>
              <w:t>For the nine months ended</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4"/>
                <w:szCs w:val="14"/>
                <w:color w:val="auto"/>
              </w:rPr>
              <w:t>October 28, 2023</w:t>
            </w:r>
          </w:p>
        </w:tc>
        <w:tc>
          <w:tcPr>
            <w:tcW w:w="380" w:type="dxa"/>
            <w:vAlign w:val="bottom"/>
          </w:tcPr>
          <w:p>
            <w:pPr>
              <w:spacing w:after="0"/>
              <w:rPr>
                <w:sz w:val="15"/>
                <w:szCs w:val="15"/>
                <w:color w:val="auto"/>
              </w:rPr>
            </w:pPr>
          </w:p>
        </w:tc>
        <w:tc>
          <w:tcPr>
            <w:tcW w:w="2380" w:type="dxa"/>
            <w:vAlign w:val="bottom"/>
            <w:gridSpan w:val="2"/>
          </w:tcPr>
          <w:p>
            <w:pPr>
              <w:jc w:val="right"/>
              <w:ind w:right="1080"/>
              <w:spacing w:after="0"/>
              <w:rPr>
                <w:sz w:val="20"/>
                <w:szCs w:val="20"/>
                <w:color w:val="auto"/>
              </w:rPr>
            </w:pPr>
            <w:r>
              <w:rPr>
                <w:rFonts w:ascii="Arial" w:cs="Arial" w:eastAsia="Arial" w:hAnsi="Arial"/>
                <w:sz w:val="14"/>
                <w:szCs w:val="14"/>
                <w:color w:val="auto"/>
              </w:rPr>
              <w:t>October 29, 2022</w:t>
            </w:r>
          </w:p>
        </w:tc>
      </w:tr>
      <w:tr>
        <w:trPr>
          <w:trHeight w:val="169"/>
        </w:trPr>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36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380" w:type="dxa"/>
            <w:vAlign w:val="bottom"/>
            <w:shd w:val="clear" w:color="auto" w:fill="CFF0FC"/>
          </w:tcPr>
          <w:p>
            <w:pPr>
              <w:spacing w:after="0"/>
              <w:rPr>
                <w:sz w:val="14"/>
                <w:szCs w:val="14"/>
                <w:color w:val="auto"/>
              </w:rPr>
            </w:pPr>
          </w:p>
        </w:tc>
      </w:tr>
      <w:tr>
        <w:trPr>
          <w:trHeight w:val="176"/>
        </w:trPr>
        <w:tc>
          <w:tcPr>
            <w:tcW w:w="602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5"/>
                <w:szCs w:val="15"/>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4"/>
                <w:szCs w:val="14"/>
                <w:color w:val="auto"/>
              </w:rPr>
              <w:t>(10.4 )</w:t>
            </w:r>
          </w:p>
        </w:tc>
        <w:tc>
          <w:tcPr>
            <w:tcW w:w="380" w:type="dxa"/>
            <w:vAlign w:val="bottom"/>
          </w:tcPr>
          <w:p>
            <w:pPr>
              <w:spacing w:after="0"/>
              <w:rPr>
                <w:sz w:val="15"/>
                <w:szCs w:val="15"/>
                <w:color w:val="auto"/>
              </w:rPr>
            </w:pPr>
          </w:p>
        </w:tc>
        <w:tc>
          <w:tcPr>
            <w:tcW w:w="2380" w:type="dxa"/>
            <w:vAlign w:val="bottom"/>
            <w:gridSpan w:val="2"/>
          </w:tcPr>
          <w:p>
            <w:pPr>
              <w:jc w:val="right"/>
              <w:ind w:right="320"/>
              <w:spacing w:after="0"/>
              <w:rPr>
                <w:sz w:val="20"/>
                <w:szCs w:val="20"/>
                <w:color w:val="auto"/>
              </w:rPr>
            </w:pPr>
            <w:r>
              <w:rPr>
                <w:rFonts w:ascii="Arial" w:cs="Arial" w:eastAsia="Arial" w:hAnsi="Arial"/>
                <w:sz w:val="14"/>
                <w:szCs w:val="14"/>
                <w:color w:val="auto"/>
              </w:rPr>
              <w:t>(7.9 )</w:t>
            </w:r>
          </w:p>
        </w:tc>
      </w:tr>
      <w:tr>
        <w:trPr>
          <w:trHeight w:val="209"/>
        </w:trPr>
        <w:tc>
          <w:tcPr>
            <w:tcW w:w="60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w:t>
            </w:r>
          </w:p>
        </w:tc>
        <w:tc>
          <w:tcPr>
            <w:tcW w:w="3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u w:val="single" w:color="auto"/>
          <w:color w:val="auto"/>
        </w:rPr>
        <w:t>Adjusted Net Income and Adjusted Net Income Per Diluted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net income and adjusted net income per diluted share is calculated by</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any asset impairment charge (gain) and the loss from the termination of retirement plans, subtracting the actual income tax provision (benefit) and applying an effective tax rate of 27%.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color w:val="auto"/>
                <w:w w:val="92"/>
              </w:rPr>
              <w:t>For the three months ended</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7"/>
          </w:tcPr>
          <w:p>
            <w:pPr>
              <w:jc w:val="right"/>
              <w:ind w:right="200"/>
              <w:spacing w:after="0"/>
              <w:rPr>
                <w:sz w:val="20"/>
                <w:szCs w:val="20"/>
                <w:color w:val="auto"/>
              </w:rPr>
            </w:pPr>
            <w:r>
              <w:rPr>
                <w:rFonts w:ascii="Arial" w:cs="Arial" w:eastAsia="Arial" w:hAnsi="Arial"/>
                <w:sz w:val="14"/>
                <w:szCs w:val="14"/>
                <w:color w:val="auto"/>
                <w:w w:val="94"/>
              </w:rPr>
              <w:t>For the nine months ended</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color w:val="auto"/>
                <w:w w:val="90"/>
              </w:rPr>
              <w:t>October 28, 2023</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color w:val="auto"/>
                <w:w w:val="99"/>
              </w:rPr>
              <w:t>October 29, 2022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color w:val="auto"/>
                <w:w w:val="97"/>
              </w:rPr>
              <w:t>October 28, 2023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color w:val="auto"/>
                <w:w w:val="96"/>
              </w:rPr>
              <w:t>October 29, 2022</w:t>
            </w:r>
          </w:p>
        </w:tc>
        <w:tc>
          <w:tcPr>
            <w:tcW w:w="10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88"/>
              <w:spacing w:after="0" w:line="137" w:lineRule="exact"/>
              <w:rPr>
                <w:sz w:val="20"/>
                <w:szCs w:val="20"/>
                <w:color w:val="auto"/>
              </w:rPr>
            </w:pPr>
            <w:r>
              <w:rPr>
                <w:rFonts w:ascii="Arial" w:cs="Arial" w:eastAsia="Arial" w:hAnsi="Arial"/>
                <w:sz w:val="14"/>
                <w:szCs w:val="14"/>
                <w:color w:val="auto"/>
                <w:w w:val="82"/>
              </w:rPr>
              <w:t>Per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Per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Per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8"/>
              <w:spacing w:after="0" w:line="137" w:lineRule="exact"/>
              <w:rPr>
                <w:sz w:val="20"/>
                <w:szCs w:val="20"/>
                <w:color w:val="auto"/>
              </w:rPr>
            </w:pPr>
            <w:r>
              <w:rPr>
                <w:rFonts w:ascii="Arial" w:cs="Arial" w:eastAsia="Arial" w:hAnsi="Arial"/>
                <w:sz w:val="14"/>
                <w:szCs w:val="14"/>
                <w:color w:val="auto"/>
                <w:w w:val="91"/>
              </w:rPr>
              <w:t>Per</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diluted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diluted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5"/>
              </w:rPr>
              <w:t>share</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share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5"/>
              </w:rPr>
              <w:t>share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5"/>
              </w:rPr>
              <w:t>share</w:t>
            </w:r>
          </w:p>
        </w:tc>
        <w:tc>
          <w:tcPr>
            <w:tcW w:w="10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3"/>
              </w:rPr>
              <w:t>(in millions, except per share data)</w:t>
            </w: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Net income (GAAP basis)</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 for impairment (gain) of assets</w:t>
            </w:r>
          </w:p>
        </w:tc>
        <w:tc>
          <w:tcPr>
            <w:tcW w:w="5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(0.4 )</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840" w:type="dxa"/>
            <w:vAlign w:val="bottom"/>
            <w:gridSpan w:val="3"/>
          </w:tcPr>
          <w:p>
            <w:pPr>
              <w:ind w:left="20"/>
              <w:spacing w:after="0"/>
              <w:rPr>
                <w:sz w:val="20"/>
                <w:szCs w:val="20"/>
                <w:color w:val="auto"/>
              </w:rPr>
            </w:pPr>
            <w:r>
              <w:rPr>
                <w:rFonts w:ascii="Arial" w:cs="Arial" w:eastAsia="Arial" w:hAnsi="Arial"/>
                <w:sz w:val="14"/>
                <w:szCs w:val="14"/>
                <w:color w:val="auto"/>
              </w:rPr>
              <w:t>Add back loss on termination of retirement plans</w:t>
            </w:r>
          </w:p>
        </w:tc>
        <w:tc>
          <w:tcPr>
            <w:tcW w:w="5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 actual income tax provision (benefit)</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(32.9 )</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840" w:type="dxa"/>
            <w:vAlign w:val="bottom"/>
            <w:gridSpan w:val="3"/>
          </w:tcPr>
          <w:p>
            <w:pPr>
              <w:ind w:left="20"/>
              <w:spacing w:after="0"/>
              <w:rPr>
                <w:sz w:val="20"/>
                <w:szCs w:val="20"/>
                <w:color w:val="auto"/>
              </w:rPr>
            </w:pPr>
            <w:r>
              <w:rPr>
                <w:rFonts w:ascii="Arial" w:cs="Arial" w:eastAsia="Arial" w:hAnsi="Arial"/>
                <w:sz w:val="14"/>
                <w:szCs w:val="14"/>
                <w:color w:val="auto"/>
                <w:w w:val="99"/>
              </w:rPr>
              <w:t>Add income tax provision, assuming a normal tax rate of 27%</w:t>
            </w:r>
          </w:p>
        </w:tc>
        <w:tc>
          <w:tcPr>
            <w:tcW w:w="5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(1.6 )</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(9.5 )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(12.8 )</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Adjusted net income (non-GAAP basis)</w:t>
            </w:r>
          </w:p>
        </w:tc>
        <w:tc>
          <w:tcPr>
            <w:tcW w:w="500" w:type="dxa"/>
            <w:vAlign w:val="bottom"/>
            <w:tcBorders>
              <w:top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3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0.14</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0.40</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w:t>
            </w:r>
          </w:p>
        </w:tc>
        <w:tc>
          <w:tcPr>
            <w:tcW w:w="2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FF0FC"/>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384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w w:val="97"/>
              </w:rPr>
              <w:t>Weighted average number of common shares outstanding on a</w:t>
            </w: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3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diluted basis</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FF0FC"/>
          </w:tcPr>
          <w:p>
            <w:pPr>
              <w:spacing w:after="0"/>
              <w:rPr>
                <w:sz w:val="15"/>
                <w:szCs w:val="15"/>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Adjusted EBITDA and Adjusted EBITDA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is calculated as earnings before interest, taxes, depreciation and amortization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any loss from the termination of retirement plans or impairment of assets.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and calculates adjusted EBITDA margin: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5"/>
          </w:tcPr>
          <w:p>
            <w:pPr>
              <w:jc w:val="right"/>
              <w:ind w:right="92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900" w:type="dxa"/>
            <w:vAlign w:val="bottom"/>
            <w:gridSpan w:val="6"/>
          </w:tcPr>
          <w:p>
            <w:pPr>
              <w:ind w:left="560"/>
              <w:spacing w:after="0"/>
              <w:rPr>
                <w:sz w:val="20"/>
                <w:szCs w:val="20"/>
                <w:color w:val="auto"/>
              </w:rPr>
            </w:pPr>
            <w:r>
              <w:rPr>
                <w:rFonts w:ascii="Arial" w:cs="Arial" w:eastAsia="Arial" w:hAnsi="Arial"/>
                <w:sz w:val="14"/>
                <w:szCs w:val="14"/>
                <w:color w:val="auto"/>
              </w:rPr>
              <w:t>For the nine months ended</w:t>
            </w: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color w:val="auto"/>
                <w:w w:val="94"/>
              </w:rPr>
              <w:t>October 28, 2023</w:t>
            </w:r>
          </w:p>
        </w:tc>
        <w:tc>
          <w:tcPr>
            <w:tcW w:w="14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29, 2022</w:t>
            </w:r>
          </w:p>
        </w:tc>
        <w:tc>
          <w:tcPr>
            <w:tcW w:w="10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w w:val="92"/>
              </w:rPr>
              <w:t>October 28, 2023</w:t>
            </w:r>
          </w:p>
        </w:tc>
        <w:tc>
          <w:tcPr>
            <w:tcW w:w="14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color w:val="auto"/>
              </w:rPr>
              <w:t>October 29, 2022</w:t>
            </w:r>
          </w:p>
        </w:tc>
      </w:tr>
      <w:tr>
        <w:trPr>
          <w:trHeight w:val="155"/>
        </w:trPr>
        <w:tc>
          <w:tcPr>
            <w:tcW w:w="20" w:type="dxa"/>
            <w:vAlign w:val="bottom"/>
          </w:tcPr>
          <w:p>
            <w:pPr>
              <w:spacing w:after="0"/>
              <w:rPr>
                <w:sz w:val="13"/>
                <w:szCs w:val="13"/>
                <w:color w:val="auto"/>
              </w:rPr>
            </w:pPr>
          </w:p>
        </w:tc>
        <w:tc>
          <w:tcPr>
            <w:tcW w:w="50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20" w:type="dxa"/>
            <w:vAlign w:val="bottom"/>
            <w:shd w:val="clear" w:color="auto" w:fill="CFF0FC"/>
          </w:tcPr>
          <w:p>
            <w:pPr>
              <w:spacing w:after="0"/>
              <w:rPr>
                <w:sz w:val="15"/>
                <w:szCs w:val="15"/>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(GAAP basis)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Add back:</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Impairment (gain) of assets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(0.4 )</w:t>
            </w:r>
          </w:p>
        </w:tc>
        <w:tc>
          <w:tcPr>
            <w:tcW w:w="20" w:type="dxa"/>
            <w:vAlign w:val="bottom"/>
          </w:tcPr>
          <w:p>
            <w:pPr>
              <w:spacing w:after="0"/>
              <w:rPr>
                <w:sz w:val="15"/>
                <w:szCs w:val="15"/>
                <w:color w:val="auto"/>
              </w:rPr>
            </w:pPr>
          </w:p>
        </w:tc>
      </w:tr>
      <w:tr>
        <w:trPr>
          <w:trHeight w:val="175"/>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Loss on termination of retirement plans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6"/>
        </w:trPr>
        <w:tc>
          <w:tcPr>
            <w:tcW w:w="50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Provision (benefit) for income taxes</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(32.9 )</w:t>
            </w:r>
          </w:p>
        </w:tc>
        <w:tc>
          <w:tcPr>
            <w:tcW w:w="20" w:type="dxa"/>
            <w:vAlign w:val="bottom"/>
          </w:tcPr>
          <w:p>
            <w:pPr>
              <w:spacing w:after="0"/>
              <w:rPr>
                <w:sz w:val="15"/>
                <w:szCs w:val="15"/>
                <w:color w:val="auto"/>
              </w:rPr>
            </w:pPr>
          </w:p>
        </w:tc>
      </w:tr>
      <w:tr>
        <w:trPr>
          <w:trHeight w:val="175"/>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Interest (income) expense</w:t>
            </w:r>
          </w:p>
        </w:tc>
        <w:tc>
          <w:tcPr>
            <w:tcW w:w="12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(0.6 )</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(1.4 )</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Adjusted EBITDA (non-GAAP basis)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3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Sales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119.2</w:t>
            </w:r>
          </w:p>
        </w:tc>
        <w:tc>
          <w:tcPr>
            <w:tcW w:w="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384.7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Adjusted EBITDA margin (non-GAAP), as a percentage of sales</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12.7 %</w:t>
            </w: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11.5 %</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-479425</wp:posOffset>
            </wp:positionV>
            <wp:extent cx="7747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-479425</wp:posOffset>
            </wp:positionV>
            <wp:extent cx="6858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-479425</wp:posOffset>
            </wp:positionV>
            <wp:extent cx="6858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interest rate previously disclosed in Part II, Item 7A of our Fiscal 2022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28, 2023.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28, 2023,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experienced any changes in our internal control over financial reporting (as defined in Rules 13a-15(f) and 15d-15(f) under the Exchange Act) during the three months ended October 28, 2023 that has materially affected, or is reasonably likely to materially affect, our internal control over financial reporting.</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2022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14, 2023, the Company’s Board of Directors approved a stock repurchase program pursuant to which the Company was initially authorized to repurchase up to $15.0 million of its common stock through open market and privately negotiated transactions. The initial authorization was completed during the third quarter of fiscal 2023. Subsequent to the end of the third quarter, on November 15, 2023, the Board of Directors approved an amendment to the stock repurchase program to increase the amount authorized under the program from $15.0 million to $25.0 million, effective November 17, 2023. 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Stock repurchase activity during the three months ended October 28, 2023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(d)</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Total number of shares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(a)</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w w:val="90"/>
              </w:rPr>
              <w:t>(b)</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purchased as part of</w:t>
            </w:r>
          </w:p>
        </w:tc>
        <w:tc>
          <w:tcPr>
            <w:tcW w:w="220" w:type="dxa"/>
            <w:vAlign w:val="bottom"/>
            <w:shd w:val="clear" w:color="auto" w:fill="CFF0FC"/>
          </w:tcPr>
          <w:p>
            <w:pPr>
              <w:spacing w:after="0"/>
              <w:rPr>
                <w:sz w:val="18"/>
                <w:szCs w:val="18"/>
                <w:color w:val="auto"/>
              </w:rPr>
            </w:pPr>
          </w:p>
        </w:tc>
        <w:tc>
          <w:tcPr>
            <w:tcW w:w="196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w w:val="96"/>
              </w:rPr>
              <w:t>value of shares that may</w:t>
            </w:r>
          </w:p>
        </w:tc>
      </w:tr>
      <w:tr>
        <w:trPr>
          <w:trHeight w:val="194"/>
        </w:trPr>
        <w:tc>
          <w:tcPr>
            <w:tcW w:w="3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10"/>
              <w:spacing w:after="0" w:line="194" w:lineRule="exact"/>
              <w:rPr>
                <w:sz w:val="20"/>
                <w:szCs w:val="20"/>
                <w:color w:val="auto"/>
              </w:rPr>
            </w:pPr>
            <w:r>
              <w:rPr>
                <w:rFonts w:ascii="Arial" w:cs="Arial" w:eastAsia="Arial" w:hAnsi="Arial"/>
                <w:sz w:val="18"/>
                <w:szCs w:val="18"/>
                <w:color w:val="auto"/>
              </w:rPr>
              <w:t>Total number of</w:t>
            </w:r>
          </w:p>
        </w:tc>
        <w:tc>
          <w:tcPr>
            <w:tcW w:w="2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center"/>
              <w:spacing w:after="0" w:line="194" w:lineRule="exact"/>
              <w:rPr>
                <w:sz w:val="20"/>
                <w:szCs w:val="20"/>
                <w:color w:val="auto"/>
              </w:rPr>
            </w:pPr>
            <w:r>
              <w:rPr>
                <w:rFonts w:ascii="Arial" w:cs="Arial" w:eastAsia="Arial" w:hAnsi="Arial"/>
                <w:sz w:val="18"/>
                <w:szCs w:val="18"/>
                <w:color w:val="auto"/>
                <w:w w:val="90"/>
              </w:rPr>
              <w:t>Average price paid</w:t>
            </w:r>
          </w:p>
        </w:tc>
        <w:tc>
          <w:tcPr>
            <w:tcW w:w="220" w:type="dxa"/>
            <w:vAlign w:val="bottom"/>
            <w:shd w:val="clear" w:color="auto" w:fill="CFF0FC"/>
          </w:tcPr>
          <w:p>
            <w:pPr>
              <w:spacing w:after="0"/>
              <w:rPr>
                <w:sz w:val="16"/>
                <w:szCs w:val="16"/>
                <w:color w:val="auto"/>
              </w:rPr>
            </w:pPr>
          </w:p>
        </w:tc>
        <w:tc>
          <w:tcPr>
            <w:tcW w:w="1700" w:type="dxa"/>
            <w:vAlign w:val="bottom"/>
            <w:shd w:val="clear" w:color="auto" w:fill="CFF0FC"/>
          </w:tcPr>
          <w:p>
            <w:pPr>
              <w:jc w:val="center"/>
              <w:spacing w:after="0" w:line="194" w:lineRule="exact"/>
              <w:rPr>
                <w:sz w:val="20"/>
                <w:szCs w:val="20"/>
                <w:color w:val="auto"/>
              </w:rPr>
            </w:pPr>
            <w:r>
              <w:rPr>
                <w:rFonts w:ascii="Arial" w:cs="Arial" w:eastAsia="Arial" w:hAnsi="Arial"/>
                <w:sz w:val="18"/>
                <w:szCs w:val="18"/>
                <w:color w:val="auto"/>
                <w:w w:val="92"/>
              </w:rPr>
              <w:t>publicly announced</w:t>
            </w:r>
          </w:p>
        </w:tc>
        <w:tc>
          <w:tcPr>
            <w:tcW w:w="220" w:type="dxa"/>
            <w:vAlign w:val="bottom"/>
            <w:shd w:val="clear" w:color="auto" w:fill="CFF0FC"/>
          </w:tcPr>
          <w:p>
            <w:pPr>
              <w:spacing w:after="0"/>
              <w:rPr>
                <w:sz w:val="16"/>
                <w:szCs w:val="16"/>
                <w:color w:val="auto"/>
              </w:rPr>
            </w:pPr>
          </w:p>
        </w:tc>
        <w:tc>
          <w:tcPr>
            <w:tcW w:w="1960" w:type="dxa"/>
            <w:vAlign w:val="bottom"/>
            <w:gridSpan w:val="3"/>
            <w:shd w:val="clear" w:color="auto" w:fill="CFF0FC"/>
          </w:tcPr>
          <w:p>
            <w:pPr>
              <w:jc w:val="center"/>
              <w:ind w:right="140"/>
              <w:spacing w:after="0" w:line="194" w:lineRule="exact"/>
              <w:rPr>
                <w:sz w:val="20"/>
                <w:szCs w:val="20"/>
                <w:color w:val="auto"/>
              </w:rPr>
            </w:pPr>
            <w:r>
              <w:rPr>
                <w:rFonts w:ascii="Arial" w:cs="Arial" w:eastAsia="Arial" w:hAnsi="Arial"/>
                <w:sz w:val="18"/>
                <w:szCs w:val="18"/>
                <w:color w:val="auto"/>
                <w:w w:val="87"/>
              </w:rPr>
              <w:t>yet be purchased under</w:t>
            </w:r>
          </w:p>
        </w:tc>
      </w:tr>
      <w:tr>
        <w:trPr>
          <w:trHeight w:val="266"/>
        </w:trPr>
        <w:tc>
          <w:tcPr>
            <w:tcW w:w="3780" w:type="dxa"/>
            <w:vAlign w:val="bottom"/>
            <w:tcBorders>
              <w:bottom w:val="single" w:sz="8" w:color="auto"/>
            </w:tcBorders>
            <w:shd w:val="clear" w:color="auto" w:fill="CFF0FC"/>
          </w:tcPr>
          <w:p>
            <w:pPr>
              <w:ind w:left="166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shares purchased</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center"/>
              <w:ind w:right="110"/>
              <w:spacing w:after="0" w:line="266" w:lineRule="exact"/>
              <w:rPr>
                <w:sz w:val="20"/>
                <w:szCs w:val="20"/>
                <w:color w:val="auto"/>
              </w:rPr>
            </w:pPr>
            <w:r>
              <w:rPr>
                <w:rFonts w:ascii="Arial" w:cs="Arial" w:eastAsia="Arial" w:hAnsi="Arial"/>
                <w:sz w:val="18"/>
                <w:szCs w:val="18"/>
                <w:color w:val="auto"/>
                <w:w w:val="83"/>
              </w:rPr>
              <w:t xml:space="preserve">per share </w:t>
            </w:r>
            <w:r>
              <w:rPr>
                <w:rFonts w:ascii="Arial" w:cs="Arial" w:eastAsia="Arial" w:hAnsi="Arial"/>
                <w:sz w:val="24"/>
                <w:szCs w:val="24"/>
                <w:color w:val="auto"/>
                <w:w w:val="83"/>
                <w:vertAlign w:val="superscript"/>
              </w:rPr>
              <w:t>(1)</w:t>
            </w:r>
          </w:p>
        </w:tc>
        <w:tc>
          <w:tcPr>
            <w:tcW w:w="220" w:type="dxa"/>
            <w:vAlign w:val="bottom"/>
            <w:tcBorders>
              <w:bottom w:val="single" w:sz="8" w:color="CFF0FC"/>
            </w:tcBorders>
            <w:shd w:val="clear" w:color="auto" w:fill="CFF0FC"/>
          </w:tcPr>
          <w:p>
            <w:pPr>
              <w:spacing w:after="0"/>
              <w:rPr>
                <w:sz w:val="23"/>
                <w:szCs w:val="23"/>
                <w:color w:val="auto"/>
              </w:rPr>
            </w:pPr>
          </w:p>
        </w:tc>
        <w:tc>
          <w:tcPr>
            <w:tcW w:w="17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plan</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700" w:type="dxa"/>
            <w:vAlign w:val="bottom"/>
            <w:tcBorders>
              <w:bottom w:val="single" w:sz="8" w:color="auto"/>
            </w:tcBorders>
            <w:shd w:val="clear" w:color="auto" w:fill="CFF0FC"/>
          </w:tcPr>
          <w:p>
            <w:pPr>
              <w:jc w:val="right"/>
              <w:ind w:right="390"/>
              <w:spacing w:after="0" w:line="266" w:lineRule="exact"/>
              <w:rPr>
                <w:sz w:val="20"/>
                <w:szCs w:val="20"/>
                <w:color w:val="auto"/>
              </w:rPr>
            </w:pPr>
            <w:r>
              <w:rPr>
                <w:rFonts w:ascii="Arial" w:cs="Arial" w:eastAsia="Arial" w:hAnsi="Arial"/>
                <w:sz w:val="18"/>
                <w:szCs w:val="18"/>
                <w:color w:val="auto"/>
              </w:rPr>
              <w:t xml:space="preserve">the plan </w:t>
            </w:r>
            <w:r>
              <w:rPr>
                <w:rFonts w:ascii="Arial" w:cs="Arial" w:eastAsia="Arial" w:hAnsi="Arial"/>
                <w:sz w:val="24"/>
                <w:szCs w:val="24"/>
                <w:color w:val="auto"/>
                <w:vertAlign w:val="superscript"/>
              </w:rPr>
              <w:t>(1)(2)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6"/>
        </w:trPr>
        <w:tc>
          <w:tcPr>
            <w:tcW w:w="3780" w:type="dxa"/>
            <w:vAlign w:val="bottom"/>
          </w:tcPr>
          <w:p>
            <w:pPr>
              <w:spacing w:after="0"/>
              <w:rPr>
                <w:sz w:val="20"/>
                <w:szCs w:val="20"/>
                <w:color w:val="auto"/>
              </w:rPr>
            </w:pPr>
          </w:p>
        </w:tc>
        <w:tc>
          <w:tcPr>
            <w:tcW w:w="1620" w:type="dxa"/>
            <w:vAlign w:val="bottom"/>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1280" w:type="dxa"/>
            <w:vAlign w:val="bottom"/>
          </w:tcPr>
          <w:p>
            <w:pPr>
              <w:spacing w:after="0"/>
              <w:rPr>
                <w:sz w:val="20"/>
                <w:szCs w:val="20"/>
                <w:color w:val="auto"/>
              </w:rPr>
            </w:pPr>
          </w:p>
        </w:tc>
        <w:tc>
          <w:tcPr>
            <w:tcW w:w="1920" w:type="dxa"/>
            <w:vAlign w:val="bottom"/>
            <w:gridSpan w:val="2"/>
          </w:tcPr>
          <w:p>
            <w:pPr>
              <w:spacing w:after="0"/>
              <w:rPr>
                <w:sz w:val="20"/>
                <w:szCs w:val="20"/>
                <w:color w:val="auto"/>
              </w:rPr>
            </w:pPr>
          </w:p>
        </w:tc>
        <w:tc>
          <w:tcPr>
            <w:tcW w:w="38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30, 2023 to August 26, 2023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838,145</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838,145</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10,150,003</w:t>
            </w: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August 27, 2023 to September 30, 2023</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10,150,003</w:t>
            </w:r>
          </w:p>
        </w:tc>
        <w:tc>
          <w:tcPr>
            <w:tcW w:w="100" w:type="dxa"/>
            <w:vAlign w:val="bottom"/>
          </w:tcPr>
          <w:p>
            <w:pPr>
              <w:spacing w:after="0"/>
              <w:rPr>
                <w:sz w:val="20"/>
                <w:szCs w:val="20"/>
                <w:color w:val="auto"/>
              </w:rPr>
            </w:pPr>
          </w:p>
        </w:tc>
      </w:tr>
      <w:tr>
        <w:trPr>
          <w:trHeight w:val="249"/>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October 1, 2023 to October 28, 2023</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10,150,003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838,145</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838,145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10,150,003</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-813435</wp:posOffset>
            </wp:positionV>
            <wp:extent cx="76835"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-813435</wp:posOffset>
            </wp:positionV>
            <wp:extent cx="7747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-813435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-813435</wp:posOffset>
            </wp:positionV>
            <wp:extent cx="6858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-187960</wp:posOffset>
            </wp:positionV>
            <wp:extent cx="7747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85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280" w:right="80" w:firstLine="9"/>
        <w:spacing w:after="0" w:line="258" w:lineRule="auto"/>
        <w:tabs>
          <w:tab w:leader="none" w:pos="5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price paid per share and the approximate dollar value of shares that may yet be purchased under the plan excludes the accrual of excise tax of $0.1 million as of October 28, 2023.</w:t>
      </w:r>
    </w:p>
    <w:p>
      <w:pPr>
        <w:spacing w:after="0" w:line="1" w:lineRule="exact"/>
        <w:rPr>
          <w:rFonts w:ascii="Arial" w:cs="Arial" w:eastAsia="Arial" w:hAnsi="Arial"/>
          <w:sz w:val="18"/>
          <w:szCs w:val="18"/>
          <w:color w:val="auto"/>
        </w:rPr>
      </w:pPr>
    </w:p>
    <w:p>
      <w:pPr>
        <w:ind w:left="540" w:hanging="251"/>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additional $10.0 million authorized in November 2023, subsequent to the end of the third quarter of fiscal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right="140" w:firstLine="45"/>
        <w:spacing w:after="0" w:line="301" w:lineRule="auto"/>
        <w:rPr>
          <w:sz w:val="20"/>
          <w:szCs w:val="20"/>
          <w:color w:val="auto"/>
        </w:rPr>
      </w:pPr>
      <w:r>
        <w:rPr>
          <w:rFonts w:ascii="Arial" w:cs="Arial" w:eastAsia="Arial" w:hAnsi="Arial"/>
          <w:sz w:val="16"/>
          <w:szCs w:val="16"/>
          <w:color w:val="auto"/>
        </w:rPr>
        <w:t>On August 29, 2023, Jack Boyle, a director of the Company, terminated a previously adopted Rule 10b5-1 trading arrangement with respect to the sale of the Company’s common stock (the “Trading Plan”). Mr. Boyle’s Trading Plan was adopted on April 13, 2023, become effective on July 13, 2023 and was to terminate on the earlier of March 15, 2024 or the sale of all shares subject to the Trading Plan (unless earlier terminated according to the terms of the Trading Plan). As of the date of termination of the Trading Plan, no shares of common stock had been sold pursuant to the Trading Plan.</w:t>
      </w:r>
    </w:p>
    <w:p>
      <w:pPr>
        <w:spacing w:after="0" w:line="15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Other than as noted above, during the three months ended October 28, 2023,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 as amended).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060" w:type="dxa"/>
            <w:vAlign w:val="bottom"/>
            <w:gridSpan w:val="12"/>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First Amendment to the Amended and Restated Employment Agreement between the Company and Harvey S. Kanter, dated August 11,</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FF"/>
                <w:w w:val="93"/>
              </w:rPr>
            </w:pPr>
            <w:hyperlink r:id="rId158">
              <w:r>
                <w:rPr>
                  <w:rFonts w:ascii="Arial" w:cs="Arial" w:eastAsia="Arial" w:hAnsi="Arial"/>
                  <w:sz w:val="18"/>
                  <w:szCs w:val="18"/>
                  <w:color w:val="0000FF"/>
                  <w:w w:val="93"/>
                </w:rPr>
                <w:t>2023, which includes the Form of Performance Share Award Agreement (included as Exhibit 10.1 to the Company's Current Report on</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FF"/>
              </w:rPr>
            </w:pPr>
            <w:hyperlink r:id="rId158">
              <w:r>
                <w:rPr>
                  <w:rFonts w:ascii="Arial" w:cs="Arial" w:eastAsia="Arial" w:hAnsi="Arial"/>
                  <w:sz w:val="18"/>
                  <w:szCs w:val="18"/>
                  <w:color w:val="0000FF"/>
                </w:rPr>
                <w:t>Form 8-K filed August 15, 2023, and incorporated herein by reference)</w:t>
              </w:r>
              <w:r>
                <w:rPr>
                  <w:rFonts w:ascii="Arial" w:cs="Arial" w:eastAsia="Arial" w:hAnsi="Arial"/>
                  <w:sz w:val="18"/>
                  <w:szCs w:val="18"/>
                  <w:color w:val="000000"/>
                </w:rPr>
                <w:t>.</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gridSpan w:val="12"/>
          </w:tcPr>
          <w:p>
            <w:pPr>
              <w:spacing w:after="0"/>
              <w:rPr>
                <w:sz w:val="20"/>
                <w:szCs w:val="20"/>
                <w:color w:val="auto"/>
              </w:rPr>
            </w:pPr>
            <w:r>
              <w:rPr>
                <w:rFonts w:ascii="Arial" w:cs="Arial" w:eastAsia="Arial" w:hAnsi="Arial"/>
                <w:sz w:val="18"/>
                <w:szCs w:val="18"/>
                <w:color w:val="0000FF"/>
                <w:w w:val="96"/>
              </w:rPr>
              <w:t>Certification of the Chief Executive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gridSpan w:val="12"/>
          </w:tcPr>
          <w:p>
            <w:pPr>
              <w:spacing w:after="0"/>
              <w:rPr>
                <w:sz w:val="20"/>
                <w:szCs w:val="20"/>
                <w:color w:val="auto"/>
              </w:rPr>
            </w:pPr>
            <w:r>
              <w:rPr>
                <w:rFonts w:ascii="Arial" w:cs="Arial" w:eastAsia="Arial" w:hAnsi="Arial"/>
                <w:sz w:val="18"/>
                <w:szCs w:val="18"/>
                <w:color w:val="0000FF"/>
                <w:w w:val="96"/>
              </w:rPr>
              <w:t>Certification of the Chief Financial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12"/>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060" w:type="dxa"/>
            <w:vAlign w:val="bottom"/>
            <w:gridSpan w:val="12"/>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Inline XBRL Instance Document. The instance document does not appear in the Interactive Data File because its XBRL tags are embedded</w:t>
            </w:r>
          </w:p>
        </w:tc>
      </w:tr>
      <w:tr>
        <w:trPr>
          <w:trHeight w:val="196"/>
        </w:trPr>
        <w:tc>
          <w:tcPr>
            <w:tcW w:w="96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Arial" w:cs="Arial" w:eastAsia="Arial" w:hAnsi="Arial"/>
                <w:sz w:val="18"/>
                <w:szCs w:val="18"/>
                <w:color w:val="0000FF"/>
              </w:rPr>
              <w:t>within the Inline XBRL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12"/>
          </w:tcPr>
          <w:p>
            <w:pPr>
              <w:spacing w:after="0"/>
              <w:rPr>
                <w:sz w:val="20"/>
                <w:szCs w:val="20"/>
                <w:color w:val="auto"/>
              </w:rPr>
            </w:pPr>
            <w:r>
              <w:rPr>
                <w:rFonts w:ascii="Arial" w:cs="Arial" w:eastAsia="Arial" w:hAnsi="Arial"/>
                <w:sz w:val="18"/>
                <w:szCs w:val="18"/>
                <w:color w:val="0000FF"/>
              </w:rPr>
              <w:t>Inline XBRL Taxonomy Extension Schema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12"/>
          </w:tcPr>
          <w:p>
            <w:pPr>
              <w:spacing w:after="0"/>
              <w:rPr>
                <w:sz w:val="20"/>
                <w:szCs w:val="20"/>
                <w:color w:val="auto"/>
              </w:rPr>
            </w:pPr>
            <w:r>
              <w:rPr>
                <w:rFonts w:ascii="Arial" w:cs="Arial" w:eastAsia="Arial" w:hAnsi="Arial"/>
                <w:sz w:val="18"/>
                <w:szCs w:val="18"/>
                <w:color w:val="0000FF"/>
              </w:rPr>
              <w:t>Inline XBRL Taxonomy Extension Calculation Linkbase Document.</w:t>
            </w: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3"/>
              </w:rPr>
              <w:t>Inline XBRL Taxonomy Extension Definition Linkbase Document.</w:t>
            </w:r>
          </w:p>
        </w:tc>
        <w:tc>
          <w:tcPr>
            <w:tcW w:w="140" w:type="dxa"/>
            <w:vAlign w:val="bottom"/>
            <w:tcBorders>
              <w:top w:val="single" w:sz="8" w:color="0000FF"/>
            </w:tcBorders>
          </w:tcPr>
          <w:p>
            <w:pPr>
              <w:spacing w:after="0"/>
              <w:rPr>
                <w:sz w:val="24"/>
                <w:szCs w:val="24"/>
                <w:color w:val="auto"/>
              </w:rPr>
            </w:pPr>
          </w:p>
        </w:tc>
        <w:tc>
          <w:tcPr>
            <w:tcW w:w="5080" w:type="dxa"/>
            <w:vAlign w:val="bottom"/>
            <w:gridSpan w:val="6"/>
          </w:tcPr>
          <w:p>
            <w:pPr>
              <w:spacing w:after="0"/>
              <w:rPr>
                <w:sz w:val="24"/>
                <w:szCs w:val="24"/>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12"/>
          </w:tcPr>
          <w:p>
            <w:pPr>
              <w:spacing w:after="0"/>
              <w:rPr>
                <w:sz w:val="20"/>
                <w:szCs w:val="20"/>
                <w:color w:val="auto"/>
              </w:rPr>
            </w:pPr>
            <w:r>
              <w:rPr>
                <w:rFonts w:ascii="Arial" w:cs="Arial" w:eastAsia="Arial" w:hAnsi="Arial"/>
                <w:sz w:val="18"/>
                <w:szCs w:val="18"/>
                <w:color w:val="0000FF"/>
              </w:rPr>
              <w:t>Inline XBRL Taxonomy Extension Label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12"/>
          </w:tcPr>
          <w:p>
            <w:pPr>
              <w:spacing w:after="0"/>
              <w:rPr>
                <w:sz w:val="20"/>
                <w:szCs w:val="20"/>
                <w:color w:val="auto"/>
              </w:rPr>
            </w:pPr>
            <w:r>
              <w:rPr>
                <w:rFonts w:ascii="Arial" w:cs="Arial" w:eastAsia="Arial" w:hAnsi="Arial"/>
                <w:sz w:val="18"/>
                <w:szCs w:val="18"/>
                <w:color w:val="0000FF"/>
              </w:rPr>
              <w:t>Inline XBRL Taxonomy Extension Presentation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3" w:lineRule="exact"/>
        <w:rPr>
          <w:sz w:val="20"/>
          <w:szCs w:val="20"/>
          <w:color w:val="auto"/>
        </w:rPr>
      </w:pPr>
    </w:p>
    <w:p>
      <w:pPr>
        <w:ind w:left="1020" w:hanging="93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224"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9" w:name="page30"/>
    <w:bookmarkEnd w:id="29"/>
    <w:p>
      <w:pPr>
        <w:jc w:val="center"/>
        <w:ind w:right="-2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DESTINATION XL GROUP, INC.</w:t>
      </w:r>
    </w:p>
    <w:p>
      <w:pPr>
        <w:spacing w:after="0" w:line="306" w:lineRule="exact"/>
        <w:rPr>
          <w:sz w:val="20"/>
          <w:szCs w:val="20"/>
          <w:color w:val="auto"/>
        </w:rPr>
      </w:pPr>
    </w:p>
    <w:p>
      <w:pPr>
        <w:ind w:left="20"/>
        <w:spacing w:after="0"/>
        <w:tabs>
          <w:tab w:leader="none" w:pos="5960" w:val="left"/>
          <w:tab w:leader="none" w:pos="6760" w:val="left"/>
        </w:tabs>
        <w:rPr>
          <w:sz w:val="20"/>
          <w:szCs w:val="20"/>
          <w:color w:val="auto"/>
        </w:rPr>
      </w:pPr>
      <w:r>
        <w:rPr>
          <w:rFonts w:ascii="Arial" w:cs="Arial" w:eastAsia="Arial" w:hAnsi="Arial"/>
          <w:sz w:val="18"/>
          <w:szCs w:val="18"/>
          <w:color w:val="auto"/>
        </w:rPr>
        <w:t>Date: 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F. Cooney</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Vice President, Chief Accounting Officer and</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Corporate Controller (Duly Authorized Officer and Chief</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41" w:right="679" w:bottom="1440" w:gutter="0" w:footer="0" w:header="0"/>
        </w:sectPr>
      </w:pPr>
    </w:p>
    <w:bookmarkStart w:id="30" w:name="page31"/>
    <w:bookmarkEnd w:id="30"/>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Arial" w:cs="Arial" w:eastAsia="Arial" w:hAnsi="Arial"/>
          <w:sz w:val="18"/>
          <w:szCs w:val="18"/>
          <w:color w:val="auto"/>
        </w:rPr>
        <w:t>Date:</w:t>
        <w:tab/>
        <w:t>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Harvey S. Kanter</w:t>
      </w:r>
    </w:p>
    <w:p>
      <w:pPr>
        <w:spacing w:after="0" w:line="2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Arial" w:cs="Arial" w:eastAsia="Arial" w:hAnsi="Arial"/>
          <w:sz w:val="18"/>
          <w:szCs w:val="18"/>
          <w:color w:val="auto"/>
        </w:rPr>
        <w:t>Date:</w:t>
        <w:tab/>
        <w:t>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Peter H. Stratton, Jr.</w:t>
      </w:r>
    </w:p>
    <w:p>
      <w:pPr>
        <w:spacing w:after="0" w:line="2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left="102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28, 2023, as filed with the Securities and Exchange Commission on the date hereof (the “Report”), I, Harvey S. Kanter, Chief Executive Officer of the Company, certify pursuant to 18 U.S.C. § 1350, as adopted pursuant to § 906 of the Sarbanes-Oxley Act of 2002, that:</w:t>
      </w:r>
    </w:p>
    <w:p>
      <w:pPr>
        <w:spacing w:after="0" w:line="76" w:lineRule="exact"/>
        <w:rPr>
          <w:sz w:val="20"/>
          <w:szCs w:val="20"/>
          <w:color w:val="auto"/>
        </w:rPr>
      </w:pPr>
    </w:p>
    <w:p>
      <w:pPr>
        <w:ind w:left="1400" w:right="480" w:hanging="374"/>
        <w:spacing w:after="0" w:line="277" w:lineRule="auto"/>
        <w:tabs>
          <w:tab w:leader="none" w:pos="12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00" w:right="260" w:hanging="374"/>
        <w:spacing w:after="0" w:line="277" w:lineRule="auto"/>
        <w:tabs>
          <w:tab w:leader="none" w:pos="12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8" w:lineRule="exact"/>
        <w:rPr>
          <w:sz w:val="20"/>
          <w:szCs w:val="20"/>
          <w:color w:val="auto"/>
        </w:rPr>
      </w:pPr>
    </w:p>
    <w:p>
      <w:pPr>
        <w:ind w:left="20"/>
        <w:spacing w:after="0"/>
        <w:tabs>
          <w:tab w:leader="none" w:pos="620" w:val="left"/>
          <w:tab w:leader="none" w:pos="6760" w:val="left"/>
          <w:tab w:leader="none" w:pos="8380" w:val="left"/>
        </w:tabs>
        <w:rPr>
          <w:sz w:val="20"/>
          <w:szCs w:val="20"/>
          <w:color w:val="auto"/>
        </w:rPr>
      </w:pPr>
      <w:r>
        <w:rPr>
          <w:rFonts w:ascii="Arial" w:cs="Arial" w:eastAsia="Arial" w:hAnsi="Arial"/>
          <w:sz w:val="18"/>
          <w:szCs w:val="18"/>
          <w:color w:val="auto"/>
        </w:rPr>
        <w:t>Date:</w:t>
        <w:tab/>
        <w:t>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Harvey S. Kanter</w:t>
      </w:r>
    </w:p>
    <w:p>
      <w:pPr>
        <w:spacing w:after="0" w:line="28"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Harvey S. Kanter</w:t>
      </w:r>
    </w:p>
    <w:p>
      <w:pPr>
        <w:spacing w:after="0" w:line="2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Executive Officer</w:t>
      </w:r>
    </w:p>
    <w:p>
      <w:pPr>
        <w:spacing w:after="0" w:line="21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28, 2023,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6" w:lineRule="exact"/>
        <w:rPr>
          <w:sz w:val="20"/>
          <w:szCs w:val="20"/>
          <w:color w:val="auto"/>
        </w:rPr>
      </w:pPr>
    </w:p>
    <w:p>
      <w:pPr>
        <w:ind w:left="1400" w:right="480" w:hanging="374"/>
        <w:spacing w:after="0" w:line="277" w:lineRule="auto"/>
        <w:tabs>
          <w:tab w:leader="none" w:pos="12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00" w:right="260" w:hanging="374"/>
        <w:spacing w:after="0" w:line="277" w:lineRule="auto"/>
        <w:tabs>
          <w:tab w:leader="none" w:pos="12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8"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Arial" w:cs="Arial" w:eastAsia="Arial" w:hAnsi="Arial"/>
          <w:sz w:val="18"/>
          <w:szCs w:val="18"/>
          <w:color w:val="auto"/>
        </w:rPr>
        <w:t>Date:</w:t>
        <w:tab/>
        <w:t>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Peter H. Stratton, Jr.</w:t>
      </w:r>
    </w:p>
    <w:p>
      <w:pPr>
        <w:spacing w:after="0" w:line="28"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Peter H. Stratton, Jr.</w:t>
      </w:r>
    </w:p>
    <w:p>
      <w:pPr>
        <w:spacing w:after="0" w:line="2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Financial Officer</w:t>
      </w:r>
    </w:p>
    <w:p>
      <w:pPr>
        <w:spacing w:after="0" w:line="21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4"/>
    </w:lvl>
    <w:lvl w:ilvl="1">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58" Type="http://schemas.openxmlformats.org/officeDocument/2006/relationships/hyperlink" Target="https://www.sec.gov/Archives/edgar/data/813298/000095017023042626/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2023-11-17T10:53:51Z</dcterms:created>
  <dcterms:modified xsi:type="dcterms:W3CDTF">2023-11-17T10:53:51Z</dcterms:modified>
</cp:coreProperties>
</file>