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Exchange Act of 1934</w:t>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4" w:lineRule="exact"/>
        <w:rPr>
          <w:sz w:val="24"/>
          <w:szCs w:val="24"/>
          <w:color w:val="auto"/>
        </w:rPr>
      </w:pPr>
    </w:p>
    <w:p>
      <w:pPr>
        <w:ind w:left="260" w:hanging="25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260" w:hanging="25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6" w:lineRule="exact"/>
        <w:rPr>
          <w:rFonts w:ascii="MS PGothic" w:cs="MS PGothic" w:eastAsia="MS PGothic" w:hAnsi="MS PGothic"/>
          <w:sz w:val="18"/>
          <w:szCs w:val="18"/>
          <w:color w:val="auto"/>
        </w:rPr>
      </w:pPr>
    </w:p>
    <w:p>
      <w:pPr>
        <w:ind w:left="260" w:hanging="25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4" w:lineRule="exact"/>
        <w:rPr>
          <w:rFonts w:ascii="MS PGothic" w:cs="MS PGothic" w:eastAsia="MS PGothic" w:hAnsi="MS PGothic"/>
          <w:sz w:val="18"/>
          <w:szCs w:val="18"/>
          <w:color w:val="auto"/>
        </w:rPr>
      </w:pPr>
    </w:p>
    <w:p>
      <w:pPr>
        <w:ind w:left="260" w:hanging="25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DESTINATION XL GROUP, INC.</w:t>
      </w:r>
    </w:p>
    <w:p>
      <w:pPr>
        <w:spacing w:after="0" w:line="4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5"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4" w:lineRule="exact"/>
        <w:rPr>
          <w:sz w:val="24"/>
          <w:szCs w:val="24"/>
          <w:color w:val="auto"/>
        </w:rPr>
      </w:pPr>
    </w:p>
    <w:p>
      <w:pPr>
        <w:ind w:left="260" w:hanging="253"/>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4" w:lineRule="exact"/>
        <w:rPr>
          <w:sz w:val="24"/>
          <w:szCs w:val="24"/>
          <w:color w:val="auto"/>
        </w:rPr>
      </w:pPr>
    </w:p>
    <w:p>
      <w:pPr>
        <w:ind w:left="260" w:hanging="253"/>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4" w:lineRule="exact"/>
        <w:rPr>
          <w:rFonts w:ascii="MS PGothic" w:cs="MS PGothic" w:eastAsia="MS PGothic" w:hAnsi="MS PGothic"/>
          <w:sz w:val="18"/>
          <w:szCs w:val="18"/>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5" w:lineRule="exact"/>
        <w:rPr>
          <w:rFonts w:ascii="Arial" w:cs="Arial" w:eastAsia="Arial" w:hAnsi="Arial"/>
          <w:sz w:val="18"/>
          <w:szCs w:val="18"/>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5" w:lineRule="exact"/>
        <w:rPr>
          <w:rFonts w:ascii="Arial" w:cs="Arial" w:eastAsia="Arial" w:hAnsi="Arial"/>
          <w:sz w:val="18"/>
          <w:szCs w:val="18"/>
          <w:color w:val="auto"/>
        </w:rPr>
      </w:pPr>
    </w:p>
    <w:p>
      <w:pPr>
        <w:ind w:left="780" w:hanging="264"/>
        <w:spacing w:after="0" w:line="271"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2" w:lineRule="exact"/>
        <w:rPr>
          <w:rFonts w:ascii="Arial" w:cs="Arial" w:eastAsia="Arial" w:hAnsi="Arial"/>
          <w:sz w:val="18"/>
          <w:szCs w:val="18"/>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28" w:lineRule="exact"/>
        <w:rPr>
          <w:rFonts w:ascii="Arial" w:cs="Arial" w:eastAsia="Arial" w:hAnsi="Arial"/>
          <w:sz w:val="18"/>
          <w:szCs w:val="18"/>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28"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4" w:lineRule="exact"/>
        <w:rPr>
          <w:rFonts w:ascii="MS PGothic" w:cs="MS PGothic" w:eastAsia="MS PGothic" w:hAnsi="MS PGothic"/>
          <w:sz w:val="18"/>
          <w:szCs w:val="18"/>
          <w:color w:val="auto"/>
        </w:rPr>
      </w:pPr>
    </w:p>
    <w:p>
      <w:pPr>
        <w:ind w:left="260" w:right="660" w:hanging="253"/>
        <w:spacing w:after="0" w:line="302" w:lineRule="auto"/>
        <w:tabs>
          <w:tab w:leader="none" w:pos="2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 w:lineRule="exact"/>
        <w:rPr>
          <w:rFonts w:ascii="MS PGothic" w:cs="MS PGothic" w:eastAsia="MS PGothic" w:hAnsi="MS PGothic"/>
          <w:sz w:val="17"/>
          <w:szCs w:val="17"/>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5" w:lineRule="exact"/>
        <w:rPr>
          <w:rFonts w:ascii="Arial" w:cs="Arial" w:eastAsia="Arial" w:hAnsi="Arial"/>
          <w:sz w:val="18"/>
          <w:szCs w:val="18"/>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5" w:lineRule="exact"/>
        <w:rPr>
          <w:rFonts w:ascii="Arial" w:cs="Arial" w:eastAsia="Arial" w:hAnsi="Arial"/>
          <w:sz w:val="18"/>
          <w:szCs w:val="18"/>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5" w:lineRule="exact"/>
        <w:rPr>
          <w:rFonts w:ascii="Arial" w:cs="Arial" w:eastAsia="Arial" w:hAnsi="Arial"/>
          <w:sz w:val="18"/>
          <w:szCs w:val="18"/>
          <w:color w:val="auto"/>
        </w:rPr>
      </w:pPr>
    </w:p>
    <w:p>
      <w:pPr>
        <w:ind w:left="780" w:hanging="26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497840</wp:posOffset>
            </wp:positionH>
            <wp:positionV relativeFrom="paragraph">
              <wp:posOffset>-3158490</wp:posOffset>
            </wp:positionV>
            <wp:extent cx="6754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-2827020</wp:posOffset>
            </wp:positionV>
            <wp:extent cx="6754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-2350135</wp:posOffset>
            </wp:positionV>
            <wp:extent cx="6754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-2010410</wp:posOffset>
            </wp:positionV>
            <wp:extent cx="6754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-1670050</wp:posOffset>
            </wp:positionV>
            <wp:extent cx="6754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-844550</wp:posOffset>
            </wp:positionV>
            <wp:extent cx="6754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-513080</wp:posOffset>
            </wp:positionV>
            <wp:extent cx="6754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-180975</wp:posOffset>
            </wp:positionV>
            <wp:extent cx="6754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449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758190</wp:posOffset>
            </wp:positionV>
            <wp:extent cx="728980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420" w:right="2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DESTINATION XL GROUP, INC.</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4, 2016</w:t>
      </w:r>
    </w:p>
    <w:p>
      <w:pPr>
        <w:spacing w:after="0" w:line="115"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auto"/>
        </w:rPr>
        <w:t>Notice is hereby given that the 2016 Annual Meeting of Stockholders of Destination XL Group, Inc. (the “Company”) will be held at the corporate offices of the Company, 555 Turnpike Street, Canton, Massachusetts 02021 at 9:00 A.M., local time, on Thursday, August 4, 2016 for the following purposes:</w:t>
      </w:r>
    </w:p>
    <w:p>
      <w:pPr>
        <w:spacing w:after="0" w:line="22" w:lineRule="exact"/>
        <w:rPr>
          <w:sz w:val="20"/>
          <w:szCs w:val="20"/>
          <w:color w:val="auto"/>
        </w:rPr>
      </w:pPr>
    </w:p>
    <w:p>
      <w:pPr>
        <w:ind w:left="760" w:right="540" w:hanging="378"/>
        <w:spacing w:after="0" w:line="25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ten directors to serve until the next Annual Meeting of Stockholders and until their respective successors have been duly elected and qualified.</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adoption of the 2016 Incentive Compensation Plan.</w:t>
      </w:r>
    </w:p>
    <w:p>
      <w:pPr>
        <w:spacing w:after="0" w:line="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January 28, 2017.</w:t>
      </w:r>
    </w:p>
    <w:p>
      <w:pPr>
        <w:spacing w:after="0" w:line="18"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15" w:lineRule="exact"/>
        <w:rPr>
          <w:sz w:val="20"/>
          <w:szCs w:val="20"/>
          <w:color w:val="auto"/>
        </w:rPr>
      </w:pPr>
    </w:p>
    <w:p>
      <w:pPr>
        <w:jc w:val="both"/>
        <w:ind w:right="140"/>
        <w:spacing w:after="0" w:line="307" w:lineRule="auto"/>
        <w:rPr>
          <w:sz w:val="20"/>
          <w:szCs w:val="20"/>
          <w:color w:val="auto"/>
        </w:rPr>
      </w:pPr>
      <w:r>
        <w:rPr>
          <w:rFonts w:ascii="Arial" w:cs="Arial" w:eastAsia="Arial" w:hAnsi="Arial"/>
          <w:sz w:val="16"/>
          <w:szCs w:val="16"/>
          <w:color w:val="auto"/>
        </w:rPr>
        <w:t>The Board of Directors recommends that you vote (i) FOR the election of all ten nominees to serve as directors of the Company, (ii) FOR the approval of the adoption of the 2016 Incentive Compensation Plan, (iii) FOR the approval, on an advisory basis, of named executive officer compensation, and (iv) FOR the ratification of the appointment of KPMG LLP as our independent registered public accounting firm for the fiscal year ending January 28, 2017.</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copies of our Annual Report on Form 10-K for the fiscal year ended January 30, 2016.</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of Directors has fixed the close of business on June 17, 2016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17, 2016 will be available for inspection by any of our stockholders for any purpose germane to the Annual Meeting during normal business hours at our principal executive offices, 555 Turnpike Street, Canton, Massachusetts 02021, beginning on July 25, 2016 and at the Annual Meeting.</w:t>
      </w:r>
    </w:p>
    <w:p>
      <w:pPr>
        <w:spacing w:after="0" w:line="8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6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order of the Board of Directors,</w:t>
      </w:r>
    </w:p>
    <w:p>
      <w:pPr>
        <w:spacing w:after="0" w:line="1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ROBERT S. MOLLOY</w:t>
      </w:r>
    </w:p>
    <w:p>
      <w:pPr>
        <w:spacing w:after="0" w:line="1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ROBERT S. MOLLOY</w:t>
      </w:r>
    </w:p>
    <w:p>
      <w:pPr>
        <w:spacing w:after="0" w:line="2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Secretary</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Canton, Massachusetts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June 27,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4,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2016 Annual Report to Stockholders are available at: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http://investor.destinationxl.com/proxymaterials.cfm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333375</wp:posOffset>
            </wp:positionV>
            <wp:extent cx="728980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443"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580" w:type="dxa"/>
            <w:vAlign w:val="bottom"/>
            <w:gridSpan w:val="5"/>
          </w:tcPr>
          <w:p>
            <w:pPr>
              <w:ind w:left="460"/>
              <w:spacing w:after="0"/>
              <w:rPr>
                <w:sz w:val="20"/>
                <w:szCs w:val="20"/>
                <w:color w:val="auto"/>
              </w:rPr>
            </w:pPr>
            <w:r>
              <w:rPr>
                <w:rFonts w:ascii="Arial" w:cs="Arial" w:eastAsia="Arial" w:hAnsi="Arial"/>
                <w:sz w:val="18"/>
                <w:szCs w:val="18"/>
                <w:color w:val="auto"/>
              </w:rPr>
              <w:t>TABLE OF CONTENTS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60" w:type="dxa"/>
            <w:vAlign w:val="bottom"/>
          </w:tcPr>
          <w:p>
            <w:pPr>
              <w:spacing w:after="0"/>
              <w:rPr>
                <w:sz w:val="24"/>
                <w:szCs w:val="24"/>
                <w:color w:val="auto"/>
              </w:rPr>
            </w:pPr>
          </w:p>
        </w:tc>
        <w:tc>
          <w:tcPr>
            <w:tcW w:w="3640" w:type="dxa"/>
            <w:vAlign w:val="bottom"/>
            <w:gridSpan w:val="12"/>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Information About the Annual Meeting and Voting</w:t>
              </w:r>
            </w:hyperlink>
          </w:p>
        </w:tc>
        <w:tc>
          <w:tcPr>
            <w:tcW w:w="7220" w:type="dxa"/>
            <w:vAlign w:val="bottom"/>
            <w:gridSpan w:val="6"/>
            <w:vMerge w:val="restart"/>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4"/>
                <w:szCs w:val="14"/>
                <w:color w:val="auto"/>
              </w:rPr>
            </w:pPr>
          </w:p>
        </w:tc>
        <w:tc>
          <w:tcPr>
            <w:tcW w:w="3640" w:type="dxa"/>
            <w:vAlign w:val="bottom"/>
            <w:tcBorders>
              <w:bottom w:val="single" w:sz="8" w:color="0000EE"/>
            </w:tcBorders>
            <w:gridSpan w:val="12"/>
            <w:vMerge w:val="continue"/>
          </w:tcPr>
          <w:p>
            <w:pPr>
              <w:spacing w:after="0"/>
              <w:rPr>
                <w:sz w:val="14"/>
                <w:szCs w:val="14"/>
                <w:color w:val="auto"/>
              </w:rPr>
            </w:pPr>
          </w:p>
        </w:tc>
        <w:tc>
          <w:tcPr>
            <w:tcW w:w="7220" w:type="dxa"/>
            <w:vAlign w:val="bottom"/>
            <w:gridSpan w:val="6"/>
            <w:vMerge w:val="continue"/>
          </w:tcPr>
          <w:p>
            <w:pPr>
              <w:spacing w:after="0"/>
              <w:rPr>
                <w:sz w:val="14"/>
                <w:szCs w:val="14"/>
                <w:color w:val="auto"/>
              </w:rPr>
            </w:pPr>
          </w:p>
        </w:tc>
        <w:tc>
          <w:tcPr>
            <w:tcW w:w="460" w:type="dxa"/>
            <w:vAlign w:val="bottom"/>
          </w:tcPr>
          <w:p>
            <w:pPr>
              <w:jc w:val="right"/>
              <w:spacing w:after="0" w:line="168"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860" w:type="dxa"/>
            <w:vAlign w:val="bottom"/>
            <w:gridSpan w:val="18"/>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Proposal 1: Election of Directors</w:t>
              </w:r>
            </w:hyperlink>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Corporate Governance</w:t>
              </w:r>
            </w:hyperlink>
          </w:p>
        </w:tc>
        <w:tc>
          <w:tcPr>
            <w:tcW w:w="720" w:type="dxa"/>
            <w:vAlign w:val="bottom"/>
            <w:tcBorders>
              <w:top w:val="single" w:sz="8" w:color="0000EE"/>
            </w:tcBorders>
            <w:gridSpan w:val="4"/>
          </w:tcPr>
          <w:p>
            <w:pPr>
              <w:spacing w:after="0"/>
              <w:rPr>
                <w:sz w:val="16"/>
                <w:szCs w:val="16"/>
                <w:color w:val="auto"/>
              </w:rPr>
            </w:pPr>
          </w:p>
        </w:tc>
        <w:tc>
          <w:tcPr>
            <w:tcW w:w="8520" w:type="dxa"/>
            <w:vAlign w:val="bottom"/>
            <w:gridSpan w:val="10"/>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800" w:type="dxa"/>
            <w:vAlign w:val="bottom"/>
            <w:tcBorders>
              <w:bottom w:val="single" w:sz="8" w:color="0000EE"/>
            </w:tcBorders>
            <w:gridSpan w:val="6"/>
          </w:tcPr>
          <w:p>
            <w:pPr>
              <w:spacing w:after="0" w:line="195"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Committees of the Board</w:t>
              </w:r>
            </w:hyperlink>
          </w:p>
        </w:tc>
        <w:tc>
          <w:tcPr>
            <w:tcW w:w="9060" w:type="dxa"/>
            <w:vAlign w:val="bottom"/>
            <w:gridSpan w:val="12"/>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860" w:type="dxa"/>
            <w:vAlign w:val="bottom"/>
            <w:gridSpan w:val="18"/>
          </w:tcPr>
          <w:p>
            <w:pPr>
              <w:spacing w:after="0" w:line="195" w:lineRule="exact"/>
              <w:rPr>
                <w:rFonts w:ascii="Arial" w:cs="Arial" w:eastAsia="Arial" w:hAnsi="Arial"/>
                <w:sz w:val="18"/>
                <w:szCs w:val="18"/>
                <w:color w:val="0000EE"/>
              </w:rPr>
            </w:pPr>
            <w:hyperlink w:anchor="page14">
              <w:r>
                <w:rPr>
                  <w:rFonts w:ascii="Arial" w:cs="Arial" w:eastAsia="Arial" w:hAnsi="Arial"/>
                  <w:sz w:val="18"/>
                  <w:szCs w:val="18"/>
                  <w:color w:val="0000EE"/>
                </w:rPr>
                <w:t>Director Compensation</w:t>
              </w:r>
            </w:hyperlink>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860" w:type="dxa"/>
            <w:vAlign w:val="bottom"/>
            <w:gridSpan w:val="18"/>
          </w:tcPr>
          <w:p>
            <w:pPr>
              <w:spacing w:after="0" w:line="195"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820" w:type="dxa"/>
            <w:vAlign w:val="bottom"/>
            <w:tcBorders>
              <w:top w:val="single" w:sz="8" w:color="0000EE"/>
            </w:tcBorders>
            <w:gridSpan w:val="10"/>
          </w:tcPr>
          <w:p>
            <w:pPr>
              <w:spacing w:after="0" w:line="195"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Executive Compensation Highlights</w:t>
              </w:r>
            </w:hyperlink>
          </w:p>
        </w:tc>
        <w:tc>
          <w:tcPr>
            <w:tcW w:w="8040" w:type="dxa"/>
            <w:vAlign w:val="bottom"/>
            <w:gridSpan w:val="8"/>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860" w:type="dxa"/>
            <w:vAlign w:val="bottom"/>
            <w:gridSpan w:val="18"/>
          </w:tcPr>
          <w:p>
            <w:pPr>
              <w:spacing w:after="0" w:line="195" w:lineRule="exact"/>
              <w:rPr>
                <w:rFonts w:ascii="Arial" w:cs="Arial" w:eastAsia="Arial" w:hAnsi="Arial"/>
                <w:sz w:val="18"/>
                <w:szCs w:val="18"/>
                <w:color w:val="0000EE"/>
              </w:rPr>
            </w:pPr>
            <w:hyperlink w:anchor="page37">
              <w:r>
                <w:rPr>
                  <w:rFonts w:ascii="Arial" w:cs="Arial" w:eastAsia="Arial" w:hAnsi="Arial"/>
                  <w:sz w:val="18"/>
                  <w:szCs w:val="18"/>
                  <w:color w:val="0000EE"/>
                </w:rPr>
                <w:t>Proposal 2: Approval of the Adoption of the 2016 Incentive Compensation Plan</w:t>
              </w:r>
            </w:hyperlink>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5700" w:type="dxa"/>
            <w:vAlign w:val="bottom"/>
            <w:tcBorders>
              <w:top w:val="single" w:sz="8" w:color="0000EE"/>
            </w:tcBorders>
            <w:gridSpan w:val="16"/>
          </w:tcPr>
          <w:p>
            <w:pPr>
              <w:spacing w:after="0" w:line="195"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Proposal 3: Advisory Vote to Approve Named Executive Officer Compensation</w:t>
              </w:r>
            </w:hyperlink>
          </w:p>
        </w:tc>
        <w:tc>
          <w:tcPr>
            <w:tcW w:w="5160" w:type="dxa"/>
            <w:vAlign w:val="bottom"/>
            <w:gridSpan w:val="2"/>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860" w:type="dxa"/>
            <w:vAlign w:val="bottom"/>
            <w:gridSpan w:val="18"/>
          </w:tcPr>
          <w:p>
            <w:pPr>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Proposal 4: Ratification of Appointment of Independent Registered Public Accounting Firm</w:t>
              </w:r>
            </w:hyperlink>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656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w:anchor="page52">
              <w:r>
                <w:rPr>
                  <w:rFonts w:ascii="Arial" w:cs="Arial" w:eastAsia="Arial" w:hAnsi="Arial"/>
                  <w:sz w:val="18"/>
                  <w:szCs w:val="18"/>
                  <w:color w:val="0000EE"/>
                </w:rPr>
                <w:t>Report of the Audit Committee</w:t>
              </w:r>
            </w:hyperlink>
          </w:p>
        </w:tc>
        <w:tc>
          <w:tcPr>
            <w:tcW w:w="4300" w:type="dxa"/>
            <w:vAlign w:val="bottom"/>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Security Ownership</w:t>
              </w:r>
            </w:hyperlink>
          </w:p>
        </w:tc>
        <w:tc>
          <w:tcPr>
            <w:tcW w:w="800" w:type="dxa"/>
            <w:vAlign w:val="bottom"/>
            <w:tcBorders>
              <w:top w:val="single" w:sz="8" w:color="0000EE"/>
            </w:tcBorders>
            <w:gridSpan w:val="5"/>
          </w:tcPr>
          <w:p>
            <w:pPr>
              <w:spacing w:after="0"/>
              <w:rPr>
                <w:sz w:val="16"/>
                <w:szCs w:val="16"/>
                <w:color w:val="auto"/>
              </w:rPr>
            </w:pPr>
          </w:p>
        </w:tc>
        <w:tc>
          <w:tcPr>
            <w:tcW w:w="8640" w:type="dxa"/>
            <w:vAlign w:val="bottom"/>
            <w:gridSpan w:val="11"/>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28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Delivery of Documents to Stockholders Sharing an Address</w:t>
              </w:r>
            </w:hyperlink>
          </w:p>
        </w:tc>
        <w:tc>
          <w:tcPr>
            <w:tcW w:w="6580" w:type="dxa"/>
            <w:vAlign w:val="bottom"/>
            <w:gridSpan w:val="5"/>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600" w:type="dxa"/>
            <w:vAlign w:val="bottom"/>
            <w:tcBorders>
              <w:bottom w:val="single" w:sz="8" w:color="0000EE"/>
            </w:tcBorders>
            <w:gridSpan w:val="3"/>
          </w:tcPr>
          <w:p>
            <w:pPr>
              <w:spacing w:after="0" w:line="195"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Stockholder Proposals</w:t>
              </w:r>
            </w:hyperlink>
          </w:p>
        </w:tc>
        <w:tc>
          <w:tcPr>
            <w:tcW w:w="9260" w:type="dxa"/>
            <w:vAlign w:val="bottom"/>
            <w:gridSpan w:val="15"/>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tcBorders>
              <w:bottom w:val="single" w:sz="8" w:color="0000EE"/>
            </w:tcBorders>
          </w:tcPr>
          <w:p>
            <w:pPr>
              <w:spacing w:after="0" w:line="195"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Other Matters</w:t>
              </w:r>
            </w:hyperlink>
          </w:p>
        </w:tc>
        <w:tc>
          <w:tcPr>
            <w:tcW w:w="9860" w:type="dxa"/>
            <w:vAlign w:val="bottom"/>
            <w:gridSpan w:val="17"/>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860" w:type="dxa"/>
            <w:vAlign w:val="bottom"/>
            <w:gridSpan w:val="18"/>
          </w:tcPr>
          <w:p>
            <w:pPr>
              <w:spacing w:after="0" w:line="195" w:lineRule="exact"/>
              <w:rPr>
                <w:rFonts w:ascii="Arial" w:cs="Arial" w:eastAsia="Arial" w:hAnsi="Arial"/>
                <w:sz w:val="18"/>
                <w:szCs w:val="18"/>
                <w:color w:val="0000EE"/>
              </w:rPr>
            </w:pPr>
            <w:hyperlink w:anchor="page57">
              <w:r>
                <w:rPr>
                  <w:rFonts w:ascii="Arial" w:cs="Arial" w:eastAsia="Arial" w:hAnsi="Arial"/>
                  <w:sz w:val="18"/>
                  <w:szCs w:val="18"/>
                  <w:color w:val="0000EE"/>
                </w:rPr>
                <w:t>Appendix A – Non-GAAP Financial Measures</w:t>
              </w:r>
            </w:hyperlink>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A-1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40" w:type="dxa"/>
            <w:vAlign w:val="bottom"/>
            <w:gridSpan w:val="11"/>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860" w:type="dxa"/>
            <w:vAlign w:val="bottom"/>
            <w:gridSpan w:val="18"/>
          </w:tcPr>
          <w:p>
            <w:pPr>
              <w:spacing w:after="0" w:line="195" w:lineRule="exact"/>
              <w:rPr>
                <w:rFonts w:ascii="Arial" w:cs="Arial" w:eastAsia="Arial" w:hAnsi="Arial"/>
                <w:sz w:val="18"/>
                <w:szCs w:val="18"/>
                <w:color w:val="0000EE"/>
              </w:rPr>
            </w:pPr>
            <w:hyperlink w:anchor="page58">
              <w:r>
                <w:rPr>
                  <w:rFonts w:ascii="Arial" w:cs="Arial" w:eastAsia="Arial" w:hAnsi="Arial"/>
                  <w:sz w:val="18"/>
                  <w:szCs w:val="18"/>
                  <w:color w:val="0000EE"/>
                </w:rPr>
                <w:t>Appendix B – Destination XL Group, Inc. 2016 Incentive Compensation Plan</w:t>
              </w:r>
            </w:hyperlink>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B-1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6"/>
        </w:trPr>
        <w:tc>
          <w:tcPr>
            <w:tcW w:w="60" w:type="dxa"/>
            <w:vAlign w:val="bottom"/>
            <w:tcBorders>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28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4, 2016</w:t>
      </w:r>
    </w:p>
    <w:p>
      <w:pPr>
        <w:spacing w:after="0" w:line="20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June 27, 2016,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9:00 A.M., local time, on Thursday, August 4, 2016 and at any and all adjournments thereof (the “Annual Meeting”). This Proxy Statement describes the matters to be voted on at the Annual Meeting and contains other required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17, 2016, the record date for the Annual Meeting, will be entitled to notice of, and to vote at, the Annual Meeting. On that date, there were 50,844,515 shares of common stock issued and outstanding. Each share is entitled to one vote at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Stockholders of record may vote by mail or in person at the meeting. If you choose to vote my mail, please complete and mail the enclosed proxy card in the enclosed postage prepaid envelope. If your shares are held in a stock brokerage account or by a bank, you must follow the voting procedures of your broker or bank.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When proxies are returned properly executed, the shares represented will be voted in accordance with the stockholders’ instructions.</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Stockholders are encouraged to vote on the matters to be considered. However, if no instructions have been specified by a stockholder, the shares covered by an executed proxy will be voted (i) FOR the election of all ten nominees to serve as directors of the Company, (ii) FOR the approval of the adoption of the 2016 Incentive Compensation Plan, (iii) FOR the approval, on an advisory basis, of named executive officer compensation, (iv) FOR the ratification of the appointment of KPMG LLP as our independent registered public accounting firm, for the fiscal year ending January 28, 2017 and (v) in the discretion of the proxies named in the proxy card with respect to any other matters properly brought before the Annual Meeting. We are not aware of any other matter that may be properly presented at the Annual Meeting.</w:t>
      </w:r>
    </w:p>
    <w:p>
      <w:pPr>
        <w:spacing w:after="0" w:line="19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4 to ratify the appointment of our independent registered public accounting firm. A broker “non-vote” occurs when the a broker or bank who is the record holder of the shares does not vote on a particular proposal, either because it does not have discretionary voting power to vote the shares or has not received voting instructions from the beneficial owner. A broker or bank or broker does not have discretion to vote uninstructed shares on the proposals in this Proxy Statement, except for Proposal 4 to ratify the appointment of our independent registered public accounting firm, which is considered a “routine” proposal.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222"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221" w:lineRule="exact"/>
        <w:rPr>
          <w:rFonts w:ascii="Arial" w:cs="Arial" w:eastAsia="Arial" w:hAnsi="Arial"/>
          <w:sz w:val="18"/>
          <w:szCs w:val="18"/>
          <w:color w:val="auto"/>
        </w:rPr>
      </w:pPr>
    </w:p>
    <w:p>
      <w:pPr>
        <w:ind w:left="760" w:right="40" w:hanging="378"/>
        <w:spacing w:after="0" w:line="27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majority of the votes properly cast is required for approval of all matters. However, as described in more detail in Proposal 3, Proposal 3 is an advisory vote and non-binding. Votes cast means the votes actually cast “for” or “against” a particular proposal, whether in person or by proxy. Therefore, abstentions and broker non-votes do not have any effect on determining whether any of the proposals in this Proxy Statement are approved by stockholders. Votes will be tabulated by our transfer agent subject to the supervision of persons designated by the Board of Directors as inspectors.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554"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Board, in accordance with our By-Laws, as amended (the “By-Laws”), has set the number of members of the Board of Directors at ten. At the Annual Meeting, ten nominees will be elected to serve on the Board until the 2017 Annual Meeting of Stockholders and until their respective successors have been duly elected and qualified. The Nominating and Corporate Governance Committee has recommended, and our Board has nominated, Seymour Holtzman, David A. Levin, Alan S. Bernikow, Jesse Choper, John E. Kyees, Willem Mesdag, Ward K. Mooney, George T. Porter, Jr., Mitchell S. Presser and Ivy Ross as nominees. All of the nominees currently serve as members of our Board. Each of the nominees has agreed to stand for re-election and to serve if elected.</w:t>
      </w:r>
    </w:p>
    <w:p>
      <w:pPr>
        <w:spacing w:after="0" w:line="16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Unless a proxy shall specify that it is not to be voted for a nominee, it is intended that the shares represented by each duly executed and returned proxy will be voted in favor of the election as directors of Seymour Holtzman, David A. Levin, Alan S. Bernikow, Jesse Choper, John E. Kyees, Willem Mesdag, Ward K. Mooney, George T. Porter, Jr., Mitchell S. Presser and Ivy Ross. Although management expects all nominees to serve if elected, proxies will be voted for a substitute if a nominee is unable or unwilling to accept nomination or election. Cumulative voting is not permitted.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19"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color w:val="auto"/>
        </w:rPr>
        <w:t>The affirmative vote of a majority of the shares of common stock properly cast at the Annual Meeting, in person or by proxy, is required for the election of each of the nominees. Any abstentions and broker non-votes will not be counted as votes cast on this proposal and, accordingly, will have no effect.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ten individuals named below as directors of our Company.</w:t>
      </w:r>
    </w:p>
    <w:p>
      <w:pPr>
        <w:spacing w:after="0" w:line="10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June 1, 2016 and the year in which each became a director of our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Nominating and</w:t>
            </w:r>
          </w:p>
        </w:tc>
        <w:tc>
          <w:tcPr>
            <w:tcW w:w="1200" w:type="dxa"/>
            <w:vAlign w:val="bottom"/>
          </w:tcPr>
          <w:p>
            <w:pPr>
              <w:spacing w:after="0"/>
              <w:rPr>
                <w:sz w:val="13"/>
                <w:szCs w:val="13"/>
                <w:color w:val="auto"/>
              </w:rPr>
            </w:pPr>
          </w:p>
        </w:tc>
      </w:tr>
      <w:tr>
        <w:trPr>
          <w:trHeight w:val="147"/>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6"/>
              </w:rPr>
              <w:t>Director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Corporate</w:t>
            </w:r>
          </w:p>
        </w:tc>
        <w:tc>
          <w:tcPr>
            <w:tcW w:w="12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Cybersecurity and</w:t>
            </w:r>
          </w:p>
        </w:tc>
      </w:tr>
      <w:tr>
        <w:trPr>
          <w:trHeight w:val="160"/>
        </w:trPr>
        <w:tc>
          <w:tcPr>
            <w:tcW w:w="48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ind w:left="200"/>
              <w:spacing w:after="0"/>
              <w:rPr>
                <w:sz w:val="20"/>
                <w:szCs w:val="20"/>
                <w:color w:val="auto"/>
              </w:rPr>
            </w:pPr>
            <w:r>
              <w:rPr>
                <w:rFonts w:ascii="Arial" w:cs="Arial" w:eastAsia="Arial" w:hAnsi="Arial"/>
                <w:sz w:val="13"/>
                <w:szCs w:val="13"/>
                <w:b w:val="1"/>
                <w:bCs w:val="1"/>
                <w:color w:val="auto"/>
              </w:rPr>
              <w:t>Age</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Since</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Audit</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Compensation</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Governance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6"/>
              </w:rPr>
              <w:t>Data Privacy (1)</w:t>
            </w:r>
          </w:p>
        </w:tc>
      </w:tr>
      <w:tr>
        <w:trPr>
          <w:trHeight w:val="207"/>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Seymour Holtzman, Executive Chairman of the Board and</w:t>
            </w: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28"/>
        </w:trPr>
        <w:tc>
          <w:tcPr>
            <w:tcW w:w="4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ind w:left="2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 President and Chief Executive Officer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2000</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Alan S. Bernikow, Director </w:t>
            </w:r>
            <w:r>
              <w:rPr>
                <w:rFonts w:ascii="Arial" w:cs="Arial" w:eastAsia="Arial" w:hAnsi="Arial"/>
                <w:sz w:val="15"/>
                <w:szCs w:val="15"/>
                <w:color w:val="auto"/>
              </w:rPr>
              <w:t>(2)</w:t>
            </w:r>
          </w:p>
        </w:tc>
        <w:tc>
          <w:tcPr>
            <w:tcW w:w="640" w:type="dxa"/>
            <w:vAlign w:val="bottom"/>
          </w:tcPr>
          <w:p>
            <w:pPr>
              <w:ind w:left="2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19"/>
                <w:szCs w:val="19"/>
                <w:color w:val="auto"/>
              </w:rPr>
            </w:pPr>
          </w:p>
        </w:tc>
      </w:tr>
      <w:tr>
        <w:trPr>
          <w:trHeight w:val="228"/>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Jesse Choper, Director </w:t>
            </w:r>
            <w:r>
              <w:rPr>
                <w:rFonts w:ascii="Arial" w:cs="Arial" w:eastAsia="Arial" w:hAnsi="Arial"/>
                <w:sz w:val="15"/>
                <w:szCs w:val="15"/>
                <w:color w:val="auto"/>
              </w:rPr>
              <w:t>(3)</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1999</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C</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X</w:t>
            </w:r>
          </w:p>
        </w:tc>
        <w:tc>
          <w:tcPr>
            <w:tcW w:w="1200" w:type="dxa"/>
            <w:vAlign w:val="bottom"/>
            <w:shd w:val="clear" w:color="auto" w:fill="CFF0FC"/>
          </w:tcPr>
          <w:p>
            <w:pPr>
              <w:spacing w:after="0"/>
              <w:rPr>
                <w:sz w:val="19"/>
                <w:szCs w:val="19"/>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color w:val="auto"/>
              </w:rPr>
              <w:t>John E. Kyees, Director</w:t>
            </w:r>
          </w:p>
        </w:tc>
        <w:tc>
          <w:tcPr>
            <w:tcW w:w="640" w:type="dxa"/>
            <w:vAlign w:val="bottom"/>
          </w:tcPr>
          <w:p>
            <w:pPr>
              <w:ind w:left="2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28"/>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 Director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2014</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X</w:t>
            </w:r>
          </w:p>
        </w:tc>
        <w:tc>
          <w:tcPr>
            <w:tcW w:w="12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640" w:type="dxa"/>
            <w:vAlign w:val="bottom"/>
          </w:tcPr>
          <w:p>
            <w:pPr>
              <w:ind w:left="2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12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rPr>
              <w:t>X</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George T. Porter, Jr., Director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1999</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C</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640" w:type="dxa"/>
            <w:vAlign w:val="bottom"/>
          </w:tcPr>
          <w:p>
            <w:pPr>
              <w:ind w:left="2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2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28"/>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2013</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6" w:lineRule="exact"/>
        <w:rPr>
          <w:sz w:val="20"/>
          <w:szCs w:val="20"/>
          <w:color w:val="auto"/>
        </w:rPr>
      </w:pPr>
    </w:p>
    <w:p>
      <w:pPr>
        <w:ind w:left="560" w:right="280" w:hanging="365"/>
        <w:spacing w:after="0" w:line="287"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January 28, 2016, upon the recommendation of the Nominating and Corporate Governance Committee, the Board approved the formation of the Cybersecurity and Data Privacy Committee to oversee the monitoring and management of cyber risk and data privacy in the Company.</w:t>
      </w:r>
    </w:p>
    <w:p>
      <w:pPr>
        <w:spacing w:after="0" w:line="1" w:lineRule="exact"/>
        <w:rPr>
          <w:rFonts w:ascii="Arial" w:cs="Arial" w:eastAsia="Arial" w:hAnsi="Arial"/>
          <w:sz w:val="16"/>
          <w:szCs w:val="16"/>
          <w:color w:val="auto"/>
        </w:rPr>
      </w:pPr>
    </w:p>
    <w:p>
      <w:pPr>
        <w:ind w:left="560" w:hanging="365"/>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Bernikow was a member of the Audit Committee until his seat was filled by Mr. Mooney on May 14, 2015.</w:t>
      </w:r>
    </w:p>
    <w:p>
      <w:pPr>
        <w:spacing w:after="0" w:line="7" w:lineRule="exact"/>
        <w:rPr>
          <w:rFonts w:ascii="Arial" w:cs="Arial" w:eastAsia="Arial" w:hAnsi="Arial"/>
          <w:sz w:val="18"/>
          <w:szCs w:val="18"/>
          <w:color w:val="auto"/>
        </w:rPr>
      </w:pPr>
    </w:p>
    <w:p>
      <w:pPr>
        <w:ind w:left="560" w:hanging="365"/>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Mr. Choper was a member of the Compensation Committee until January 30, 2016. His seat was filled by Mr. Kyees on January 31, 2016.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i w:val="1"/>
          <w:iCs w:val="1"/>
          <w:color w:val="auto"/>
        </w:rPr>
        <w:t xml:space="preserve">Seymour Holtzman </w:t>
      </w:r>
      <w:r>
        <w:rPr>
          <w:rFonts w:ascii="Arial" w:cs="Arial" w:eastAsia="Arial" w:hAnsi="Arial"/>
          <w:sz w:val="16"/>
          <w:szCs w:val="16"/>
          <w:color w:val="auto"/>
        </w:rPr>
        <w:t>has served as our Executive Chairman of the Board since August 2014. From April 2000 to August 2014, Mr. Holtzman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indirectly the owner of C.D. Peacock, Inc., a Chicago, Illinois retail jewelry establishment, the managing member of Luxury Swiss, LLC, a retail Rolex watch establishment, and the chief executive officer and owner of Homeclick, LLC, a privately-held internet retailer specializing in luxury brands for the home. Mr. Holtzman is a successful entrepreneur with extensive experience working with public companies and provides valuable insight to the Board with respect to strategic planning.</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us, Mr. Levin has been instrumental in transforming us from a company which exclusively operated Levi Strauss &amp; Co. branded apparel to the largest specialty retailer of big &amp; tall men’s apparel. In May 2012, Mr. Levin joined the board of directors of Christopher &amp; Banks Corporation, a publicly-traded company and will continue to serve as a director until his term ends on June 30, 2016. Mr. Levin has extensive knowledge of our Company and valuable experience in merchandising and marketing initiatives. In his role as Chief Executive Officer he also acts as a liaison between the Board and management.</w:t>
      </w:r>
    </w:p>
    <w:p>
      <w:pPr>
        <w:spacing w:after="0" w:line="16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served as the deputy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Deloitte &amp; Touche LLP where he was responsible for assisting the firm on special projects such as firm mergers and acquisitions, partner affairs and litigation matters.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 publicly-traded company, and Revlon Consumer Products Corporation and is chairman of the audit committee, compensation committee and stock plan committee of Revlon, Inc.; lead director and member of the board of directors of Mack-Cali Realty Corporation, a publicly-traded company, as well as the chairman of the audit committee of Mack-Cali; and is a member of the board of directors of UBS Global Asset Management (US) Inc., a wholly-owned subsidiary of UBS AG, and currently serves as chairman of its audit committee. Mr. Bernikow has also served as a member of the boards of directors of several investment funds managed by UBS. Mr. Bernikow is also a member of the board of directors of FCB Financial Holdings, Inc., as well as chairman of its audit committee and a member of its compensation committee. Based on Mr. Bernikow’s significant financial and accounting background, including 30 years of experience in public accounting, his experience serving as a director and audit committee member, and his previous role as an audit committee financial expert for the Company, the Nominating and Corporate Governance Committee concluded that Mr. Bernikow has the requisite experience, qualifications, attributes and skills necessary to serve as a member of the Board.</w:t>
      </w:r>
    </w:p>
    <w:p>
      <w:pPr>
        <w:spacing w:after="0" w:line="17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since October 8, 1999. Mr. Choper is the Earl Warren Professor of Public Law (Emeritus) at the University of California at</w:t>
      </w:r>
      <w:r>
        <w:rPr>
          <w:rFonts w:ascii="Arial" w:cs="Arial" w:eastAsia="Arial" w:hAnsi="Arial"/>
          <w:sz w:val="16"/>
          <w:szCs w:val="16"/>
          <w:i w:val="1"/>
          <w:iCs w:val="1"/>
          <w:color w:val="auto"/>
        </w:rPr>
        <w:t xml:space="preserve"> </w:t>
      </w:r>
      <w:r>
        <w:rPr>
          <w:rFonts w:ascii="Arial" w:cs="Arial" w:eastAsia="Arial" w:hAnsi="Arial"/>
          <w:sz w:val="16"/>
          <w:szCs w:val="16"/>
          <w:color w:val="auto"/>
        </w:rPr>
        <w:t>Berkeley School of Law, where he taught from 1965 until his retirement in June 2015. From 1960 to 1961, Professor Choper was a law clerk for Supreme Court Chief Justice Earl Warren. Mr. Choper is a member of the California Horseracing Board. Mr. Choper provides valuable legal expertise to the</w:t>
      </w:r>
    </w:p>
    <w:p>
      <w:pPr>
        <w:ind w:right="60"/>
        <w:spacing w:after="0" w:line="257" w:lineRule="auto"/>
        <w:rPr>
          <w:sz w:val="20"/>
          <w:szCs w:val="20"/>
          <w:color w:val="auto"/>
        </w:rPr>
      </w:pPr>
      <w:r>
        <w:rPr>
          <w:rFonts w:ascii="Arial" w:cs="Arial" w:eastAsia="Arial" w:hAnsi="Arial"/>
          <w:sz w:val="18"/>
          <w:szCs w:val="18"/>
          <w:color w:val="auto"/>
        </w:rPr>
        <w:t>Board. His specific legal background provides valuable insight with respect to corporate governance and ethics. Mr. Choper’s tenure and service as a director for over ten years is also considered a valuable asset to the Board.</w:t>
      </w:r>
    </w:p>
    <w:p>
      <w:pPr>
        <w:spacing w:after="0" w:line="18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February 2, 2014 until May 31, 2014, Mr. Kyees served as Interim Chief Financial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2003 until his retirement in 2010, Mr. Kyees was the chief financial officer of Urban Outfitters, Inc. and also served as the chief of investor relations. Prior to that, from 2002 to 2003, Mr. Kyees was the chief financial officer and chief administrative officer of bebe Stores, Inc. Mr. Kyees serves as lead independent director and chairman of the audit committee of Vera Bradley, Inc., a publicly-traded company. Mr. Kyees was a member of the board of directors of Hot Topic, Inc., a formerly publicly-traded company, and was a member of the audit committee. Mr. Kyees is a member of the board of directors of Rackwise, Inc., a publicly-traded company, and is a member of the audit committee. Mr. Kyees is also a director and chairman of the audit committee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6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i w:val="1"/>
          <w:iCs w:val="1"/>
          <w:color w:val="auto"/>
        </w:rPr>
        <w:t xml:space="preserve">Willem Mesdag </w:t>
      </w:r>
      <w:r>
        <w:rPr>
          <w:rFonts w:ascii="Arial" w:cs="Arial" w:eastAsia="Arial" w:hAnsi="Arial"/>
          <w:sz w:val="18"/>
          <w:szCs w:val="18"/>
          <w:color w:val="auto"/>
        </w:rPr>
        <w:t>has been a director since January 29, 2014. Mr. Mesdag is the managing partner of Red Mountain Capital Partners LLC, an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firm. Prior to founding Red Mountain in 2005, Mr. Mesdag was a partner and managing director of Goldman Sachs &amp; Co., which he joined in 1981. Prior to Goldman Sachs, he was a securities lawyer at Ballard, Spahr, Andrews &amp;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7" w:name="page8"/>
    <w:bookmarkEnd w:id="7"/>
    <w:p>
      <w:pPr>
        <w:ind w:right="100"/>
        <w:spacing w:after="0" w:line="256" w:lineRule="auto"/>
        <w:rPr>
          <w:sz w:val="20"/>
          <w:szCs w:val="20"/>
          <w:color w:val="auto"/>
        </w:rPr>
      </w:pPr>
      <w:r>
        <w:rPr>
          <w:rFonts w:ascii="Arial" w:cs="Arial" w:eastAsia="Arial" w:hAnsi="Arial"/>
          <w:sz w:val="18"/>
          <w:szCs w:val="18"/>
          <w:color w:val="auto"/>
        </w:rPr>
        <w:t>Ingersoll, which he joined in 1978. He currently serves on the boards of Encore Capital Group, Inc., a publicly-traded company, and Heidrick &amp; Struggles International, Inc., a publicly-traded company. He previously served on the boards of 3i Group plc, Cost Plus, Inc., Skandia Group AB and Nature’s Sunshine Products, Inc. Having had an extensive career in international investment banking and finance, Mr. Mesdag brings to the Board significant knowledge and experience related to business and financial issues and corporate governance.</w:t>
      </w:r>
    </w:p>
    <w:p>
      <w:pPr>
        <w:spacing w:after="0" w:line="18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Prior to 2010,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 The Board has determined that based on Mr. Mooney’s extensive knowledge and experience in finance qualifies him as an audit committee financial expert.</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George T. Porter, Jr. </w:t>
      </w:r>
      <w:r>
        <w:rPr>
          <w:rFonts w:ascii="Arial" w:cs="Arial" w:eastAsia="Arial" w:hAnsi="Arial"/>
          <w:sz w:val="18"/>
          <w:szCs w:val="18"/>
          <w:color w:val="auto"/>
        </w:rPr>
        <w:t>has been a director since October 28, 1999. Mr. Porter was president of Levi’s USA for Levi Strauss &amp; Co. from 1994 to 1997.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in 1974, Mr. Porter held various positions at Levi Strauss &amp; Co., including president of Levi’s Men’s Jeans Division. Mr. Porter was also corporate vice president and general manager of Nike USA from 1997 until his retirement in 1998. Mr. Porter provides the Board with extensive merchandising experience having worked at two highly prominent companies. Mr. Porter’s tenure and service as a director for over ten years is also considered a valuable asset to the Board.</w:t>
      </w:r>
    </w:p>
    <w:p>
      <w:pPr>
        <w:spacing w:after="0" w:line="19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Mitchell S. Presser </w:t>
      </w:r>
      <w:r>
        <w:rPr>
          <w:rFonts w:ascii="Arial" w:cs="Arial" w:eastAsia="Arial" w:hAnsi="Arial"/>
          <w:sz w:val="17"/>
          <w:szCs w:val="17"/>
          <w:color w:val="auto"/>
        </w:rPr>
        <w:t>has been a director since May 1, 2007. Since July 2014, Mr. Presser has been a partner and the head of U.S. M&amp;A and private equity at</w:t>
      </w:r>
      <w:r>
        <w:rPr>
          <w:rFonts w:ascii="Arial" w:cs="Arial" w:eastAsia="Arial" w:hAnsi="Arial"/>
          <w:sz w:val="17"/>
          <w:szCs w:val="17"/>
          <w:i w:val="1"/>
          <w:iCs w:val="1"/>
          <w:color w:val="auto"/>
        </w:rPr>
        <w:t xml:space="preserve"> </w:t>
      </w:r>
      <w:r>
        <w:rPr>
          <w:rFonts w:ascii="Arial" w:cs="Arial" w:eastAsia="Arial" w:hAnsi="Arial"/>
          <w:sz w:val="17"/>
          <w:szCs w:val="17"/>
          <w:color w:val="auto"/>
        </w:rPr>
        <w:t>Freshfields Bruckhaus Deringer. From January 2014 until July 2014, Mr. Presser was a senior advisor to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Ivy Ross </w:t>
      </w:r>
      <w:r>
        <w:rPr>
          <w:rFonts w:ascii="Arial" w:cs="Arial" w:eastAsia="Arial" w:hAnsi="Arial"/>
          <w:sz w:val="16"/>
          <w:szCs w:val="16"/>
          <w:color w:val="auto"/>
        </w:rPr>
        <w:t>has been a director since January 31, 2013. In May 2014, Ms. Ross joined Google X as head of Glass and is currently a vice president and head of</w:t>
      </w:r>
      <w:r>
        <w:rPr>
          <w:rFonts w:ascii="Arial" w:cs="Arial" w:eastAsia="Arial" w:hAnsi="Arial"/>
          <w:sz w:val="16"/>
          <w:szCs w:val="16"/>
          <w:i w:val="1"/>
          <w:iCs w:val="1"/>
          <w:color w:val="auto"/>
        </w:rPr>
        <w:t xml:space="preserve"> </w:t>
      </w:r>
      <w:r>
        <w:rPr>
          <w:rFonts w:ascii="Arial" w:cs="Arial" w:eastAsia="Arial" w:hAnsi="Arial"/>
          <w:sz w:val="16"/>
          <w:szCs w:val="16"/>
          <w:color w:val="auto"/>
        </w:rPr>
        <w:t>Project Aura.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44, has been our Senior Vice President, Chief Financial Officer and Treasurer since June 1, 2014. From August 2009 to May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Stratton was our Senior Vice President of Finance, Corporate Controller and Chief Accounting Officer. Mr. Stratton joined us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9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Angela Chan</w:t>
      </w:r>
      <w:r>
        <w:rPr>
          <w:rFonts w:ascii="Arial" w:cs="Arial" w:eastAsia="Arial" w:hAnsi="Arial"/>
          <w:sz w:val="17"/>
          <w:szCs w:val="17"/>
          <w:color w:val="auto"/>
        </w:rPr>
        <w:t>, 49, has been our Senior Vice President and Chief Sourcing Officer since February 2015. From March 2013 to February 2015, Ms. Chan was our</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of Global Sourcing and Product Development. Prior to that, from May 2010 to March 2013, Ms. Chan was our Vice President of Global Sourcing. Ms. Chan joined the Company in February 2009 as our Director of Global Sourcing. Prior to joining our Company, from October 2007 to December 2008 Ms. Chan was the senior product manager for Redcats USA. From 2007 to 2009, Ms. Chan was an independent retail consultant and analyst with the Gerson Lehrman Group and in 2006, she held the positions of director and executive vice president of global sourcing for Rocawear. Prior to that, Ms. Chan was the founder &amp; partner of several apparel manufacturing companies &amp; franchise restaurants. She also held various merchandising management positions with Macy’s corporate in New York and Hong Kong.</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Francis Chane, </w:t>
      </w:r>
      <w:r>
        <w:rPr>
          <w:rFonts w:ascii="Arial" w:cs="Arial" w:eastAsia="Arial" w:hAnsi="Arial"/>
          <w:sz w:val="18"/>
          <w:szCs w:val="18"/>
          <w:color w:val="auto"/>
        </w:rPr>
        <w:t>53, has been our Senior Vice President of Distribution, Logistics and Facilities since June 2011. Mr. Chane joined the Company in June 2008</w:t>
      </w:r>
      <w:r>
        <w:rPr>
          <w:rFonts w:ascii="Arial" w:cs="Arial" w:eastAsia="Arial" w:hAnsi="Arial"/>
          <w:sz w:val="18"/>
          <w:szCs w:val="18"/>
          <w:i w:val="1"/>
          <w:iCs w:val="1"/>
          <w:color w:val="auto"/>
        </w:rPr>
        <w:t xml:space="preserve"> </w:t>
      </w:r>
      <w:r>
        <w:rPr>
          <w:rFonts w:ascii="Arial" w:cs="Arial" w:eastAsia="Arial" w:hAnsi="Arial"/>
          <w:sz w:val="18"/>
          <w:szCs w:val="18"/>
          <w:color w:val="auto"/>
        </w:rPr>
        <w:t>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 w:name="page9"/>
    <w:bookmarkEnd w:id="8"/>
    <w:p>
      <w:pPr>
        <w:ind w:right="660"/>
        <w:spacing w:after="0" w:line="282"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33, has been our Vice President of Finance and Corporate Controller since June 2014 and in May 2015 he was also appointed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From November 2010 until May 2014, Mr. Cooney was our Director of Financial Accounting and Reporting. Prior to joining the Company, Mr. Cooney was an audit manager with PricewaterhouseCoopers LLP, which he joined in August 2004.</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Kenneth M. Ederle, </w:t>
      </w:r>
      <w:r>
        <w:rPr>
          <w:rFonts w:ascii="Arial" w:cs="Arial" w:eastAsia="Arial" w:hAnsi="Arial"/>
          <w:sz w:val="18"/>
          <w:szCs w:val="18"/>
          <w:color w:val="auto"/>
        </w:rPr>
        <w:t>51, has been our Senior Vice President and Chief Merchandising Officer since April 2013 and in April 2015 his role was expanded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9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i w:val="1"/>
          <w:iCs w:val="1"/>
          <w:color w:val="auto"/>
        </w:rPr>
        <w:t xml:space="preserve">Jack R. McKinney, </w:t>
      </w:r>
      <w:r>
        <w:rPr>
          <w:rFonts w:ascii="Arial" w:cs="Arial" w:eastAsia="Arial" w:hAnsi="Arial"/>
          <w:sz w:val="18"/>
          <w:szCs w:val="18"/>
          <w:color w:val="auto"/>
        </w:rPr>
        <w:t>60,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56, has been our Senior Vice President and General Counsel since April 2010 and became Secretary of the Company on May 15,</w:t>
      </w:r>
    </w:p>
    <w:p>
      <w:pPr>
        <w:spacing w:after="0" w:line="3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64" w:lineRule="exact"/>
        <w:rPr>
          <w:sz w:val="20"/>
          <w:szCs w:val="20"/>
          <w:color w:val="auto"/>
        </w:rPr>
      </w:pPr>
    </w:p>
    <w:p>
      <w:pPr>
        <w:spacing w:after="0" w:line="307" w:lineRule="auto"/>
        <w:rPr>
          <w:sz w:val="20"/>
          <w:szCs w:val="20"/>
          <w:color w:val="auto"/>
        </w:rPr>
      </w:pPr>
      <w:r>
        <w:rPr>
          <w:rFonts w:ascii="Arial" w:cs="Arial" w:eastAsia="Arial" w:hAnsi="Arial"/>
          <w:sz w:val="16"/>
          <w:szCs w:val="16"/>
          <w:i w:val="1"/>
          <w:iCs w:val="1"/>
          <w:color w:val="auto"/>
        </w:rPr>
        <w:t xml:space="preserve">Brian S. Reaves, </w:t>
      </w:r>
      <w:r>
        <w:rPr>
          <w:rFonts w:ascii="Arial" w:cs="Arial" w:eastAsia="Arial" w:hAnsi="Arial"/>
          <w:sz w:val="16"/>
          <w:szCs w:val="16"/>
          <w:color w:val="auto"/>
        </w:rPr>
        <w:t>55, has been our Senior Vice President and Chief Sales Officer since November 2014. From May 2010 until November 2014, Mr. Reaves was</w:t>
      </w:r>
      <w:r>
        <w:rPr>
          <w:rFonts w:ascii="Arial" w:cs="Arial" w:eastAsia="Arial" w:hAnsi="Arial"/>
          <w:sz w:val="16"/>
          <w:szCs w:val="16"/>
          <w:i w:val="1"/>
          <w:iCs w:val="1"/>
          <w:color w:val="auto"/>
        </w:rPr>
        <w:t xml:space="preserve"> </w:t>
      </w:r>
      <w:r>
        <w:rPr>
          <w:rFonts w:ascii="Arial" w:cs="Arial" w:eastAsia="Arial" w:hAnsi="Arial"/>
          <w:sz w:val="16"/>
          <w:szCs w:val="16"/>
          <w:color w:val="auto"/>
        </w:rPr>
        <w:t>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51"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i w:val="1"/>
          <w:iCs w:val="1"/>
          <w:color w:val="auto"/>
        </w:rPr>
        <w:t xml:space="preserve">Peter E. Schmitz, </w:t>
      </w:r>
      <w:r>
        <w:rPr>
          <w:rFonts w:ascii="Arial" w:cs="Arial" w:eastAsia="Arial" w:hAnsi="Arial"/>
          <w:sz w:val="18"/>
          <w:szCs w:val="18"/>
          <w:color w:val="auto"/>
        </w:rPr>
        <w:t>57, has been our Senior Vice President and Chief Real Estate Officer since June 2013. Prior to that, Mr. Schmitz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Real Estate and Store Development. Prior to joining the Company in August 2007, Mr. Schmitz was the vice president of real estate for Brooks/Eckerd Pharmacy Chain from October 1995 to August 2007.</w:t>
      </w:r>
    </w:p>
    <w:p>
      <w:pPr>
        <w:spacing w:after="0" w:line="185"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Walter E. Sprague, </w:t>
      </w:r>
      <w:r>
        <w:rPr>
          <w:rFonts w:ascii="Arial" w:cs="Arial" w:eastAsia="Arial" w:hAnsi="Arial"/>
          <w:sz w:val="16"/>
          <w:szCs w:val="16"/>
          <w:color w:val="auto"/>
        </w:rPr>
        <w:t>67,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58"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i w:val="1"/>
          <w:iCs w:val="1"/>
          <w:color w:val="auto"/>
        </w:rPr>
        <w:t xml:space="preserve">Derrick Walker, </w:t>
      </w:r>
      <w:r>
        <w:rPr>
          <w:rFonts w:ascii="Arial" w:cs="Arial" w:eastAsia="Arial" w:hAnsi="Arial"/>
          <w:sz w:val="18"/>
          <w:szCs w:val="18"/>
          <w:color w:val="auto"/>
        </w:rPr>
        <w:t>47, has been our Senior Vice President and Chief Marketing Officer since May 2012. Prior to joining our Company, Mr. Walker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marketing for Lenscrafters from December 2009 to November 2011. Before that, Mr. Walker was the vice president of marketing for Finish Line from December 2006 to September 2009.</w:t>
      </w:r>
    </w:p>
    <w:p>
      <w:pPr>
        <w:spacing w:after="0" w:line="1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Nancy Youssef</w:t>
      </w:r>
      <w:r>
        <w:rPr>
          <w:rFonts w:ascii="Arial" w:cs="Arial" w:eastAsia="Arial" w:hAnsi="Arial"/>
          <w:sz w:val="18"/>
          <w:szCs w:val="18"/>
          <w:color w:val="auto"/>
        </w:rPr>
        <w:t>, 39, joined the Company in November 2015 as our Senior Vice President, International Business Development. Prior to joining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April 2009 to October 2015, Ms. Youssef was the vice president, international business development for Genesco, Inc. From June 2007 to March 2009, she was senior brand development manager for HSN, Inc. From 2004 to 2007, Ms. Youssef worked in the Middle East for SAS –Egypt where she was the international business development director.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19"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Our Board is currently comprised of ten members and there are no vacancies. A majority of the members of the Board are “independent” under the rules of the Nasdaq Global Select Market (“Nasdaq”). The Board has determined that the following directors are independent: Messrs. Bernikow, Choper, Kyees, Mesdag, Mooney, Porter, Presser and Ross.</w:t>
      </w: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Our Board met four times during our fiscal year ended January 30, 2016 (“fiscal 2015”). All directors attended all meetings of the Board and meetings of the committees of the Board on which each director served.</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believe that it is important for and we encourage the members of the Board to attend Annual Meetings of Stockholders. Last year, all members of the Board attended the Annual Meeting of Stockholders held on August 13,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19"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it has adopted certain Corporate Governance Guidelines (the "Governance Guidelines"). Many features of our corporate governance principles are discussed in other sections of this proxy statement, but some of the highlights are:</w:t>
      </w:r>
    </w:p>
    <w:p>
      <w:pPr>
        <w:spacing w:after="0" w:line="73" w:lineRule="exact"/>
        <w:rPr>
          <w:sz w:val="20"/>
          <w:szCs w:val="20"/>
          <w:color w:val="auto"/>
        </w:rPr>
      </w:pPr>
    </w:p>
    <w:p>
      <w:pPr>
        <w:ind w:left="780" w:right="180" w:hanging="264"/>
        <w:spacing w:after="0" w:line="27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qualification of their successors).</w:t>
      </w:r>
    </w:p>
    <w:p>
      <w:pPr>
        <w:spacing w:after="0" w:line="59" w:lineRule="exact"/>
        <w:rPr>
          <w:rFonts w:ascii="Arial" w:cs="Arial" w:eastAsia="Arial" w:hAnsi="Arial"/>
          <w:sz w:val="18"/>
          <w:szCs w:val="18"/>
          <w:color w:val="auto"/>
        </w:rPr>
      </w:pPr>
    </w:p>
    <w:p>
      <w:pPr>
        <w:ind w:left="780" w:right="140" w:hanging="264"/>
        <w:spacing w:after="0" w:line="294"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Majority Vote for Uncontested Director Elections. </w:t>
      </w:r>
      <w:r>
        <w:rPr>
          <w:rFonts w:ascii="Arial" w:cs="Arial" w:eastAsia="Arial" w:hAnsi="Arial"/>
          <w:sz w:val="16"/>
          <w:szCs w:val="16"/>
          <w:color w:val="auto"/>
        </w:rPr>
        <w:t>Under our By-Laws, in an uncontested election, a majority of the votes properly cast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for the election of our directors. In the case of a contested election, a plurality vote will still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51" w:lineRule="exact"/>
        <w:rPr>
          <w:rFonts w:ascii="Arial" w:cs="Arial" w:eastAsia="Arial" w:hAnsi="Arial"/>
          <w:sz w:val="16"/>
          <w:szCs w:val="16"/>
          <w:color w:val="auto"/>
        </w:rPr>
      </w:pPr>
    </w:p>
    <w:p>
      <w:pPr>
        <w:ind w:left="780" w:right="160" w:hanging="264"/>
        <w:spacing w:after="0" w:line="262"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vast majority of our Board is comprised of independent directors, with the exception of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Board and our Chief Executive Officer. All members of our Board’s committees are independent directors, and none receives compensation from us other than for service on our Board or its committees.</w:t>
      </w:r>
    </w:p>
    <w:p>
      <w:pPr>
        <w:spacing w:after="0" w:line="72" w:lineRule="exact"/>
        <w:rPr>
          <w:rFonts w:ascii="Arial" w:cs="Arial" w:eastAsia="Arial" w:hAnsi="Arial"/>
          <w:sz w:val="18"/>
          <w:szCs w:val="18"/>
          <w:color w:val="auto"/>
        </w:rPr>
      </w:pPr>
    </w:p>
    <w:p>
      <w:pPr>
        <w:ind w:left="780" w:right="260" w:hanging="264"/>
        <w:spacing w:after="0" w:line="285"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Independent Lead Director. </w:t>
      </w:r>
      <w:r>
        <w:rPr>
          <w:rFonts w:ascii="Arial" w:cs="Arial" w:eastAsia="Arial" w:hAnsi="Arial"/>
          <w:sz w:val="17"/>
          <w:szCs w:val="17"/>
          <w:color w:val="auto"/>
        </w:rPr>
        <w:t>An independent director serves as "presiding director" at all in-person Board meetings on an alphabetically rotating</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The presiding director chairs any meeting of the independent directors and facilitates communications between other members of the Board and the Executive Chairman of the Board and/or the Chief Executive Officer.</w:t>
      </w:r>
    </w:p>
    <w:p>
      <w:pPr>
        <w:spacing w:after="0" w:line="53" w:lineRule="exact"/>
        <w:rPr>
          <w:rFonts w:ascii="Arial" w:cs="Arial" w:eastAsia="Arial" w:hAnsi="Arial"/>
          <w:sz w:val="17"/>
          <w:szCs w:val="17"/>
          <w:color w:val="auto"/>
        </w:rPr>
      </w:pPr>
    </w:p>
    <w:p>
      <w:pPr>
        <w:ind w:left="780" w:right="240" w:hanging="264"/>
        <w:spacing w:after="0" w:line="262"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Executive Sessions. </w:t>
      </w:r>
      <w:r>
        <w:rPr>
          <w:rFonts w:ascii="Arial" w:cs="Arial" w:eastAsia="Arial" w:hAnsi="Arial"/>
          <w:sz w:val="18"/>
          <w:szCs w:val="18"/>
          <w:color w:val="auto"/>
        </w:rPr>
        <w:t>Our Board holds executive sessions on at least a semi-annual basis, where independent directors meet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Chairman or Mr. Levin In addition, periodically throughout the year, the full Board, including the Executive Chairman, may meet without management participation.</w:t>
      </w:r>
    </w:p>
    <w:p>
      <w:pPr>
        <w:spacing w:after="0" w:line="72" w:lineRule="exact"/>
        <w:rPr>
          <w:rFonts w:ascii="Arial" w:cs="Arial" w:eastAsia="Arial" w:hAnsi="Arial"/>
          <w:sz w:val="18"/>
          <w:szCs w:val="18"/>
          <w:color w:val="auto"/>
        </w:rPr>
      </w:pPr>
    </w:p>
    <w:p>
      <w:pPr>
        <w:ind w:left="780" w:right="120" w:hanging="264"/>
        <w:spacing w:after="0" w:line="300"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Each non-employee director is required to elect that at least 50% of his or her retainer, which is paid in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be paid in equity, in the form of options, shares or deferred stock or any combination thereof. Such equity may not be sold by the director without the approval of the Board while each director is still serving on the Board. While we do not have any required guidelines for stock ownership for members of senior management, we do encourage our senior management to have ownership in our Company.</w:t>
      </w:r>
    </w:p>
    <w:p>
      <w:pPr>
        <w:spacing w:after="0" w:line="44" w:lineRule="exact"/>
        <w:rPr>
          <w:rFonts w:ascii="Arial" w:cs="Arial" w:eastAsia="Arial" w:hAnsi="Arial"/>
          <w:sz w:val="16"/>
          <w:szCs w:val="16"/>
          <w:color w:val="auto"/>
        </w:rPr>
      </w:pPr>
    </w:p>
    <w:p>
      <w:pPr>
        <w:ind w:left="780" w:hanging="264"/>
        <w:spacing w:after="0" w:line="262"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with Company securities, including short sales and any transaction involving a publicly traded option, such as a put, call or other derivative security.</w:t>
      </w:r>
    </w:p>
    <w:p>
      <w:pPr>
        <w:spacing w:after="0" w:line="72" w:lineRule="exact"/>
        <w:rPr>
          <w:rFonts w:ascii="Arial" w:cs="Arial" w:eastAsia="Arial" w:hAnsi="Arial"/>
          <w:sz w:val="18"/>
          <w:szCs w:val="18"/>
          <w:color w:val="auto"/>
        </w:rPr>
      </w:pPr>
    </w:p>
    <w:p>
      <w:pPr>
        <w:ind w:left="780" w:hanging="264"/>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6" w:lineRule="exact"/>
        <w:rPr>
          <w:rFonts w:ascii="Arial" w:cs="Arial" w:eastAsia="Arial" w:hAnsi="Arial"/>
          <w:sz w:val="17"/>
          <w:szCs w:val="17"/>
          <w:color w:val="auto"/>
        </w:rPr>
      </w:pPr>
    </w:p>
    <w:p>
      <w:pPr>
        <w:ind w:left="780" w:right="100" w:hanging="264"/>
        <w:spacing w:after="0" w:line="27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 merger or business combination.</w:t>
      </w:r>
    </w:p>
    <w:p>
      <w:pPr>
        <w:spacing w:after="0" w:line="59" w:lineRule="exact"/>
        <w:rPr>
          <w:rFonts w:ascii="Arial" w:cs="Arial" w:eastAsia="Arial" w:hAnsi="Arial"/>
          <w:sz w:val="18"/>
          <w:szCs w:val="18"/>
          <w:color w:val="auto"/>
        </w:rPr>
      </w:pPr>
    </w:p>
    <w:p>
      <w:pPr>
        <w:ind w:left="780" w:right="240" w:hanging="264"/>
        <w:spacing w:after="0" w:line="25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Our employment agreements with members of our senior management and our long-term incentive plans contain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that provide for remedies in 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0" w:name="page11"/>
    <w:bookmarkEnd w:id="10"/>
    <w:p>
      <w:pPr>
        <w:ind w:left="780"/>
        <w:spacing w:after="0" w:line="271" w:lineRule="auto"/>
        <w:rPr>
          <w:sz w:val="20"/>
          <w:szCs w:val="20"/>
          <w:color w:val="auto"/>
        </w:rPr>
      </w:pPr>
      <w:r>
        <w:rPr>
          <w:rFonts w:ascii="Arial" w:cs="Arial" w:eastAsia="Arial" w:hAnsi="Arial"/>
          <w:sz w:val="18"/>
          <w:szCs w:val="18"/>
          <w:color w:val="auto"/>
        </w:rPr>
        <w:t>recovery of erroneously paid incentive-based compensation following a required accounting restatement. Once the final rules are issued by the SEC, we will revise, in a timely manner, our claw-back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19"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color w:val="auto"/>
        </w:rPr>
        <w:t>Our Board has four standing committees: the Nominating and Corporate Governance Committee, the Audit Committee, the Compensation Committee and the Cybersecurity and Data Privacy Committee. Each committee is comprised of directors who are “independent” under the rules of Nasdaq.</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Choper, Bernikow and Presser, each of whom is “independent” under the rules of Nasdaq. The Nominating Committee met eight times during fiscal 2015, as it worked with Mercer, a third-party consultant, to review the Board’s and committees’ structure and composition.</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(the current procedures are described below),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While the Nominating Committee does not have a formal diversity policy for Board membership and identifies qualified candidates without regard to race,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color, disability, gender, national origin, religion or creed, it does seek to ensure the fair representation of all stockholder interests on the Board. In that regard,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considering candidates for the Board, the Nominating Committee considers, among other factors, diversity with respect to viewpoint, skills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experience. The Board believes that the use of these general criteria, along with the minimum qualifications listed below, will result in nominees who represent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 mix of backgrounds and experiences that will enhance the quality of the Board.</w:t>
      </w:r>
    </w:p>
    <w:p>
      <w:pPr>
        <w:spacing w:after="0" w:line="209"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8" w:lineRule="exact"/>
        <w:rPr>
          <w:sz w:val="20"/>
          <w:szCs w:val="20"/>
          <w:color w:val="auto"/>
        </w:rPr>
      </w:pPr>
    </w:p>
    <w:p>
      <w:pPr>
        <w:ind w:left="780" w:hanging="26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4" w:lineRule="exact"/>
        <w:rPr>
          <w:rFonts w:ascii="Arial" w:cs="Arial" w:eastAsia="Arial" w:hAnsi="Arial"/>
          <w:sz w:val="18"/>
          <w:szCs w:val="18"/>
          <w:color w:val="auto"/>
        </w:rPr>
      </w:pPr>
    </w:p>
    <w:p>
      <w:pPr>
        <w:ind w:left="780" w:right="300" w:hanging="264"/>
        <w:spacing w:after="0" w:line="302"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43" w:lineRule="exact"/>
        <w:rPr>
          <w:rFonts w:ascii="Arial" w:cs="Arial" w:eastAsia="Arial" w:hAnsi="Arial"/>
          <w:sz w:val="17"/>
          <w:szCs w:val="17"/>
          <w:color w:val="auto"/>
        </w:rPr>
      </w:pPr>
    </w:p>
    <w:p>
      <w:pPr>
        <w:ind w:left="780" w:right="400" w:hanging="264"/>
        <w:spacing w:after="0" w:line="271"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8" w:lineRule="exact"/>
        <w:rPr>
          <w:rFonts w:ascii="Arial" w:cs="Arial" w:eastAsia="Arial" w:hAnsi="Arial"/>
          <w:sz w:val="18"/>
          <w:szCs w:val="18"/>
          <w:color w:val="auto"/>
        </w:rPr>
      </w:pPr>
    </w:p>
    <w:p>
      <w:pPr>
        <w:ind w:left="780" w:right="480" w:hanging="264"/>
        <w:spacing w:after="0" w:line="260"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7" w:lineRule="exact"/>
        <w:rPr>
          <w:rFonts w:ascii="Arial" w:cs="Arial" w:eastAsia="Arial" w:hAnsi="Arial"/>
          <w:sz w:val="18"/>
          <w:szCs w:val="18"/>
          <w:color w:val="auto"/>
        </w:rPr>
      </w:pPr>
    </w:p>
    <w:p>
      <w:pPr>
        <w:ind w:left="780" w:right="80" w:hanging="264"/>
        <w:spacing w:after="0" w:line="271"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115" w:lineRule="exact"/>
        <w:rPr>
          <w:sz w:val="20"/>
          <w:szCs w:val="20"/>
          <w:color w:val="auto"/>
        </w:rPr>
      </w:pPr>
    </w:p>
    <w:p>
      <w:pPr>
        <w:ind w:left="520" w:right="440" w:firstLine="252"/>
        <w:spacing w:after="0" w:line="271" w:lineRule="auto"/>
        <w:tabs>
          <w:tab w:leader="none" w:pos="9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the Secretary at our corporate offices located at 555 Turnpike Street, Canton, Massachusetts, 02021 who will forward all recommendations to the Nominating Committee.</w:t>
      </w:r>
    </w:p>
    <w:p>
      <w:pPr>
        <w:spacing w:after="0" w:line="68" w:lineRule="exact"/>
        <w:rPr>
          <w:rFonts w:ascii="Arial" w:cs="Arial" w:eastAsia="Arial" w:hAnsi="Arial"/>
          <w:sz w:val="18"/>
          <w:szCs w:val="18"/>
          <w:color w:val="auto"/>
        </w:rPr>
      </w:pPr>
    </w:p>
    <w:p>
      <w:pPr>
        <w:ind w:left="520" w:right="220" w:firstLine="252"/>
        <w:spacing w:after="0" w:line="271" w:lineRule="auto"/>
        <w:tabs>
          <w:tab w:leader="none" w:pos="9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 w:name="page12"/>
    <w:bookmarkEnd w:id="11"/>
    <w:p>
      <w:pPr>
        <w:ind w:left="960" w:hanging="18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114" w:lineRule="exact"/>
        <w:rPr>
          <w:rFonts w:ascii="Arial" w:cs="Arial" w:eastAsia="Arial" w:hAnsi="Arial"/>
          <w:sz w:val="18"/>
          <w:szCs w:val="18"/>
          <w:color w:val="auto"/>
        </w:rPr>
      </w:pPr>
    </w:p>
    <w:p>
      <w:pPr>
        <w:ind w:left="1240" w:hanging="177"/>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114" w:lineRule="exact"/>
        <w:rPr>
          <w:rFonts w:ascii="Arial" w:cs="Arial" w:eastAsia="Arial" w:hAnsi="Arial"/>
          <w:sz w:val="18"/>
          <w:szCs w:val="18"/>
          <w:color w:val="auto"/>
        </w:rPr>
      </w:pPr>
    </w:p>
    <w:p>
      <w:pPr>
        <w:ind w:left="1240" w:right="80" w:hanging="177"/>
        <w:spacing w:after="0" w:line="271" w:lineRule="auto"/>
        <w:tabs>
          <w:tab w:leader="none" w:pos="12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68" w:lineRule="exact"/>
        <w:rPr>
          <w:rFonts w:ascii="Arial" w:cs="Arial" w:eastAsia="Arial" w:hAnsi="Arial"/>
          <w:sz w:val="18"/>
          <w:szCs w:val="18"/>
          <w:color w:val="auto"/>
        </w:rPr>
      </w:pPr>
    </w:p>
    <w:p>
      <w:pPr>
        <w:ind w:left="1240" w:right="720" w:hanging="177"/>
        <w:spacing w:after="0" w:line="302" w:lineRule="auto"/>
        <w:tabs>
          <w:tab w:leader="none" w:pos="1228"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43" w:lineRule="exact"/>
        <w:rPr>
          <w:rFonts w:ascii="Arial" w:cs="Arial" w:eastAsia="Arial" w:hAnsi="Arial"/>
          <w:sz w:val="17"/>
          <w:szCs w:val="17"/>
          <w:color w:val="auto"/>
        </w:rPr>
      </w:pPr>
    </w:p>
    <w:p>
      <w:pPr>
        <w:ind w:left="1240" w:right="120" w:hanging="177"/>
        <w:spacing w:after="0" w:line="271" w:lineRule="auto"/>
        <w:tabs>
          <w:tab w:leader="none" w:pos="12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68" w:lineRule="exact"/>
        <w:rPr>
          <w:rFonts w:ascii="Arial" w:cs="Arial" w:eastAsia="Arial" w:hAnsi="Arial"/>
          <w:sz w:val="18"/>
          <w:szCs w:val="18"/>
          <w:color w:val="auto"/>
        </w:rPr>
      </w:pPr>
    </w:p>
    <w:p>
      <w:pPr>
        <w:ind w:left="1240" w:hanging="177"/>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114" w:lineRule="exact"/>
        <w:rPr>
          <w:rFonts w:ascii="Arial" w:cs="Arial" w:eastAsia="Arial" w:hAnsi="Arial"/>
          <w:sz w:val="18"/>
          <w:szCs w:val="18"/>
          <w:color w:val="auto"/>
        </w:rPr>
      </w:pPr>
    </w:p>
    <w:p>
      <w:pPr>
        <w:ind w:left="1240" w:hanging="177"/>
        <w:spacing w:after="0" w:line="271"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consent of the proposed director candidate (i) to be named in the proxy statement relating to our annual meeting of stockholders and (ii) to serve as a director if elected at such annual meeting.</w:t>
      </w:r>
    </w:p>
    <w:p>
      <w:pPr>
        <w:spacing w:after="0" w:line="68" w:lineRule="exact"/>
        <w:rPr>
          <w:rFonts w:ascii="Arial" w:cs="Arial" w:eastAsia="Arial" w:hAnsi="Arial"/>
          <w:sz w:val="18"/>
          <w:szCs w:val="18"/>
          <w:color w:val="auto"/>
        </w:rPr>
      </w:pPr>
    </w:p>
    <w:p>
      <w:pPr>
        <w:ind w:left="1240" w:right="20" w:hanging="177"/>
        <w:spacing w:after="0" w:line="271" w:lineRule="auto"/>
        <w:tabs>
          <w:tab w:leader="none" w:pos="12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6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Except where we are legally required by contract or otherwise to provide third parties with the ability to nominate directors, 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Audit Committee</w:t>
      </w:r>
    </w:p>
    <w:p>
      <w:pPr>
        <w:spacing w:after="0" w:line="2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Mesdag and Mooney. Each of the members of the Audit Committee is independent, as independence for Audit Committee members is defined under the rules of Nasdaq. Through May 14, 2015, Mr. Bernikow served on the audit committee and was our audit committee financial expert under the rules of the SEC. On May 14, 2015, Mr. Mooney replaced Mr. Bernikow as a member of the Audit Committee and serves as our audit committee financial expert.</w:t>
      </w:r>
    </w:p>
    <w:p>
      <w:pPr>
        <w:spacing w:after="0" w:line="19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2015, the Audit Committee met six times.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Audit Committee, see the “</w:t>
      </w:r>
      <w:r>
        <w:rPr>
          <w:rFonts w:ascii="Arial" w:cs="Arial" w:eastAsia="Arial" w:hAnsi="Arial"/>
          <w:sz w:val="18"/>
          <w:szCs w:val="18"/>
          <w:i w:val="1"/>
          <w:iCs w:val="1"/>
          <w:color w:val="auto"/>
        </w:rPr>
        <w:t>Report of the Audit Committee</w:t>
      </w:r>
      <w:r>
        <w:rPr>
          <w:rFonts w:ascii="Arial" w:cs="Arial" w:eastAsia="Arial" w:hAnsi="Arial"/>
          <w:sz w:val="18"/>
          <w:szCs w:val="18"/>
          <w:color w:val="auto"/>
        </w:rPr>
        <w:t>” included elsewhere in this Proxy Statement.</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Compensation Committee</w:t>
      </w:r>
    </w:p>
    <w:p>
      <w:pPr>
        <w:spacing w:after="0" w:line="115" w:lineRule="exact"/>
        <w:rPr>
          <w:sz w:val="20"/>
          <w:szCs w:val="20"/>
          <w:color w:val="auto"/>
        </w:rPr>
      </w:pPr>
    </w:p>
    <w:p>
      <w:pPr>
        <w:jc w:val="both"/>
        <w:ind w:right="440"/>
        <w:spacing w:after="0" w:line="260"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makes recommendations to the full Board, or independently approves, regarding all stock-based compensation awards to our executive officers under our equity incentive plans. The Compensation Committee has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 w:name="page13"/>
    <w:bookmarkEnd w:id="12"/>
    <w:p>
      <w:pPr>
        <w:ind w:right="120"/>
        <w:spacing w:after="0" w:line="307" w:lineRule="auto"/>
        <w:rPr>
          <w:sz w:val="20"/>
          <w:szCs w:val="20"/>
          <w:color w:val="auto"/>
        </w:rPr>
      </w:pPr>
      <w:r>
        <w:rPr>
          <w:rFonts w:ascii="Arial" w:cs="Arial" w:eastAsia="Arial" w:hAnsi="Arial"/>
          <w:sz w:val="16"/>
          <w:szCs w:val="16"/>
          <w:color w:val="auto"/>
        </w:rPr>
        <w:t>authority to retain independent advisors, with all fees and expenses to be paid by the Company. The Compensation Committee met four times during fiscal 2015. The current members of the Compensation Committee are Messrs. Kyees, Mesdag, Mooney and Porter, each of whom is “independent” under the rules of the Nasdaq. Mr. Choper served on the Compensation Committee until January 30, 2016 and his seat was filled by Mr. Kyees on January 31, 2016.</w:t>
      </w:r>
    </w:p>
    <w:p>
      <w:pPr>
        <w:spacing w:after="0" w:line="15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76" w:lineRule="exact"/>
        <w:rPr>
          <w:sz w:val="20"/>
          <w:szCs w:val="20"/>
          <w:color w:val="auto"/>
        </w:rPr>
      </w:pPr>
    </w:p>
    <w:p>
      <w:pPr>
        <w:jc w:val="both"/>
        <w:ind w:right="280"/>
        <w:spacing w:after="0" w:line="260"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and Data Privacy</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January 28, 2016, upon the recommendation of the Nominating Committee, the Board of Directors approved the formation of the Cybersecurity and Data Privacy Committee (the “Cybersecurity Committee”) to oversee the monitoring and management of cyber risk and data privacy in the Company. The Cybersecurity Committee has the authority to retain independent advisors, with all fees and expenses to be paid by the Company. The current members of the Cybersecurity Committee are Messrs. Kyees and Presser and Ms. Ross.</w:t>
      </w:r>
    </w:p>
    <w:p>
      <w:pPr>
        <w:spacing w:after="0" w:line="18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u w:val="single" w:color="auto"/>
          <w:color w:val="auto"/>
        </w:rPr>
        <w:t>http://investor.destinationxl.com</w:t>
      </w:r>
      <w:r>
        <w:rPr>
          <w:rFonts w:ascii="Arial" w:cs="Arial" w:eastAsia="Arial" w:hAnsi="Arial"/>
          <w:sz w:val="18"/>
          <w:szCs w:val="18"/>
          <w:color w:val="auto"/>
        </w:rPr>
        <w: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Board Leadership Structure</w:t>
      </w:r>
    </w:p>
    <w:p>
      <w:pPr>
        <w:spacing w:after="0" w:line="115"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currently separate the positions of Chief Executive Officer and Executive Chairman of the Board of Directors. Since 2002, Mr. Holtzman has served as our Chairman and since August 2014 as Executive Chairman. The responsibilities of the Executive Chairman include presiding at all meetings of the Board and stockholders of the Company and any such duties and functions as may from time to time be assigned by the Board.</w:t>
      </w:r>
    </w:p>
    <w:p>
      <w:pPr>
        <w:spacing w:after="0" w:line="16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Separating the positions of Chief Executive Officer and Executive Chairman allows our Chief Executive Officer to focus on our day-to-day business, while allowing the Executive Chairman to lead the Board in its fundamental role of providing independent advice to and oversight of management. Although Mr. Holtzman is not an independent director, our Board believes that having Mr. Holtzman serve as Executive Chairman is the appropriate leadership structure for the Company, given his wealth of retail experience, his extensive knowledge of the Company and his history of innovative and strategic thinking.</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our practice of having a Lead Independent Director presiding at each quarterly in-person meeting, on an alphabetically rotating basis, provides us with an opportunity for fresh insight when the agenda for each Board meeting is set. It also provides the Board with leadership for the executive sessions of the independent directors. Each director is also free to communicate directly with the Executive Chairman and with the Chief Executive Officer. The following is a listing of the independent lead director at each of the in-person Board meetings in fiscal 2015 (there is no presiding director for telephonic meetings, for which there was one in fiscal 2015).</w:t>
      </w:r>
    </w:p>
    <w:p>
      <w:pPr>
        <w:spacing w:after="0" w:line="75" w:lineRule="exact"/>
        <w:rPr>
          <w:sz w:val="20"/>
          <w:szCs w:val="20"/>
          <w:color w:val="auto"/>
        </w:rPr>
      </w:pPr>
    </w:p>
    <w:tbl>
      <w:tblPr>
        <w:tblLayout w:type="fixed"/>
        <w:tblInd w:w="2840" w:type="dxa"/>
        <w:tblCellMar>
          <w:top w:w="0" w:type="dxa"/>
          <w:left w:w="0" w:type="dxa"/>
          <w:bottom w:w="0" w:type="dxa"/>
          <w:right w:w="0" w:type="dxa"/>
        </w:tblCellMar>
      </w:tblPr>
      <w:tr>
        <w:trPr>
          <w:trHeight w:val="170"/>
        </w:trPr>
        <w:tc>
          <w:tcPr>
            <w:tcW w:w="27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Date of Meeting</w:t>
            </w:r>
          </w:p>
        </w:tc>
        <w:tc>
          <w:tcPr>
            <w:tcW w:w="480" w:type="dxa"/>
            <w:vAlign w:val="bottom"/>
            <w:tcBorders>
              <w:bottom w:val="single" w:sz="8" w:color="CFF0FC"/>
            </w:tcBorders>
          </w:tcPr>
          <w:p>
            <w:pPr>
              <w:spacing w:after="0"/>
              <w:rPr>
                <w:sz w:val="14"/>
                <w:szCs w:val="14"/>
                <w:color w:val="auto"/>
              </w:rPr>
            </w:pPr>
          </w:p>
        </w:tc>
        <w:tc>
          <w:tcPr>
            <w:tcW w:w="25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Presiding Director</w:t>
            </w:r>
          </w:p>
        </w:tc>
      </w:tr>
      <w:tr>
        <w:trPr>
          <w:trHeight w:val="315"/>
        </w:trPr>
        <w:tc>
          <w:tcPr>
            <w:tcW w:w="32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May 14, 2015</w:t>
            </w:r>
          </w:p>
        </w:tc>
        <w:tc>
          <w:tcPr>
            <w:tcW w:w="25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Ward Mooney</w:t>
            </w:r>
          </w:p>
        </w:tc>
      </w:tr>
      <w:tr>
        <w:trPr>
          <w:trHeight w:val="321"/>
        </w:trPr>
        <w:tc>
          <w:tcPr>
            <w:tcW w:w="3220" w:type="dxa"/>
            <w:vAlign w:val="bottom"/>
            <w:gridSpan w:val="2"/>
          </w:tcPr>
          <w:p>
            <w:pPr>
              <w:ind w:left="440"/>
              <w:spacing w:after="0"/>
              <w:rPr>
                <w:sz w:val="20"/>
                <w:szCs w:val="20"/>
                <w:color w:val="auto"/>
              </w:rPr>
            </w:pPr>
            <w:r>
              <w:rPr>
                <w:rFonts w:ascii="Arial" w:cs="Arial" w:eastAsia="Arial" w:hAnsi="Arial"/>
                <w:sz w:val="18"/>
                <w:szCs w:val="18"/>
                <w:color w:val="auto"/>
              </w:rPr>
              <w:t>August 13, 2015</w:t>
            </w:r>
          </w:p>
        </w:tc>
        <w:tc>
          <w:tcPr>
            <w:tcW w:w="2540" w:type="dxa"/>
            <w:vAlign w:val="bottom"/>
          </w:tcPr>
          <w:p>
            <w:pPr>
              <w:ind w:left="440"/>
              <w:spacing w:after="0"/>
              <w:rPr>
                <w:sz w:val="20"/>
                <w:szCs w:val="20"/>
                <w:color w:val="auto"/>
              </w:rPr>
            </w:pPr>
            <w:r>
              <w:rPr>
                <w:rFonts w:ascii="Arial" w:cs="Arial" w:eastAsia="Arial" w:hAnsi="Arial"/>
                <w:sz w:val="18"/>
                <w:szCs w:val="18"/>
                <w:color w:val="auto"/>
              </w:rPr>
              <w:t>George Porter</w:t>
            </w:r>
          </w:p>
        </w:tc>
      </w:tr>
      <w:tr>
        <w:trPr>
          <w:trHeight w:val="322"/>
        </w:trPr>
        <w:tc>
          <w:tcPr>
            <w:tcW w:w="32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January 28, 2016</w:t>
            </w:r>
          </w:p>
        </w:tc>
        <w:tc>
          <w:tcPr>
            <w:tcW w:w="25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Mitchell Presser</w:t>
            </w:r>
          </w:p>
        </w:tc>
      </w:tr>
    </w:tbl>
    <w:p>
      <w:pPr>
        <w:spacing w:after="0" w:line="200"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color w:val="auto"/>
        </w:rPr>
        <w:t>As described above, our Board also has four standing committees, each chair and each member of which is an independent director. Our Board delegates substantial responsibility to each Board committee, which reports their activities and actions back to the full Board. We believe that the independent committees of our Board and their chairpersons are an important aspect of the leadership structure of our Board.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Risk Oversight</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Board, as a whole and through its committees, has responsibility for the oversight of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 w:name="page14"/>
    <w:bookmarkEnd w:id="13"/>
    <w:p>
      <w:pPr>
        <w:ind w:right="160"/>
        <w:spacing w:after="0" w:line="260" w:lineRule="auto"/>
        <w:rPr>
          <w:sz w:val="20"/>
          <w:szCs w:val="20"/>
          <w:color w:val="auto"/>
        </w:rPr>
      </w:pPr>
      <w:r>
        <w:rPr>
          <w:rFonts w:ascii="Arial" w:cs="Arial" w:eastAsia="Arial" w:hAnsi="Arial"/>
          <w:sz w:val="18"/>
          <w:szCs w:val="18"/>
          <w:color w:val="auto"/>
        </w:rPr>
        <w:t>risks our Company faces, including various operating risks and corporate governance best practices. At least annually, our senior management team meets to review our identified risks and compensating controls as well as any potential new risks. The results of their risk assessment are then presented to the full Board.</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7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Our Chief Executive Officer and Chief Financial Officer attend all meetings of the Board, except executive and independent sessions, and are available to address any questions or concerns raised by the Board on risk management-related and any other matters.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adopted Corporate Governance Guidelines which set forth our governance principles relating to, among other things:</w:t>
      </w:r>
    </w:p>
    <w:p>
      <w:pPr>
        <w:spacing w:after="0" w:line="222"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0"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qualifications and responsibilities;</w:t>
      </w:r>
    </w:p>
    <w:p>
      <w:pPr>
        <w:spacing w:after="0" w:line="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board structure and meetings; and</w:t>
      </w:r>
    </w:p>
    <w:p>
      <w:pPr>
        <w:spacing w:after="0" w:line="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succession.</w:t>
      </w:r>
    </w:p>
    <w:p>
      <w:pPr>
        <w:spacing w:after="0" w:line="20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A copy of the Governance Guidelines can be found under “Corporate Governance –Charters &amp; Policies” on the Investor Relations page of our corporate website, which is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fiscal 2015, the members of the Compensation Committee were Messrs. Choper, Mesdag, Mooney and Porter. Mr. Choper resigned his position as a member of the Compensation Committee effective January 30, 2016. His seat was filled by Mr. Kyees on January 31, 2016. Persons serving on the Compensation Committee had no relationships with our Company in fiscal 2015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is an executive officer of another entity for which an executive officer of ours serves on such entity’s board of directors or compensation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Second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330,865 shares remain available for future issuances at January 30, 2016. The Non-Employee Director Compensation Plan is a stand-alone plan and is not a sub-plan under our 2006 Incentive Compensation Plan (the “2006 Plan”). Accordingly, shares issued under this plan do not reduce the shares available for issuance under the 2006 Plan.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447" w:right="299" w:bottom="1440" w:gutter="0" w:footer="0" w:header="0"/>
        </w:sectPr>
      </w:pPr>
    </w:p>
    <w:bookmarkStart w:id="14" w:name="page15"/>
    <w:bookmarkEnd w:id="14"/>
    <w:p>
      <w:pPr>
        <w:ind w:right="20"/>
        <w:spacing w:after="0" w:line="269" w:lineRule="auto"/>
        <w:rPr>
          <w:sz w:val="20"/>
          <w:szCs w:val="20"/>
          <w:color w:val="auto"/>
        </w:rPr>
      </w:pPr>
      <w:r>
        <w:rPr>
          <w:rFonts w:ascii="Arial" w:cs="Arial" w:eastAsia="Arial" w:hAnsi="Arial"/>
          <w:sz w:val="17"/>
          <w:szCs w:val="17"/>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The Compensation Committee has historically retained Sibson Consulting, most recently in June 2013, to review compensation for our non-employee directors in comparison to our then peer group. As described below in “</w:t>
      </w:r>
      <w:r>
        <w:rPr>
          <w:rFonts w:ascii="Arial" w:cs="Arial" w:eastAsia="Arial" w:hAnsi="Arial"/>
          <w:sz w:val="17"/>
          <w:szCs w:val="17"/>
          <w:i w:val="1"/>
          <w:iCs w:val="1"/>
          <w:color w:val="auto"/>
        </w:rPr>
        <w:t>Compensation Discussion and Analysis –-Use of Compensation Consultants,</w:t>
      </w:r>
      <w:r>
        <w:rPr>
          <w:rFonts w:ascii="Arial" w:cs="Arial" w:eastAsia="Arial" w:hAnsi="Arial"/>
          <w:sz w:val="17"/>
          <w:szCs w:val="17"/>
          <w:color w:val="auto"/>
        </w:rPr>
        <w:t>”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fiscal 2015, our Non-Employee Director Compensation Plan provided that non-employee directors receive an annual retainer of $102,250, which is paid in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quarterly installments of $25,562.50. Each director receives $1,500 for participation in each in-person meeting of the Board and its committees and $750 for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participation in each telephonic meeting. In addition, the Chairman of the Audit Committee receives an annual payment of $10,000, which is paid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quarterly. The Chairmen of the Compensation Committee, Cybersecurity and Data Privacy Committee and Nominating and Corporate Governance Committee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each receive an annual payment of $5,000, which is paid quarterly. Upon the initial election to the Board, a non-employee director will receive a stock option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grant of 15,000 shares under the 2006 Plan.</w:t>
      </w:r>
    </w:p>
    <w:p>
      <w:pPr>
        <w:spacing w:after="0" w:line="20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Beginning in fiscal 2015, each non-employee director was required to receive 50% of his or her annual retainer in equity, in the form of stock options, stock or deferred shares. Because the Non-Employee Director Compensation Plan is not a shareholder approved plan and the acquisition of equity must be voluntary under NASDAQ rules, we cannot utilize shares under this plan to satisfy this mandated election. Therefore, any grants of equity to satisfy this required election were issued from the 2006 Plan. Any voluntary election of shares, above this 50% retainer requirement, was issued from the Non-Employee Director Compensation Plan. Stock options and deferred shares will continue to be issued from the 2006 Plan.</w:t>
      </w:r>
    </w:p>
    <w:p>
      <w:pPr>
        <w:spacing w:after="0" w:line="178"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following table sets forth the compensation paid to our directors during fiscal 2015. David A. Levin is not included in the following table as he is a Named Executive Officer and, accordingly, received no compensation for his services as a director. Compensation earned by Mr. Levin is included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DIRECTOR COMPENSATION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Fees Earned 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6"/>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rPr>
              <w:t>All Other</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213"/>
              <w:spacing w:after="0" w:line="148" w:lineRule="exact"/>
              <w:rPr>
                <w:sz w:val="20"/>
                <w:szCs w:val="20"/>
                <w:color w:val="auto"/>
              </w:rPr>
            </w:pPr>
            <w:r>
              <w:rPr>
                <w:rFonts w:ascii="Arial" w:cs="Arial" w:eastAsia="Arial" w:hAnsi="Arial"/>
                <w:sz w:val="13"/>
                <w:szCs w:val="13"/>
                <w:b w:val="1"/>
                <w:bCs w:val="1"/>
                <w:color w:val="auto"/>
              </w:rPr>
              <w:t>Paid in Cash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6"/>
              <w:spacing w:after="0" w:line="148" w:lineRule="exact"/>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6"/>
              <w:spacing w:after="0" w:line="148" w:lineRule="exact"/>
              <w:rPr>
                <w:sz w:val="20"/>
                <w:szCs w:val="20"/>
                <w:color w:val="auto"/>
              </w:rPr>
            </w:pPr>
            <w:r>
              <w:rPr>
                <w:rFonts w:ascii="Arial" w:cs="Arial" w:eastAsia="Arial" w:hAnsi="Arial"/>
                <w:sz w:val="13"/>
                <w:szCs w:val="13"/>
                <w:b w:val="1"/>
                <w:bCs w:val="1"/>
                <w:color w:val="auto"/>
                <w:w w:val="92"/>
              </w:rPr>
              <w:t>Compensation</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0"/>
              <w:spacing w:after="0" w:line="148" w:lineRule="exact"/>
              <w:rPr>
                <w:sz w:val="20"/>
                <w:szCs w:val="20"/>
                <w:color w:val="auto"/>
              </w:rPr>
            </w:pPr>
            <w:r>
              <w:rPr>
                <w:rFonts w:ascii="Arial" w:cs="Arial" w:eastAsia="Arial" w:hAnsi="Arial"/>
                <w:sz w:val="13"/>
                <w:szCs w:val="13"/>
                <w:b w:val="1"/>
                <w:bCs w:val="1"/>
                <w:color w:val="auto"/>
              </w:rPr>
              <w:t>Total</w:t>
            </w:r>
          </w:p>
        </w:tc>
      </w:tr>
      <w:tr>
        <w:trPr>
          <w:trHeight w:val="160"/>
        </w:trPr>
        <w:tc>
          <w:tcPr>
            <w:tcW w:w="54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413"/>
              <w:spacing w:after="0"/>
              <w:rPr>
                <w:sz w:val="20"/>
                <w:szCs w:val="20"/>
                <w:color w:val="auto"/>
              </w:rPr>
            </w:pPr>
            <w:r>
              <w:rPr>
                <w:rFonts w:ascii="Arial" w:cs="Arial" w:eastAsia="Arial" w:hAnsi="Arial"/>
                <w:sz w:val="13"/>
                <w:szCs w:val="13"/>
                <w:b w:val="1"/>
                <w:bCs w:val="1"/>
                <w:color w:val="auto"/>
                <w:w w:val="88"/>
              </w:rPr>
              <w:t>)(1)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116"/>
              <w:spacing w:after="0"/>
              <w:rPr>
                <w:sz w:val="20"/>
                <w:szCs w:val="20"/>
                <w:color w:val="auto"/>
              </w:rPr>
            </w:pPr>
            <w:r>
              <w:rPr>
                <w:rFonts w:ascii="Arial" w:cs="Arial" w:eastAsia="Arial" w:hAnsi="Arial"/>
                <w:sz w:val="13"/>
                <w:szCs w:val="13"/>
                <w:b w:val="1"/>
                <w:bCs w:val="1"/>
                <w:color w:val="auto"/>
              </w:rPr>
              <w:t>($)(2)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7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21"/>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Seymour Holtzman, Executive Chairman</w:t>
            </w:r>
          </w:p>
        </w:tc>
        <w:tc>
          <w:tcPr>
            <w:tcW w:w="1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5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Alan S. Bernikow</w:t>
            </w:r>
          </w:p>
        </w:tc>
        <w:tc>
          <w:tcPr>
            <w:tcW w:w="7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Jesse Choper</w:t>
            </w:r>
          </w:p>
        </w:tc>
        <w:tc>
          <w:tcPr>
            <w:tcW w:w="760" w:type="dxa"/>
            <w:vAlign w:val="bottom"/>
            <w:gridSpan w:val="2"/>
            <w:shd w:val="clear" w:color="auto" w:fill="CFF0FC"/>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137,500</w:t>
            </w:r>
          </w:p>
        </w:tc>
        <w:tc>
          <w:tcPr>
            <w:tcW w:w="10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John E. Kyees</w:t>
            </w:r>
          </w:p>
        </w:tc>
        <w:tc>
          <w:tcPr>
            <w:tcW w:w="7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107,500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107,500</w:t>
            </w:r>
          </w:p>
        </w:tc>
        <w:tc>
          <w:tcPr>
            <w:tcW w:w="10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760" w:type="dxa"/>
            <w:vAlign w:val="bottom"/>
            <w:gridSpan w:val="2"/>
            <w:shd w:val="clear" w:color="auto" w:fill="CFF0FC"/>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117,250</w:t>
            </w:r>
          </w:p>
        </w:tc>
        <w:tc>
          <w:tcPr>
            <w:tcW w:w="10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Ward K. Mooney</w:t>
            </w:r>
          </w:p>
        </w:tc>
        <w:tc>
          <w:tcPr>
            <w:tcW w:w="7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116,500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116,500</w:t>
            </w:r>
          </w:p>
        </w:tc>
        <w:tc>
          <w:tcPr>
            <w:tcW w:w="10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George T. Porter, Jr.</w:t>
            </w:r>
          </w:p>
        </w:tc>
        <w:tc>
          <w:tcPr>
            <w:tcW w:w="760" w:type="dxa"/>
            <w:vAlign w:val="bottom"/>
            <w:gridSpan w:val="2"/>
            <w:shd w:val="clear" w:color="auto" w:fill="CFF0FC"/>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117,750</w:t>
            </w:r>
          </w:p>
        </w:tc>
        <w:tc>
          <w:tcPr>
            <w:tcW w:w="10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Mitchell S. Presser</w:t>
            </w:r>
          </w:p>
        </w:tc>
        <w:tc>
          <w:tcPr>
            <w:tcW w:w="7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112,750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112,750</w:t>
            </w:r>
          </w:p>
        </w:tc>
        <w:tc>
          <w:tcPr>
            <w:tcW w:w="10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760" w:type="dxa"/>
            <w:vAlign w:val="bottom"/>
            <w:gridSpan w:val="2"/>
            <w:shd w:val="clear" w:color="auto" w:fill="CFF0FC"/>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112,500</w:t>
            </w:r>
          </w:p>
        </w:tc>
        <w:tc>
          <w:tcPr>
            <w:tcW w:w="100" w:type="dxa"/>
            <w:vAlign w:val="bottom"/>
            <w:shd w:val="clear" w:color="auto" w:fill="CFF0FC"/>
          </w:tcPr>
          <w:p>
            <w:pPr>
              <w:spacing w:after="0"/>
              <w:rPr>
                <w:sz w:val="19"/>
                <w:szCs w:val="19"/>
                <w:color w:val="auto"/>
              </w:rPr>
            </w:pPr>
          </w:p>
        </w:tc>
      </w:tr>
    </w:tbl>
    <w:p>
      <w:pPr>
        <w:spacing w:after="0" w:line="26" w:lineRule="exact"/>
        <w:rPr>
          <w:sz w:val="20"/>
          <w:szCs w:val="20"/>
          <w:color w:val="auto"/>
        </w:rPr>
      </w:pPr>
    </w:p>
    <w:p>
      <w:pPr>
        <w:ind w:left="760" w:hanging="378"/>
        <w:spacing w:after="0" w:line="25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non-employee directors are required to receive at least 50% of their annual retainer in the form of equity. For fiscal 2015, Messrs. Bernikow, Choper, Mooney and Ms. Ross elected to receive 50% of their retainer in unrestricted shares of our common stock and Messrs. Kyees and Porter elected to receive deferred stock. Messrs. Presser and Mesdag elected to receive 100% of their retainers in unrestricted shares of our common stock. Messrs. Bernikow, Choper, Mooney, Porter and Ms. Ross elected to receive cash for all meetings and Messrs. Presser and Mesdag elected to receive shares of unrestricted stock. Mr. Kyees elected to receive his fees for meetings in a combination of 50% cash and 50% deferred shares of our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5" w:name="page16"/>
    <w:bookmarkEnd w:id="15"/>
    <w:p>
      <w:pPr>
        <w:ind w:left="760" w:right="240" w:hanging="378"/>
        <w:spacing w:after="0" w:line="25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2015. Each director had the following number of stock options outstanding at January 30, 2016: Mr. Bernikow: 25,000; Mr. Choper: 25,000; Mr. Kyees: 43,648; Mr. Mesdag: 15,000; Mr. Mooney: 25,000; Mr. Porter: 44,136; Mr. Presser: 25,000 and Ms. Ross: 15,000.</w:t>
      </w:r>
    </w:p>
    <w:p>
      <w:pPr>
        <w:spacing w:after="0" w:line="1" w:lineRule="exact"/>
        <w:rPr>
          <w:rFonts w:ascii="Arial" w:cs="Arial" w:eastAsia="Arial" w:hAnsi="Arial"/>
          <w:sz w:val="18"/>
          <w:szCs w:val="18"/>
          <w:color w:val="auto"/>
        </w:rPr>
      </w:pPr>
    </w:p>
    <w:p>
      <w:pPr>
        <w:ind w:left="760" w:right="580" w:hanging="378"/>
        <w:spacing w:after="0" w:line="248"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Employment and Chairman Compensation Agreement. See “Executive Chairman Compensation” below for additional information.</w:t>
      </w:r>
    </w:p>
    <w:p>
      <w:pPr>
        <w:ind w:left="760" w:hanging="378"/>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Ms. Ross received a cash payment of $5,000, paid in quarterly installments, to serve as Chair to the Company’s Interim Marketing Advisory Group.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2017. As compensation, Mr. Holtzman receives an annual base salary of $24,000 for his employment services and an annual compensation of $372,750 for his services as Executive Chairman. Sibson Consulting reviewed Mr. Holtzman’s compensation under this agreement and concluded that the total compensation was at the higher end of the range, when compared to our peer group. The Compensation Committee reviewed the Sibson report and approved the agreement and compensation.</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this arrangement, Mr. Holtzman was compensated for his services pursuant to a consulting agreement with Jewelcor Management Inc. (“JMI”). Under the consulting agreement, Mr. Holtzman received the same compensation as above, $24,000 for his employment services and $372,750 for services as Chairman of the Board. Mr. Holtzman is the president and chief executive officer and, together with his wife, indirectly, the majority shareholder of JMI. The consulting agreement with JMI was terminated on August 7, 2014 in connection with the execution of the Employment and Chairman Compensation Agreement, discussed above.</w:t>
      </w:r>
    </w:p>
    <w:p>
      <w:pPr>
        <w:spacing w:after="0" w:line="19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2015.</w:t>
      </w:r>
    </w:p>
    <w:p>
      <w:pPr>
        <w:spacing w:after="0" w:line="176"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auto"/>
        </w:rPr>
        <w:t>Section 6.2(A) of our Fourth Amended and Restated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6" w:lineRule="exact"/>
        <w:rPr>
          <w:sz w:val="20"/>
          <w:szCs w:val="20"/>
          <w:color w:val="auto"/>
        </w:rPr>
      </w:pPr>
    </w:p>
    <w:p>
      <w:pPr>
        <w:ind w:right="320"/>
        <w:spacing w:after="0" w:line="335" w:lineRule="auto"/>
        <w:rPr>
          <w:sz w:val="20"/>
          <w:szCs w:val="20"/>
          <w:color w:val="auto"/>
        </w:rPr>
      </w:pPr>
      <w:r>
        <w:rPr>
          <w:rFonts w:ascii="Arial" w:cs="Arial" w:eastAsia="Arial" w:hAnsi="Arial"/>
          <w:sz w:val="16"/>
          <w:szCs w:val="16"/>
          <w:color w:val="auto"/>
        </w:rPr>
        <w:t>This Compensation Discussion and Analysis provides a summary of our executive compensation philosophy and programs and discusses the compensation paid to our Chief Executive Officer (“CEO”) and other named executive officers for fiscal 2015 (collectively, our “Named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2015 were:</w:t>
      </w:r>
    </w:p>
    <w:p>
      <w:pPr>
        <w:spacing w:after="0" w:line="222" w:lineRule="exact"/>
        <w:rPr>
          <w:sz w:val="20"/>
          <w:szCs w:val="20"/>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David A. Levin, President and CEO</w:t>
      </w:r>
    </w:p>
    <w:p>
      <w:pPr>
        <w:spacing w:after="0" w:line="20"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Peter H. Stratton, Jr., Senior Vice President, Chief Financial Officer and Treasurer</w:t>
      </w:r>
    </w:p>
    <w:p>
      <w:pPr>
        <w:spacing w:after="0" w:line="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Kenneth M. Ederle, Senior Vice President and Chief Merchandising Officer – Planning and Allocation</w:t>
      </w:r>
    </w:p>
    <w:p>
      <w:pPr>
        <w:spacing w:after="0" w:line="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Robert S. Molloy, Senior Vice President, General Counsel and Secretary</w:t>
      </w:r>
    </w:p>
    <w:p>
      <w:pPr>
        <w:spacing w:after="0" w:line="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Brian S. Reaves, Senior Vice President and Chief Sales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2015 Company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Financial Summary</w:t>
      </w:r>
    </w:p>
    <w:p>
      <w:pPr>
        <w:spacing w:after="0" w:line="11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Our financial performance in fiscal 2015 was very strong despite a weakening retail apparel environment. In almost all areas, we met or exceeded our expectations for the year.</w:t>
      </w:r>
    </w:p>
    <w:p>
      <w:pPr>
        <w:spacing w:after="0" w:line="68"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have grown to $442.2 million in fiscal 2015 from $414.0 million in fiscal 2014 and $386.5 million in fiscal 2013.</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Comparable Sales for our DXL stores increased 9.7%, up against a prior year increase of 13.7%.</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per square foot from our DXL comparable stores increased to $177 from $165 in fiscal 2014 and $150 in fiscal 2013.</w:t>
      </w:r>
    </w:p>
    <w:p>
      <w:pPr>
        <w:spacing w:after="0" w:line="114" w:lineRule="exact"/>
        <w:rPr>
          <w:rFonts w:ascii="Arial" w:cs="Arial" w:eastAsia="Arial" w:hAnsi="Arial"/>
          <w:sz w:val="18"/>
          <w:szCs w:val="18"/>
          <w:color w:val="auto"/>
        </w:rPr>
      </w:pPr>
    </w:p>
    <w:p>
      <w:pPr>
        <w:ind w:left="760" w:right="80" w:hanging="378"/>
        <w:spacing w:after="0" w:line="27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loss for fiscal 2015 was $(8.4) million, or $(0.17) per diluted share, compared with a net loss of $(12.3) million, or $(0.25) per diluted share, for fiscal 2014.</w:t>
      </w:r>
    </w:p>
    <w:p>
      <w:pPr>
        <w:spacing w:after="0" w:line="68" w:lineRule="exact"/>
        <w:rPr>
          <w:rFonts w:ascii="Arial" w:cs="Arial" w:eastAsia="Arial" w:hAnsi="Arial"/>
          <w:sz w:val="18"/>
          <w:szCs w:val="18"/>
          <w:color w:val="auto"/>
        </w:rPr>
      </w:pPr>
    </w:p>
    <w:p>
      <w:pPr>
        <w:ind w:left="760" w:right="120" w:hanging="378"/>
        <w:spacing w:after="0" w:line="307"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EBITDA from continuing operations, a non-GAAP measure, has improved from $7.3 million in fiscal 2013 to $23.3 million in fiscal 2015. Due to the intensive capital requirements associated with our DXL conversion strategy, depreciation costs have increased sharply over the past 3 years. As a result, EBITDA and EBITDA from continuing operations are key performance indicators as to how well our strategy is working for our business.</w:t>
      </w:r>
    </w:p>
    <w:p>
      <w:pPr>
        <w:spacing w:after="0" w:line="44" w:lineRule="exact"/>
        <w:rPr>
          <w:sz w:val="20"/>
          <w:szCs w:val="20"/>
          <w:color w:val="auto"/>
        </w:rPr>
      </w:pPr>
    </w:p>
    <w:p>
      <w:pPr>
        <w:ind w:left="380" w:right="220"/>
        <w:spacing w:after="0" w:line="288" w:lineRule="auto"/>
        <w:rPr>
          <w:sz w:val="20"/>
          <w:szCs w:val="20"/>
          <w:color w:val="auto"/>
        </w:rPr>
      </w:pPr>
      <w:r>
        <w:rPr>
          <w:rFonts w:ascii="Arial" w:cs="Arial" w:eastAsia="Arial" w:hAnsi="Arial"/>
          <w:sz w:val="17"/>
          <w:szCs w:val="17"/>
          <w:color w:val="auto"/>
        </w:rPr>
        <w:t xml:space="preserve">The following is a summary of results for fiscal 2015, including EBITDA from continuing operations and adjusted net loss per diluted share, which are non-GAAP measures. </w:t>
      </w:r>
      <w:r>
        <w:rPr>
          <w:rFonts w:ascii="Arial" w:cs="Arial" w:eastAsia="Arial" w:hAnsi="Arial"/>
          <w:sz w:val="17"/>
          <w:szCs w:val="17"/>
          <w:b w:val="1"/>
          <w:bCs w:val="1"/>
          <w:color w:val="auto"/>
        </w:rPr>
        <w:t>Please see “Appendix A - Non-GAAP Financial Measures” for a reconciliation of these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540" w:type="dxa"/>
            <w:vAlign w:val="bottom"/>
            <w:tcBorders>
              <w:bottom w:val="single" w:sz="8" w:color="auto"/>
            </w:tcBorders>
            <w:gridSpan w:val="6"/>
          </w:tcPr>
          <w:p>
            <w:pPr>
              <w:jc w:val="right"/>
              <w:ind w:right="936"/>
              <w:spacing w:after="0"/>
              <w:rPr>
                <w:sz w:val="20"/>
                <w:szCs w:val="20"/>
                <w:color w:val="auto"/>
              </w:rPr>
            </w:pPr>
            <w:r>
              <w:rPr>
                <w:rFonts w:ascii="Arial" w:cs="Arial" w:eastAsia="Arial" w:hAnsi="Arial"/>
                <w:sz w:val="13"/>
                <w:szCs w:val="13"/>
                <w:b w:val="1"/>
                <w:bCs w:val="1"/>
                <w:color w:val="auto"/>
              </w:rPr>
              <w:t>For the fiscal year ending:</w:t>
            </w:r>
          </w:p>
        </w:tc>
        <w:tc>
          <w:tcPr>
            <w:tcW w:w="80" w:type="dxa"/>
            <w:vAlign w:val="bottom"/>
          </w:tcPr>
          <w:p>
            <w:pPr>
              <w:spacing w:after="0"/>
              <w:rPr>
                <w:sz w:val="15"/>
                <w:szCs w:val="15"/>
                <w:color w:val="auto"/>
              </w:rPr>
            </w:pPr>
          </w:p>
        </w:tc>
      </w:tr>
      <w:tr>
        <w:trPr>
          <w:trHeight w:val="161"/>
        </w:trPr>
        <w:tc>
          <w:tcPr>
            <w:tcW w:w="5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3"/>
                <w:szCs w:val="13"/>
                <w:b w:val="1"/>
                <w:bCs w:val="1"/>
                <w:color w:val="auto"/>
              </w:rPr>
              <w:t>January 30, 2016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January 31, 2015</w:t>
            </w:r>
          </w:p>
        </w:tc>
      </w:tr>
      <w:tr>
        <w:trPr>
          <w:trHeight w:val="160"/>
        </w:trPr>
        <w:tc>
          <w:tcPr>
            <w:tcW w:w="5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(Fiscal 2015)</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(Fiscal 2014)</w:t>
            </w:r>
          </w:p>
        </w:tc>
        <w:tc>
          <w:tcPr>
            <w:tcW w:w="80" w:type="dxa"/>
            <w:vAlign w:val="bottom"/>
          </w:tcPr>
          <w:p>
            <w:pPr>
              <w:spacing w:after="0"/>
              <w:rPr>
                <w:sz w:val="13"/>
                <w:szCs w:val="13"/>
                <w:color w:val="auto"/>
              </w:rPr>
            </w:pPr>
          </w:p>
        </w:tc>
      </w:tr>
      <w:tr>
        <w:trPr>
          <w:trHeight w:val="154"/>
        </w:trPr>
        <w:tc>
          <w:tcPr>
            <w:tcW w:w="5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20" w:type="dxa"/>
            <w:vAlign w:val="bottom"/>
            <w:gridSpan w:val="7"/>
          </w:tcPr>
          <w:p>
            <w:pPr>
              <w:jc w:val="right"/>
              <w:ind w:right="600"/>
              <w:spacing w:after="0"/>
              <w:rPr>
                <w:sz w:val="20"/>
                <w:szCs w:val="20"/>
                <w:color w:val="auto"/>
              </w:rPr>
            </w:pPr>
            <w:r>
              <w:rPr>
                <w:rFonts w:ascii="Arial" w:cs="Arial" w:eastAsia="Arial" w:hAnsi="Arial"/>
                <w:sz w:val="13"/>
                <w:szCs w:val="13"/>
                <w:i w:val="1"/>
                <w:iCs w:val="1"/>
                <w:color w:val="auto"/>
              </w:rPr>
              <w:t>(in millions, except per share and percentages)</w:t>
            </w:r>
          </w:p>
        </w:tc>
      </w:tr>
      <w:tr>
        <w:trPr>
          <w:trHeight w:val="228"/>
        </w:trPr>
        <w:tc>
          <w:tcPr>
            <w:tcW w:w="5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Financial Highlights</w:t>
            </w:r>
            <w:r>
              <w:rPr>
                <w:rFonts w:ascii="Arial" w:cs="Arial" w:eastAsia="Arial" w:hAnsi="Arial"/>
                <w:sz w:val="18"/>
                <w:szCs w:val="18"/>
                <w:color w:val="auto"/>
              </w:rPr>
              <w:t>:</w:t>
            </w:r>
          </w:p>
        </w:tc>
        <w:tc>
          <w:tcPr>
            <w:tcW w:w="2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328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228"/>
        </w:trPr>
        <w:tc>
          <w:tcPr>
            <w:tcW w:w="568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680" w:type="dxa"/>
            <w:vAlign w:val="bottom"/>
          </w:tcPr>
          <w:p>
            <w:pPr>
              <w:spacing w:after="0"/>
              <w:rPr>
                <w:sz w:val="20"/>
                <w:szCs w:val="20"/>
                <w:color w:val="auto"/>
              </w:rPr>
            </w:pPr>
            <w:r>
              <w:rPr>
                <w:rFonts w:ascii="Arial" w:cs="Arial" w:eastAsia="Arial" w:hAnsi="Arial"/>
                <w:sz w:val="18"/>
                <w:szCs w:val="18"/>
                <w:color w:val="auto"/>
              </w:rPr>
              <w:t>Operating loss</w:t>
            </w:r>
          </w:p>
        </w:tc>
        <w:tc>
          <w:tcPr>
            <w:tcW w:w="328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r>
        <w:trPr>
          <w:trHeight w:val="228"/>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Add back: Depreciation and amortization expense</w:t>
            </w:r>
          </w:p>
        </w:tc>
        <w:tc>
          <w:tcPr>
            <w:tcW w:w="3280" w:type="dxa"/>
            <w:vAlign w:val="bottom"/>
            <w:gridSpan w:val="2"/>
            <w:shd w:val="clear" w:color="auto" w:fill="CFF0FC"/>
          </w:tcPr>
          <w:p>
            <w:pPr>
              <w:jc w:val="right"/>
              <w:ind w:right="10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r>
      <w:tr>
        <w:trPr>
          <w:trHeight w:val="221"/>
        </w:trPr>
        <w:tc>
          <w:tcPr>
            <w:tcW w:w="5680" w:type="dxa"/>
            <w:vAlign w:val="bottom"/>
          </w:tcPr>
          <w:p>
            <w:pPr>
              <w:spacing w:after="0"/>
              <w:rPr>
                <w:sz w:val="20"/>
                <w:szCs w:val="20"/>
                <w:color w:val="auto"/>
              </w:rPr>
            </w:pPr>
            <w:r>
              <w:rPr>
                <w:rFonts w:ascii="Arial" w:cs="Arial" w:eastAsia="Arial" w:hAnsi="Arial"/>
                <w:sz w:val="18"/>
                <w:szCs w:val="18"/>
                <w:color w:val="auto"/>
              </w:rPr>
              <w:t>EBITDA from continuing operations</w:t>
            </w:r>
          </w:p>
        </w:tc>
        <w:tc>
          <w:tcPr>
            <w:tcW w:w="2120" w:type="dxa"/>
            <w:vAlign w:val="bottom"/>
          </w:tcPr>
          <w:p>
            <w:pPr>
              <w:spacing w:after="0"/>
              <w:rPr>
                <w:sz w:val="19"/>
                <w:szCs w:val="19"/>
                <w:color w:val="auto"/>
              </w:rPr>
            </w:pPr>
          </w:p>
        </w:tc>
        <w:tc>
          <w:tcPr>
            <w:tcW w:w="1160" w:type="dxa"/>
            <w:vAlign w:val="bottom"/>
            <w:tcBorders>
              <w:top w:val="single" w:sz="8" w:color="auto"/>
            </w:tcBorders>
          </w:tcPr>
          <w:p>
            <w:pPr>
              <w:jc w:val="right"/>
              <w:ind w:right="101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r>
      <w:tr>
        <w:trPr>
          <w:trHeight w:val="228"/>
        </w:trPr>
        <w:tc>
          <w:tcPr>
            <w:tcW w:w="568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8"/>
        </w:trPr>
        <w:tc>
          <w:tcPr>
            <w:tcW w:w="5680" w:type="dxa"/>
            <w:vAlign w:val="bottom"/>
          </w:tcPr>
          <w:p>
            <w:pPr>
              <w:spacing w:after="0"/>
              <w:rPr>
                <w:sz w:val="20"/>
                <w:szCs w:val="20"/>
                <w:color w:val="auto"/>
              </w:rPr>
            </w:pPr>
            <w:r>
              <w:rPr>
                <w:rFonts w:ascii="Arial" w:cs="Arial" w:eastAsia="Arial" w:hAnsi="Arial"/>
                <w:sz w:val="18"/>
                <w:szCs w:val="18"/>
                <w:i w:val="1"/>
                <w:iCs w:val="1"/>
                <w:color w:val="auto"/>
              </w:rPr>
              <w:t>Diluted loss per share</w:t>
            </w:r>
            <w:r>
              <w:rPr>
                <w:rFonts w:ascii="Arial" w:cs="Arial" w:eastAsia="Arial" w:hAnsi="Arial"/>
                <w:sz w:val="18"/>
                <w:szCs w:val="18"/>
                <w:b w:val="1"/>
                <w:bCs w:val="1"/>
                <w:color w:val="auto"/>
              </w:rPr>
              <w:t>:</w:t>
            </w: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80" w:type="dxa"/>
            <w:vAlign w:val="bottom"/>
            <w:gridSpan w:val="2"/>
            <w:shd w:val="clear" w:color="auto" w:fill="CFF0FC"/>
          </w:tcPr>
          <w:p>
            <w:pPr>
              <w:jc w:val="right"/>
              <w:ind w:right="10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7"/>
              </w:rPr>
              <w:t>(0.17)</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(0.25)</w:t>
            </w:r>
          </w:p>
        </w:tc>
      </w:tr>
      <w:tr>
        <w:trPr>
          <w:trHeight w:val="227"/>
        </w:trPr>
        <w:tc>
          <w:tcPr>
            <w:tcW w:w="5680" w:type="dxa"/>
            <w:vAlign w:val="bottom"/>
          </w:tcPr>
          <w:p>
            <w:pPr>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5"/>
                <w:szCs w:val="15"/>
                <w:color w:val="auto"/>
              </w:rPr>
              <w:t>(1)</w:t>
            </w:r>
          </w:p>
        </w:tc>
        <w:tc>
          <w:tcPr>
            <w:tcW w:w="328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(0.10)</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r>
      <w:tr>
        <w:trPr>
          <w:trHeight w:val="228"/>
        </w:trPr>
        <w:tc>
          <w:tcPr>
            <w:tcW w:w="568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680" w:type="dxa"/>
            <w:vAlign w:val="bottom"/>
          </w:tcPr>
          <w:p>
            <w:pPr>
              <w:spacing w:after="0"/>
              <w:rPr>
                <w:sz w:val="20"/>
                <w:szCs w:val="20"/>
                <w:color w:val="auto"/>
              </w:rPr>
            </w:pPr>
            <w:r>
              <w:rPr>
                <w:rFonts w:ascii="Arial" w:cs="Arial" w:eastAsia="Arial" w:hAnsi="Arial"/>
                <w:sz w:val="18"/>
                <w:szCs w:val="18"/>
                <w:i w:val="1"/>
                <w:iCs w:val="1"/>
                <w:color w:val="auto"/>
              </w:rPr>
              <w:t xml:space="preserve">Shareholder Return </w:t>
            </w:r>
            <w:r>
              <w:rPr>
                <w:rFonts w:ascii="Arial" w:cs="Arial" w:eastAsia="Arial" w:hAnsi="Arial"/>
                <w:sz w:val="15"/>
                <w:szCs w:val="15"/>
                <w:color w:val="auto"/>
              </w:rPr>
              <w:t>(2)</w:t>
            </w: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1-year Shareholder Return </w:t>
            </w:r>
            <w:r>
              <w:rPr>
                <w:rFonts w:ascii="Arial" w:cs="Arial" w:eastAsia="Arial" w:hAnsi="Arial"/>
                <w:sz w:val="15"/>
                <w:szCs w:val="15"/>
                <w:color w:val="auto"/>
              </w:rPr>
              <w:t>(3)</w:t>
            </w:r>
          </w:p>
        </w:tc>
        <w:tc>
          <w:tcPr>
            <w:tcW w:w="2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(15.4)%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680" w:type="dxa"/>
            <w:vAlign w:val="bottom"/>
          </w:tcPr>
          <w:p>
            <w:pPr>
              <w:spacing w:after="0"/>
              <w:rPr>
                <w:sz w:val="20"/>
                <w:szCs w:val="20"/>
                <w:color w:val="auto"/>
              </w:rPr>
            </w:pPr>
            <w:r>
              <w:rPr>
                <w:rFonts w:ascii="Arial" w:cs="Arial" w:eastAsia="Arial" w:hAnsi="Arial"/>
                <w:sz w:val="18"/>
                <w:szCs w:val="18"/>
                <w:color w:val="auto"/>
              </w:rPr>
              <w:t>Total 2-year Shareholder Return</w:t>
            </w: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3-year Shareholder Return</w:t>
            </w:r>
          </w:p>
        </w:tc>
        <w:tc>
          <w:tcPr>
            <w:tcW w:w="2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bl>
    <w:p>
      <w:pPr>
        <w:spacing w:after="0" w:line="93" w:lineRule="exact"/>
        <w:rPr>
          <w:sz w:val="20"/>
          <w:szCs w:val="20"/>
          <w:color w:val="auto"/>
        </w:rPr>
      </w:pPr>
    </w:p>
    <w:p>
      <w:pPr>
        <w:ind w:left="660" w:hanging="37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net loss assumes a normalized tax rate of 40%.</w:t>
      </w:r>
    </w:p>
    <w:p>
      <w:pPr>
        <w:spacing w:after="0" w:line="20" w:lineRule="exact"/>
        <w:rPr>
          <w:rFonts w:ascii="Arial" w:cs="Arial" w:eastAsia="Arial" w:hAnsi="Arial"/>
          <w:sz w:val="18"/>
          <w:szCs w:val="18"/>
          <w:color w:val="auto"/>
        </w:rPr>
      </w:pPr>
    </w:p>
    <w:p>
      <w:pPr>
        <w:ind w:left="660" w:right="220" w:hanging="372"/>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1-year Shareholder Return for fiscal 2015 was calculated by taking the percentage change in stock price from January 30, 2015 to January 29, 2016. Total 2-year Shareholder Return for fiscal 2015 was calculated by taking the percentage change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7" w:name="page18"/>
    <w:bookmarkEnd w:id="17"/>
    <w:p>
      <w:pPr>
        <w:ind w:left="660" w:right="280"/>
        <w:spacing w:after="0" w:line="253" w:lineRule="auto"/>
        <w:rPr>
          <w:sz w:val="20"/>
          <w:szCs w:val="20"/>
          <w:color w:val="auto"/>
        </w:rPr>
      </w:pPr>
      <w:r>
        <w:rPr>
          <w:rFonts w:ascii="Arial" w:cs="Arial" w:eastAsia="Arial" w:hAnsi="Arial"/>
          <w:sz w:val="18"/>
          <w:szCs w:val="18"/>
          <w:color w:val="auto"/>
        </w:rPr>
        <w:t>in stock price from January 31, 2014 to January 29, 2016. Total 3-year Shareholder Return for fiscal 2015 was calculated by taking the percentage change in stock price from February 1, 2013 to January 29, 2016. No dividends were paid by us. We calculated all shareholder returns using the closing price of our common stock on the last business day of each fiscal year.</w:t>
      </w:r>
    </w:p>
    <w:p>
      <w:pPr>
        <w:spacing w:after="0" w:line="1" w:lineRule="exact"/>
        <w:rPr>
          <w:sz w:val="20"/>
          <w:szCs w:val="20"/>
          <w:color w:val="auto"/>
        </w:rPr>
      </w:pPr>
    </w:p>
    <w:p>
      <w:pPr>
        <w:ind w:left="660" w:right="120" w:hanging="372"/>
        <w:spacing w:after="0" w:line="25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believe that our stock price of $4.30 at the end of fiscal 2015 was indicative of our progress or improved financial results as a result of our DXL rollout in fiscal 2015. We expect that our shareholder returns may not be representative of our financial performance until we return to profitability which is expected to occur in fiscal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2015 Executive Compensation Highlights</w:t>
      </w:r>
    </w:p>
    <w:p>
      <w:pPr>
        <w:spacing w:after="0" w:line="22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believe that the value of compensation awarded to our Named Executive Officers was aligned with the performance of the Company for fiscal 2015. Management’s successful implementation of our DXL strategy is imperative to our long-term growth and profitability. Accordingly, we have tied a significant portion of the compensation for our management team to the achievement of our short-term and long-term goals. For Mr. Levin, our CEO, almost 50% of the compensation that he earned in fiscal 2015 was performance-based and the result of achieving or exceeding each of the performance metrics under our annual incentive plan, or “AIP”. For our other Named Executive Officers, almost 30% of the compensation earned by each of them in fiscal 2015 was performance-based. Participation levels, the performance targets and actual results are discussed below under “</w:t>
      </w:r>
      <w:r>
        <w:rPr>
          <w:rFonts w:ascii="Arial" w:cs="Arial" w:eastAsia="Arial" w:hAnsi="Arial"/>
          <w:sz w:val="16"/>
          <w:szCs w:val="16"/>
          <w:i w:val="1"/>
          <w:iCs w:val="1"/>
          <w:color w:val="auto"/>
        </w:rPr>
        <w:t>Compensation Components, Fiscal 2015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Decisions, 2016 Annual Incentive Plan Targets and Long-Term Incentive Program – Performance-based annual cash incentive plan – 2015 AIP.</w:t>
      </w:r>
      <w:r>
        <w:rPr>
          <w:rFonts w:ascii="Arial" w:cs="Arial" w:eastAsia="Arial" w:hAnsi="Arial"/>
          <w:sz w:val="16"/>
          <w:szCs w:val="16"/>
          <w:color w:val="auto"/>
        </w:rPr>
        <w:t>” See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below for a detailed description of compensation for each Named Executive Officer.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On a comparative basis, the following table shows total compensation earned for each Named Executive Officer for fiscal 2015 as compared to fiscal</w:t>
      </w:r>
    </w:p>
    <w:p>
      <w:pPr>
        <w:spacing w:after="0" w:line="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2014. Because the Company’s Long-Term Incentive Plan 2013-2016 (“2013-2016 LTIP”) contains a four-year performance period, there was no opportunity for our Named Executive Officers to earn any long-term performance-based compensation in fiscal 2015 or fiscal 2014.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 Change (1)</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Fiscal 2015</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Fiscal 2014</w:t>
            </w:r>
          </w:p>
        </w:tc>
        <w:tc>
          <w:tcPr>
            <w:tcW w:w="100" w:type="dxa"/>
            <w:vAlign w:val="bottom"/>
            <w:tcBorders>
              <w:bottom w:val="single" w:sz="8" w:color="CFF0FC"/>
            </w:tcBorders>
          </w:tcPr>
          <w:p>
            <w:pPr>
              <w:spacing w:after="0"/>
              <w:rPr>
                <w:sz w:val="13"/>
                <w:szCs w:val="13"/>
                <w:color w:val="auto"/>
              </w:rPr>
            </w:pPr>
          </w:p>
        </w:tc>
      </w:tr>
      <w:tr>
        <w:trPr>
          <w:trHeight w:val="221"/>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2,026,290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1,788,363</w:t>
            </w:r>
          </w:p>
        </w:tc>
        <w:tc>
          <w:tcPr>
            <w:tcW w:w="100" w:type="dxa"/>
            <w:vAlign w:val="bottom"/>
            <w:shd w:val="clear" w:color="auto" w:fill="CFF0FC"/>
          </w:tcPr>
          <w:p>
            <w:pPr>
              <w:spacing w:after="0"/>
              <w:rPr>
                <w:sz w:val="19"/>
                <w:szCs w:val="19"/>
                <w:color w:val="auto"/>
              </w:rPr>
            </w:pPr>
          </w:p>
        </w:tc>
      </w:tr>
      <w:tr>
        <w:trPr>
          <w:trHeight w:val="227"/>
        </w:trPr>
        <w:tc>
          <w:tcPr>
            <w:tcW w:w="67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479,837</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409,252</w:t>
            </w:r>
          </w:p>
        </w:tc>
        <w:tc>
          <w:tcPr>
            <w:tcW w:w="100" w:type="dxa"/>
            <w:vAlign w:val="bottom"/>
          </w:tcPr>
          <w:p>
            <w:pPr>
              <w:spacing w:after="0"/>
              <w:rPr>
                <w:sz w:val="19"/>
                <w:szCs w:val="19"/>
                <w:color w:val="auto"/>
              </w:rPr>
            </w:pPr>
          </w:p>
        </w:tc>
      </w:tr>
      <w:tr>
        <w:trPr>
          <w:trHeight w:val="228"/>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18.9%</w:t>
            </w: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638,967</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537,394</w:t>
            </w:r>
          </w:p>
        </w:tc>
        <w:tc>
          <w:tcPr>
            <w:tcW w:w="100" w:type="dxa"/>
            <w:vAlign w:val="bottom"/>
            <w:shd w:val="clear" w:color="auto" w:fill="CFF0FC"/>
          </w:tcPr>
          <w:p>
            <w:pPr>
              <w:spacing w:after="0"/>
              <w:rPr>
                <w:sz w:val="19"/>
                <w:szCs w:val="19"/>
                <w:color w:val="auto"/>
              </w:rPr>
            </w:pPr>
          </w:p>
        </w:tc>
      </w:tr>
      <w:tr>
        <w:trPr>
          <w:trHeight w:val="227"/>
        </w:trPr>
        <w:tc>
          <w:tcPr>
            <w:tcW w:w="67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574,991</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523,672</w:t>
            </w:r>
          </w:p>
        </w:tc>
        <w:tc>
          <w:tcPr>
            <w:tcW w:w="100" w:type="dxa"/>
            <w:vAlign w:val="bottom"/>
          </w:tcPr>
          <w:p>
            <w:pPr>
              <w:spacing w:after="0"/>
              <w:rPr>
                <w:sz w:val="19"/>
                <w:szCs w:val="19"/>
                <w:color w:val="auto"/>
              </w:rPr>
            </w:pPr>
          </w:p>
        </w:tc>
      </w:tr>
      <w:tr>
        <w:trPr>
          <w:trHeight w:val="228"/>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515,288</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462,076</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ind w:left="620" w:right="20" w:hanging="385"/>
        <w:spacing w:after="0" w:line="298"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increase in compensation for fiscal 2015 as compared to fiscal 2014 is principally due to a higher percentage payout under the 2015 AIP as a result of meeting and/or exceeding fiscal 2015 targets. The remaining increase is due to second tranche of the 2013-2016 time-based awards vesting at 40% as compared to the first tranche, which was only 20%. See “</w:t>
      </w:r>
      <w:r>
        <w:rPr>
          <w:rFonts w:ascii="Arial" w:cs="Arial" w:eastAsia="Arial" w:hAnsi="Arial"/>
          <w:sz w:val="16"/>
          <w:szCs w:val="16"/>
          <w:i w:val="1"/>
          <w:iCs w:val="1"/>
          <w:color w:val="auto"/>
        </w:rPr>
        <w:t>Compensation Components, Fiscal 2015 Compensation Decisions, 2016 Annual</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Plan Targets and Long-Term Incentive Program – Performance-based annual cash incentive plan – 2015 AIP.”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Say-on-Pay</w:t>
      </w: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8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At our 2015 Annual Meeting, stockholders had an opportunity to cast a non-binding advisory vote on executive compensation as disclosed in the 2015 Proxy Statement. Of the votes cast on the say-on-pay proposal, 93.9% voted in favor of the proposal. The Compensation Committee considered the results of the 2015 advisory vote and believes that it affirms stockholders' support of our approach to executive compensation, namely to align short- and long-term incentives with the Company’s financial performance as we continue to convert to the DXL format. We will continue to consider the outcome of subsequent say-on-pay votes when making future compensation decisions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Key Features of Our Executive Compensation Program</w:t>
      </w:r>
    </w:p>
    <w:p>
      <w:pPr>
        <w:spacing w:after="0" w:line="1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believe that our executive compensation program includes key features that align the compensation for the Named Executive Officers with the strategic goals of the Company and interests of our shareholders.</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17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w w:val="86"/>
              </w:rPr>
              <w:t>What We Do</w:t>
            </w:r>
          </w:p>
        </w:tc>
        <w:tc>
          <w:tcPr>
            <w:tcW w:w="17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What We Don’t Do</w:t>
            </w:r>
          </w:p>
        </w:tc>
      </w:tr>
      <w:tr>
        <w:trPr>
          <w:trHeight w:val="20"/>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r>
      <w:tr>
        <w:trPr>
          <w:trHeight w:val="214"/>
        </w:trPr>
        <w:tc>
          <w:tcPr>
            <w:tcW w:w="4420" w:type="dxa"/>
            <w:vAlign w:val="bottom"/>
            <w:gridSpan w:val="3"/>
          </w:tcPr>
          <w:p>
            <w:pPr>
              <w:ind w:left="180"/>
              <w:spacing w:after="0"/>
              <w:rPr>
                <w:sz w:val="20"/>
                <w:szCs w:val="20"/>
                <w:color w:val="auto"/>
              </w:rPr>
            </w:pPr>
            <w:r>
              <w:rPr>
                <w:rFonts w:ascii="Arial" w:cs="Arial" w:eastAsia="Arial" w:hAnsi="Arial"/>
                <w:sz w:val="18"/>
                <w:szCs w:val="18"/>
                <w:color w:val="auto"/>
              </w:rPr>
              <w:t>üFocus on performance-based pay</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ûNo guaranteed bonuses</w:t>
            </w:r>
          </w:p>
        </w:tc>
      </w:tr>
      <w:tr>
        <w:trPr>
          <w:trHeight w:val="214"/>
        </w:trPr>
        <w:tc>
          <w:tcPr>
            <w:tcW w:w="44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üBalance short-term and long-term incentives</w:t>
            </w:r>
          </w:p>
        </w:tc>
        <w:tc>
          <w:tcPr>
            <w:tcW w:w="432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repricing of underwater options</w:t>
            </w:r>
          </w:p>
        </w:tc>
      </w:tr>
      <w:tr>
        <w:trPr>
          <w:trHeight w:val="214"/>
        </w:trPr>
        <w:tc>
          <w:tcPr>
            <w:tcW w:w="4420" w:type="dxa"/>
            <w:vAlign w:val="bottom"/>
            <w:gridSpan w:val="3"/>
          </w:tcPr>
          <w:p>
            <w:pPr>
              <w:ind w:left="180"/>
              <w:spacing w:after="0"/>
              <w:rPr>
                <w:sz w:val="20"/>
                <w:szCs w:val="20"/>
                <w:color w:val="auto"/>
              </w:rPr>
            </w:pPr>
            <w:r>
              <w:rPr>
                <w:rFonts w:ascii="Arial" w:cs="Arial" w:eastAsia="Arial" w:hAnsi="Arial"/>
                <w:sz w:val="18"/>
                <w:szCs w:val="18"/>
                <w:color w:val="auto"/>
              </w:rPr>
              <w:t>üUse multiple metrics for performance awards</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ûNo hedging of Company stock</w:t>
            </w:r>
          </w:p>
        </w:tc>
      </w:tr>
      <w:tr>
        <w:trPr>
          <w:trHeight w:val="214"/>
        </w:trPr>
        <w:tc>
          <w:tcPr>
            <w:tcW w:w="44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üCap all incentive awards at 150% payout</w:t>
            </w:r>
          </w:p>
        </w:tc>
        <w:tc>
          <w:tcPr>
            <w:tcW w:w="432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tax gross up on severance payments</w:t>
            </w:r>
          </w:p>
        </w:tc>
      </w:tr>
      <w:tr>
        <w:trPr>
          <w:trHeight w:val="214"/>
        </w:trPr>
        <w:tc>
          <w:tcPr>
            <w:tcW w:w="4420" w:type="dxa"/>
            <w:vAlign w:val="bottom"/>
            <w:gridSpan w:val="3"/>
          </w:tcPr>
          <w:p>
            <w:pPr>
              <w:ind w:left="180"/>
              <w:spacing w:after="0"/>
              <w:rPr>
                <w:sz w:val="20"/>
                <w:szCs w:val="20"/>
                <w:color w:val="auto"/>
              </w:rPr>
            </w:pPr>
            <w:r>
              <w:rPr>
                <w:rFonts w:ascii="Arial" w:cs="Arial" w:eastAsia="Arial" w:hAnsi="Arial"/>
                <w:sz w:val="18"/>
                <w:szCs w:val="18"/>
                <w:color w:val="auto"/>
                <w:w w:val="97"/>
              </w:rPr>
              <w:t>üRequire “double-trigger” change-in-control provisions</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w w:val="99"/>
              </w:rPr>
              <w:t>ûNo active supplemental executive retirement plan</w:t>
            </w:r>
          </w:p>
        </w:tc>
      </w:tr>
      <w:tr>
        <w:trPr>
          <w:trHeight w:val="322"/>
        </w:trPr>
        <w:tc>
          <w:tcPr>
            <w:tcW w:w="44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üMaintain “claw-back” policy</w:t>
            </w:r>
          </w:p>
        </w:tc>
        <w:tc>
          <w:tcPr>
            <w:tcW w:w="14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520" w:type="dxa"/>
            <w:vAlign w:val="bottom"/>
            <w:shd w:val="clear" w:color="auto" w:fill="CFF0FC"/>
          </w:tcPr>
          <w:p>
            <w:pPr>
              <w:spacing w:after="0"/>
              <w:rPr>
                <w:sz w:val="24"/>
                <w:szCs w:val="24"/>
                <w:color w:val="auto"/>
              </w:rPr>
            </w:pPr>
          </w:p>
        </w:tc>
      </w:tr>
      <w:tr>
        <w:trPr>
          <w:trHeight w:val="321"/>
        </w:trPr>
        <w:tc>
          <w:tcPr>
            <w:tcW w:w="4420" w:type="dxa"/>
            <w:vAlign w:val="bottom"/>
            <w:gridSpan w:val="3"/>
          </w:tcPr>
          <w:p>
            <w:pPr>
              <w:ind w:left="180"/>
              <w:spacing w:after="0"/>
              <w:rPr>
                <w:sz w:val="20"/>
                <w:szCs w:val="20"/>
                <w:color w:val="auto"/>
              </w:rPr>
            </w:pPr>
            <w:r>
              <w:rPr>
                <w:rFonts w:ascii="Arial" w:cs="Arial" w:eastAsia="Arial" w:hAnsi="Arial"/>
                <w:sz w:val="18"/>
                <w:szCs w:val="18"/>
                <w:color w:val="auto"/>
              </w:rPr>
              <w:t>üSeek to mitigate undue risk in compensation plans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2"/>
        </w:trPr>
        <w:tc>
          <w:tcPr>
            <w:tcW w:w="44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üUtilize a compensation consultant</w:t>
            </w:r>
          </w:p>
        </w:tc>
        <w:tc>
          <w:tcPr>
            <w:tcW w:w="14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520" w:type="dxa"/>
            <w:vAlign w:val="bottom"/>
            <w:shd w:val="clear" w:color="auto" w:fill="CFF0FC"/>
          </w:tcPr>
          <w:p>
            <w:pPr>
              <w:spacing w:after="0"/>
              <w:rPr>
                <w:sz w:val="24"/>
                <w:szCs w:val="24"/>
                <w:color w:val="auto"/>
              </w:rPr>
            </w:pPr>
          </w:p>
        </w:tc>
      </w:tr>
      <w:tr>
        <w:trPr>
          <w:trHeight w:val="320"/>
        </w:trPr>
        <w:tc>
          <w:tcPr>
            <w:tcW w:w="4420" w:type="dxa"/>
            <w:vAlign w:val="bottom"/>
            <w:gridSpan w:val="3"/>
          </w:tcPr>
          <w:p>
            <w:pPr>
              <w:ind w:left="180"/>
              <w:spacing w:after="0"/>
              <w:rPr>
                <w:sz w:val="20"/>
                <w:szCs w:val="20"/>
                <w:color w:val="auto"/>
              </w:rPr>
            </w:pPr>
            <w:r>
              <w:rPr>
                <w:rFonts w:ascii="Arial" w:cs="Arial" w:eastAsia="Arial" w:hAnsi="Arial"/>
                <w:sz w:val="18"/>
                <w:szCs w:val="18"/>
                <w:color w:val="auto"/>
              </w:rPr>
              <w:t>üProvide executives with very limited perquisites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115"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Our Compensation Committee is responsible for establishing, implementing and continually monitoring adherence to our compensation philosophy, and ensuring that the total compensation we pay to our executives is fair, reasonable, competitive and consistent with the interests of the Company’s stockholders. Our Compensation Committee’s compensation guiding principle is to reward our executives for the achievement of our primary business objectives: successfully complete the transformation to our DXL format, grow our market share within the Big &amp; Tall retail industry, increase earnings and operating margins and, ultimately, increase stockholder returns through stock price gains arising from an increase in earnings and operating margins.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15" w:lineRule="exact"/>
        <w:rPr>
          <w:sz w:val="20"/>
          <w:szCs w:val="20"/>
          <w:color w:val="auto"/>
        </w:rPr>
      </w:pPr>
    </w:p>
    <w:p>
      <w:pPr>
        <w:ind w:left="780" w:hanging="264"/>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14" w:lineRule="exact"/>
        <w:rPr>
          <w:rFonts w:ascii="Arial" w:cs="Arial" w:eastAsia="Arial" w:hAnsi="Arial"/>
          <w:sz w:val="18"/>
          <w:szCs w:val="18"/>
          <w:color w:val="auto"/>
        </w:rPr>
      </w:pPr>
    </w:p>
    <w:p>
      <w:pPr>
        <w:ind w:left="780" w:hanging="264"/>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37" w:lineRule="exact"/>
        <w:rPr>
          <w:rFonts w:ascii="Arial" w:cs="Arial" w:eastAsia="Arial" w:hAnsi="Arial"/>
          <w:sz w:val="16"/>
          <w:szCs w:val="16"/>
          <w:color w:val="auto"/>
        </w:rPr>
      </w:pPr>
    </w:p>
    <w:p>
      <w:pPr>
        <w:ind w:left="780" w:hanging="264"/>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 and</w:t>
      </w:r>
    </w:p>
    <w:p>
      <w:pPr>
        <w:spacing w:after="0" w:line="114" w:lineRule="exact"/>
        <w:rPr>
          <w:rFonts w:ascii="Arial" w:cs="Arial" w:eastAsia="Arial" w:hAnsi="Arial"/>
          <w:sz w:val="18"/>
          <w:szCs w:val="18"/>
          <w:color w:val="auto"/>
        </w:rPr>
      </w:pPr>
    </w:p>
    <w:p>
      <w:pPr>
        <w:ind w:left="780" w:hanging="264"/>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When reviewing compensation, the Compensation Committee evaluates the pay structure in two primary ways: “total cash compensation” and “total direct compensation.” Total cash compensation consists of an executive’s base salary and annual performance-based cash incentive award, which is tied to our annual performance targets. Total direct compensation consists of total cash compensation plus target long-term incentive awards. Our current long-term incentives are designed to reward the achievement of our long-term financial objectives, such as increasing revenue and EBITDA, which we believe is aligned with stockholder returns.</w:t>
      </w:r>
    </w:p>
    <w:p>
      <w:pPr>
        <w:spacing w:after="0" w:line="19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executive compensation program is designed to balance the mix of short- and long-term compensation in order to ensure adequate base compensation and annual incentive opportunities to attract and retain executive talent, while providing meaningful incentives for our executives to create long-term value for our Company and our stockholders. Every year, we assess the effectiveness of our compensation plans and are continually working to strengthen our overall compensation program. We also evaluate the financial metrics that we use to measure performance and compare them to those used by our peers. Performance targets under our annual incentive plans may change year-to-year as a result of this continuous review.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5" w:lineRule="exact"/>
        <w:rPr>
          <w:sz w:val="20"/>
          <w:szCs w:val="20"/>
          <w:color w:val="auto"/>
        </w:rPr>
      </w:pPr>
    </w:p>
    <w:p>
      <w:pPr>
        <w:jc w:val="both"/>
        <w:ind w:right="360"/>
        <w:spacing w:after="0" w:line="282"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without Board or management approval, to assist in carrying out its duties, including the evaluation of compensation to be paid to our Named Executive Officers. The Compensation Committee may accept, reject or modify any recommendations by compensation consultants or other outside advisors.</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Compensation Committee periodically consults with Sibson Consulting, an independent firm which specializes in benefits and compensation, to advise the Compensation Committee on the structure and competitiveness of our executive compensation program compared to our peer group. The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Sibson Consulting analyzed compensation and benefits for all of our Named Executive Officers in fiscal 2011 and provided an updated review in January 2012 and again for Mr. Levin in the Spring of 2014 with respect to his compensation and benefits for fiscal 2014. For each of the past three fiscal years, Sibson Consulting has also worked with the Compensation Committee on updating and revising our current annual incentive and long−term incentive plans. Sibson Consulting continues to work with the Compensation Committee on an on-going basis to ensure that the Company’s compensation program remains in line with our peer group as well as with our own business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Committee’s overall goal is for CEO total direct compensation to fall within the median of our peer group. This</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 may differ, however, depending on an individual’s qualifications, role content and scope, overall responsibility, past performance and experience, the demand for individuals with the executive’s specific expertise, the Company’s achievement of our financial objectives and the CEO’s contribution to such achievement, among other criteria.</w:t>
      </w:r>
    </w:p>
    <w:p>
      <w:pPr>
        <w:spacing w:after="0" w:line="18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Compensation Committee is directly responsible for determining the compensation paid to our CEO. The Compensation Committee, working with Sibson Consulting, compares each element of compensation to published survey data and proxy data from our peer group for executives with comparable positions and responsibilities.</w:t>
      </w:r>
    </w:p>
    <w:p>
      <w:pPr>
        <w:spacing w:after="0" w:line="18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For our senior executives other than our CEO, the Compensation Committee’s overall objective is to provide them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base salary that is within our peer median, while also providing them with an opportunity for short- and long-term compensation if our Company meets or exceeds its financial targets, such as EBITDA and operating margins.</w:t>
      </w:r>
    </w:p>
    <w:p>
      <w:pPr>
        <w:spacing w:after="0" w:line="77" w:lineRule="exact"/>
        <w:rPr>
          <w:sz w:val="20"/>
          <w:szCs w:val="20"/>
          <w:color w:val="auto"/>
        </w:rPr>
      </w:pPr>
    </w:p>
    <w:p>
      <w:pPr>
        <w:jc w:val="both"/>
        <w:ind w:right="160"/>
        <w:spacing w:after="0" w:line="283" w:lineRule="auto"/>
        <w:rPr>
          <w:sz w:val="20"/>
          <w:szCs w:val="20"/>
          <w:color w:val="auto"/>
        </w:rPr>
      </w:pPr>
      <w:r>
        <w:rPr>
          <w:rFonts w:ascii="Arial" w:cs="Arial" w:eastAsia="Arial" w:hAnsi="Arial"/>
          <w:sz w:val="16"/>
          <w:szCs w:val="16"/>
          <w:color w:val="auto"/>
        </w:rPr>
        <w:t>Our CEO and our Senior Vice President of Human Resources are primarily responsible for determining the compensation paid to our other Named Executive Officers, subject to any input the Compensation Committee may provide. For benchmarking purposes, several published industry compensation surveys are utilized when determining compensation packages for our other Named Executive Officers. Through our subscriptions with PayFactors, Salary.com and the National Retail Federation, we have access to the latest compensation data, which includes both base salary and total compensation, inclusive of incentives.</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for a senior management position, we will also benchmark against larger or more complex business structures to ensure we attract and retain the best talent to support future growth. A combination of performance, achievement of goals and survey data, among other criteria, is used to determine each Named Executive Officer’s total direct compensation opportunity. Like our CEO, our other Named Executive Officers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6"/>
          <w:szCs w:val="16"/>
          <w:i w:val="1"/>
          <w:iCs w:val="1"/>
          <w:color w:val="auto"/>
        </w:rPr>
        <w:t>Compensation Components, Fiscal 2015 Compensation Decisions, 2016 Annual Incentive Plan Targets</w:t>
      </w:r>
      <w:r>
        <w:rPr>
          <w:rFonts w:ascii="Arial" w:cs="Arial" w:eastAsia="Arial" w:hAnsi="Arial"/>
          <w:sz w:val="16"/>
          <w:szCs w:val="16"/>
          <w:color w:val="auto"/>
        </w:rPr>
        <w:t xml:space="preserve"> </w:t>
      </w:r>
      <w:r>
        <w:rPr>
          <w:rFonts w:ascii="Arial" w:cs="Arial" w:eastAsia="Arial" w:hAnsi="Arial"/>
          <w:sz w:val="16"/>
          <w:szCs w:val="16"/>
          <w:i w:val="1"/>
          <w:iCs w:val="1"/>
          <w:color w:val="auto"/>
        </w:rPr>
        <w:t>and Long-Term Incentive Program – Performance–based annual cash incentive plan” and “ – Long-term incentive plans</w:t>
      </w:r>
      <w:r>
        <w:rPr>
          <w:rFonts w:ascii="Arial" w:cs="Arial" w:eastAsia="Arial" w:hAnsi="Arial"/>
          <w:sz w:val="16"/>
          <w:szCs w:val="16"/>
          <w:color w:val="auto"/>
        </w:rPr>
        <w: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for fiscal 2015, we chose public companies within the specialty retail apparel business with comparable sales and market capitalization. For fiscal 2015, Body Central Corp., Cache, Inc. and dELiA*s were removed from the Company’s peer group because each has ceased operations and no new peers were added until fiscal 2016. The companies in the fiscal 2015 peer group are listed below.</w:t>
      </w:r>
    </w:p>
    <w:p>
      <w:pPr>
        <w:spacing w:after="0" w:line="189" w:lineRule="exact"/>
        <w:rPr>
          <w:sz w:val="20"/>
          <w:szCs w:val="20"/>
          <w:color w:val="auto"/>
        </w:rPr>
      </w:pPr>
    </w:p>
    <w:tbl>
      <w:tblPr>
        <w:tblLayout w:type="fixed"/>
        <w:tblInd w:w="2240" w:type="dxa"/>
        <w:tblCellMar>
          <w:top w:w="0" w:type="dxa"/>
          <w:left w:w="0" w:type="dxa"/>
          <w:bottom w:w="0" w:type="dxa"/>
          <w:right w:w="0" w:type="dxa"/>
        </w:tblCellMar>
      </w:tblPr>
      <w:tr>
        <w:trPr>
          <w:trHeight w:val="227"/>
        </w:trPr>
        <w:tc>
          <w:tcPr>
            <w:tcW w:w="1900" w:type="dxa"/>
            <w:vAlign w:val="bottom"/>
          </w:tcPr>
          <w:p>
            <w:pPr>
              <w:spacing w:after="0"/>
              <w:rPr>
                <w:sz w:val="20"/>
                <w:szCs w:val="20"/>
                <w:color w:val="auto"/>
              </w:rPr>
            </w:pPr>
            <w:r>
              <w:rPr>
                <w:rFonts w:ascii="Arial" w:cs="Arial" w:eastAsia="Arial" w:hAnsi="Arial"/>
                <w:sz w:val="18"/>
                <w:szCs w:val="18"/>
                <w:color w:val="auto"/>
              </w:rPr>
              <w:t>·bebe, inc.</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Citi Trends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w w:val="89"/>
              </w:rPr>
              <w:t>Pacific Sunwear</w:t>
            </w:r>
          </w:p>
        </w:tc>
      </w:tr>
      <w:tr>
        <w:trPr>
          <w:trHeight w:val="322"/>
        </w:trPr>
        <w:tc>
          <w:tcPr>
            <w:tcW w:w="1900" w:type="dxa"/>
            <w:vAlign w:val="bottom"/>
          </w:tcPr>
          <w:p>
            <w:pPr>
              <w:spacing w:after="0"/>
              <w:rPr>
                <w:sz w:val="20"/>
                <w:szCs w:val="20"/>
                <w:color w:val="auto"/>
              </w:rPr>
            </w:pPr>
            <w:r>
              <w:rPr>
                <w:rFonts w:ascii="Arial" w:cs="Arial" w:eastAsia="Arial" w:hAnsi="Arial"/>
                <w:sz w:val="18"/>
                <w:szCs w:val="18"/>
                <w:color w:val="auto"/>
              </w:rPr>
              <w:t>·Big 5 Sporting Goods</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Destination Maternity</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Sport Chalet</w:t>
            </w:r>
          </w:p>
        </w:tc>
      </w:tr>
      <w:tr>
        <w:trPr>
          <w:trHeight w:val="322"/>
        </w:trPr>
        <w:tc>
          <w:tcPr>
            <w:tcW w:w="1900" w:type="dxa"/>
            <w:vAlign w:val="bottom"/>
          </w:tcPr>
          <w:p>
            <w:pPr>
              <w:spacing w:after="0"/>
              <w:rPr>
                <w:sz w:val="20"/>
                <w:szCs w:val="20"/>
                <w:color w:val="auto"/>
              </w:rPr>
            </w:pPr>
            <w:r>
              <w:rPr>
                <w:rFonts w:ascii="Arial" w:cs="Arial" w:eastAsia="Arial" w:hAnsi="Arial"/>
                <w:sz w:val="18"/>
                <w:szCs w:val="18"/>
                <w:color w:val="auto"/>
              </w:rPr>
              <w:t>·The Buckle</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Hibbett Sports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Wet Seal</w:t>
            </w:r>
          </w:p>
        </w:tc>
      </w:tr>
      <w:tr>
        <w:trPr>
          <w:trHeight w:val="322"/>
        </w:trPr>
        <w:tc>
          <w:tcPr>
            <w:tcW w:w="1900" w:type="dxa"/>
            <w:vAlign w:val="bottom"/>
          </w:tcPr>
          <w:p>
            <w:pPr>
              <w:spacing w:after="0"/>
              <w:rPr>
                <w:sz w:val="20"/>
                <w:szCs w:val="20"/>
                <w:color w:val="auto"/>
              </w:rPr>
            </w:pPr>
            <w:r>
              <w:rPr>
                <w:rFonts w:ascii="Arial" w:cs="Arial" w:eastAsia="Arial" w:hAnsi="Arial"/>
                <w:sz w:val="18"/>
                <w:szCs w:val="18"/>
                <w:color w:val="auto"/>
              </w:rPr>
              <w:t>·Cato Group</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Kirkland’s, Inc.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Zumiez, Inc.</w:t>
            </w:r>
          </w:p>
        </w:tc>
      </w:tr>
      <w:tr>
        <w:trPr>
          <w:trHeight w:val="322"/>
        </w:trPr>
        <w:tc>
          <w:tcPr>
            <w:tcW w:w="1900" w:type="dxa"/>
            <w:vAlign w:val="bottom"/>
          </w:tcPr>
          <w:p>
            <w:pPr>
              <w:spacing w:after="0"/>
              <w:rPr>
                <w:sz w:val="20"/>
                <w:szCs w:val="20"/>
                <w:color w:val="auto"/>
              </w:rPr>
            </w:pPr>
            <w:r>
              <w:rPr>
                <w:rFonts w:ascii="Arial" w:cs="Arial" w:eastAsia="Arial" w:hAnsi="Arial"/>
                <w:sz w:val="18"/>
                <w:szCs w:val="18"/>
                <w:color w:val="auto"/>
              </w:rPr>
              <w:t>·Christopher &amp; Banks</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MarineMax, Inc.</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6" w:lineRule="exact"/>
        <w:rPr>
          <w:sz w:val="20"/>
          <w:szCs w:val="20"/>
          <w:color w:val="auto"/>
        </w:rPr>
      </w:pPr>
    </w:p>
    <w:p>
      <w:pPr>
        <w:ind w:left="760" w:right="220" w:hanging="378"/>
        <w:spacing w:after="0" w:line="289"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fiscal 2016, Sport Chalet and Wet Seal were removed due to bankruptcies and the Company added Sportsman’s Warehouse, Tilly’s, Inc., Boot Barn Holdings, Inc., Blue Nile, Inc. and Build-A-Bear Workshop,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Components, Fiscal 2015 Compensation Decisions, 2016 Annual Incentive Plan Targets and Long-Term Incentive Program</w:t>
      </w:r>
    </w:p>
    <w:p>
      <w:pPr>
        <w:spacing w:after="0" w:line="130"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Our executive compensation philosophy emphasizes the shared responsibility of our executive officers for the Company’s financial performance. Accordingly, the compensation of our Named Executive Officers, in particular our CEO, is heavily weighted toward “at risk,” performance-based compensation.</w:t>
      </w:r>
    </w:p>
    <w:p>
      <w:pPr>
        <w:spacing w:after="0" w:line="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and annual performance-based cash incentives and long-term incentives (“at-risk compensation”). Although the performance period under our current 2013-2016 LTIP covers a four-year period with no annual performance-based payout,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5580380" cy="1675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0380"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Because the 2013-2016 LTIP is a four-year performance-based plan, the annual weight of the LTIP to total compensation is based on the potential payout at target divided by four years.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5" w:lineRule="exact"/>
        <w:rPr>
          <w:sz w:val="20"/>
          <w:szCs w:val="20"/>
          <w:color w:val="auto"/>
        </w:rPr>
      </w:pPr>
    </w:p>
    <w:p>
      <w:pPr>
        <w:ind w:left="780" w:hanging="264"/>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4" w:lineRule="exact"/>
        <w:rPr>
          <w:rFonts w:ascii="Arial" w:cs="Arial" w:eastAsia="Arial" w:hAnsi="Arial"/>
          <w:sz w:val="18"/>
          <w:szCs w:val="18"/>
          <w:color w:val="auto"/>
        </w:rPr>
      </w:pPr>
    </w:p>
    <w:p>
      <w:pPr>
        <w:ind w:left="780" w:right="40"/>
        <w:spacing w:after="0" w:line="335" w:lineRule="auto"/>
        <w:rPr>
          <w:rFonts w:ascii="Arial" w:cs="Arial" w:eastAsia="Arial" w:hAnsi="Arial"/>
          <w:sz w:val="18"/>
          <w:szCs w:val="18"/>
          <w:color w:val="auto"/>
        </w:rPr>
      </w:pPr>
      <w:r>
        <w:rPr>
          <w:rFonts w:ascii="Arial" w:cs="Arial" w:eastAsia="Arial" w:hAnsi="Arial"/>
          <w:sz w:val="16"/>
          <w:szCs w:val="16"/>
          <w:color w:val="auto"/>
        </w:rPr>
        <w:t>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22" w:lineRule="exact"/>
        <w:rPr>
          <w:rFonts w:ascii="Arial" w:cs="Arial" w:eastAsia="Arial" w:hAnsi="Arial"/>
          <w:sz w:val="18"/>
          <w:szCs w:val="18"/>
          <w:color w:val="auto"/>
        </w:rPr>
      </w:pPr>
    </w:p>
    <w:p>
      <w:pPr>
        <w:ind w:left="780" w:right="160"/>
        <w:spacing w:after="0" w:line="256"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81" w:lineRule="exact"/>
        <w:rPr>
          <w:rFonts w:ascii="Arial" w:cs="Arial" w:eastAsia="Arial" w:hAnsi="Arial"/>
          <w:sz w:val="18"/>
          <w:szCs w:val="18"/>
          <w:color w:val="auto"/>
        </w:rPr>
      </w:pPr>
    </w:p>
    <w:p>
      <w:pPr>
        <w:ind w:left="780" w:right="100"/>
        <w:spacing w:after="0" w:line="272" w:lineRule="auto"/>
        <w:rPr>
          <w:rFonts w:ascii="Arial" w:cs="Arial" w:eastAsia="Arial" w:hAnsi="Arial"/>
          <w:sz w:val="18"/>
          <w:szCs w:val="18"/>
          <w:color w:val="auto"/>
        </w:rPr>
      </w:pPr>
      <w:r>
        <w:rPr>
          <w:rFonts w:ascii="Arial" w:cs="Arial" w:eastAsia="Arial" w:hAnsi="Arial"/>
          <w:sz w:val="17"/>
          <w:szCs w:val="17"/>
          <w:color w:val="auto"/>
        </w:rPr>
        <w:t>As mentioned above, the Compensation Committee reviews our CEO’s overall compensation and expects the CEO’s base salary to fall in a range that is within the peer median, with approximately one-third of his total direct compensation to be in the form of base salary. In making base salary decisions for our other Named Executive Officers, our CEO, working with our Senior Vice President of Human Resources, relies on published industry compensation surveys and targets the market median range. Any recommended change in the base salary of our other Named Executives Officers is subject to the review and approval of the Compensation Committee.</w:t>
      </w:r>
    </w:p>
    <w:p>
      <w:pPr>
        <w:spacing w:after="0" w:line="71" w:lineRule="exact"/>
        <w:rPr>
          <w:rFonts w:ascii="Arial" w:cs="Arial" w:eastAsia="Arial" w:hAnsi="Arial"/>
          <w:sz w:val="18"/>
          <w:szCs w:val="18"/>
          <w:color w:val="auto"/>
        </w:rPr>
      </w:pPr>
    </w:p>
    <w:p>
      <w:pPr>
        <w:ind w:left="780" w:right="100"/>
        <w:spacing w:after="0" w:line="260" w:lineRule="auto"/>
        <w:rPr>
          <w:rFonts w:ascii="Arial" w:cs="Arial" w:eastAsia="Arial" w:hAnsi="Arial"/>
          <w:sz w:val="18"/>
          <w:szCs w:val="18"/>
          <w:color w:val="auto"/>
        </w:rPr>
      </w:pPr>
      <w:r>
        <w:rPr>
          <w:rFonts w:ascii="Arial" w:cs="Arial" w:eastAsia="Arial" w:hAnsi="Arial"/>
          <w:sz w:val="18"/>
          <w:szCs w:val="18"/>
          <w:color w:val="auto"/>
        </w:rPr>
        <w:t>The Compensation Committee most recently requested of Sibson Consulting to have Mr. Levin’s total direct compensation reviewed in April 2014, at which time the Compensation Committee determined no compensation adjustments were needed. The Compensation Committee believes that Mr. Levin’s salary continues to be competitive and within our peer median.</w:t>
      </w:r>
    </w:p>
    <w:p>
      <w:pPr>
        <w:spacing w:after="0" w:line="7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following is a summary of each Named Executive Officer’s base salary, as of each fiscal year’s annual review: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20" w:type="dxa"/>
            <w:vAlign w:val="bottom"/>
          </w:tcPr>
          <w:p>
            <w:pPr>
              <w:jc w:val="right"/>
              <w:ind w:right="1011"/>
              <w:spacing w:after="0"/>
              <w:rPr>
                <w:sz w:val="20"/>
                <w:szCs w:val="20"/>
                <w:color w:val="auto"/>
              </w:rPr>
            </w:pPr>
            <w:r>
              <w:rPr>
                <w:rFonts w:ascii="Arial" w:cs="Arial" w:eastAsia="Arial" w:hAnsi="Arial"/>
                <w:sz w:val="18"/>
                <w:szCs w:val="18"/>
                <w:color w:val="auto"/>
              </w:rPr>
              <w:t>Fiscal 2016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80" w:type="dxa"/>
            <w:vAlign w:val="bottom"/>
            <w:gridSpan w:val="2"/>
          </w:tcPr>
          <w:p>
            <w:pPr>
              <w:ind w:left="420"/>
              <w:spacing w:after="0"/>
              <w:rPr>
                <w:sz w:val="20"/>
                <w:szCs w:val="20"/>
                <w:color w:val="auto"/>
              </w:rPr>
            </w:pPr>
            <w:r>
              <w:rPr>
                <w:rFonts w:ascii="Arial" w:cs="Arial" w:eastAsia="Arial" w:hAnsi="Arial"/>
                <w:sz w:val="18"/>
                <w:szCs w:val="18"/>
                <w:color w:val="auto"/>
              </w:rPr>
              <w:t>Fiscal 2015</w:t>
            </w:r>
          </w:p>
        </w:tc>
        <w:tc>
          <w:tcPr>
            <w:tcW w:w="1760" w:type="dxa"/>
            <w:vAlign w:val="bottom"/>
            <w:gridSpan w:val="2"/>
          </w:tcPr>
          <w:p>
            <w:pPr>
              <w:spacing w:after="0"/>
              <w:rPr>
                <w:sz w:val="20"/>
                <w:szCs w:val="20"/>
                <w:color w:val="auto"/>
              </w:rPr>
            </w:pPr>
            <w:r>
              <w:rPr>
                <w:rFonts w:ascii="Arial" w:cs="Arial" w:eastAsia="Arial" w:hAnsi="Arial"/>
                <w:sz w:val="18"/>
                <w:szCs w:val="18"/>
                <w:color w:val="auto"/>
              </w:rPr>
              <w:t>% change</w:t>
            </w:r>
          </w:p>
        </w:tc>
      </w:tr>
      <w:tr>
        <w:trPr>
          <w:trHeight w:val="222"/>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 (1)</w:t>
            </w:r>
          </w:p>
        </w:tc>
        <w:tc>
          <w:tcPr>
            <w:tcW w:w="600" w:type="dxa"/>
            <w:vAlign w:val="bottom"/>
            <w:tcBorders>
              <w:top w:val="single" w:sz="8" w:color="auto"/>
            </w:tcBorders>
            <w:shd w:val="clear" w:color="auto" w:fill="CFF0FC"/>
          </w:tcPr>
          <w:p>
            <w:pPr>
              <w:jc w:val="right"/>
              <w:ind w:right="411"/>
              <w:spacing w:after="0"/>
              <w:rPr>
                <w:sz w:val="20"/>
                <w:szCs w:val="20"/>
                <w:color w:val="auto"/>
              </w:rPr>
            </w:pPr>
            <w:r>
              <w:rPr>
                <w:rFonts w:ascii="Arial" w:cs="Arial" w:eastAsia="Arial" w:hAnsi="Arial"/>
                <w:sz w:val="18"/>
                <w:szCs w:val="18"/>
                <w:color w:val="auto"/>
                <w:w w:val="79"/>
              </w:rPr>
              <w:t>$</w:t>
            </w:r>
          </w:p>
        </w:tc>
        <w:tc>
          <w:tcPr>
            <w:tcW w:w="2420" w:type="dxa"/>
            <w:vAlign w:val="bottom"/>
            <w:tcBorders>
              <w:top w:val="single" w:sz="8" w:color="auto"/>
            </w:tcBorders>
            <w:shd w:val="clear" w:color="auto" w:fill="CFF0FC"/>
          </w:tcPr>
          <w:p>
            <w:pPr>
              <w:jc w:val="right"/>
              <w:ind w:right="1091"/>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1"/>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Peter H. Stratton, Jr. (2)</w:t>
            </w: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2420" w:type="dxa"/>
            <w:vAlign w:val="bottom"/>
          </w:tcPr>
          <w:p>
            <w:pPr>
              <w:jc w:val="right"/>
              <w:ind w:right="1091"/>
              <w:spacing w:after="0"/>
              <w:rPr>
                <w:sz w:val="20"/>
                <w:szCs w:val="20"/>
                <w:color w:val="auto"/>
              </w:rPr>
            </w:pPr>
            <w:r>
              <w:rPr>
                <w:rFonts w:ascii="Arial" w:cs="Arial" w:eastAsia="Arial" w:hAnsi="Arial"/>
                <w:sz w:val="18"/>
                <w:szCs w:val="18"/>
                <w:color w:val="auto"/>
              </w:rPr>
              <w:t>355,000</w:t>
            </w:r>
          </w:p>
        </w:tc>
        <w:tc>
          <w:tcPr>
            <w:tcW w:w="62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931"/>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9"/>
                <w:szCs w:val="19"/>
                <w:color w:val="auto"/>
              </w:rPr>
            </w:pPr>
          </w:p>
        </w:tc>
        <w:tc>
          <w:tcPr>
            <w:tcW w:w="1660" w:type="dxa"/>
            <w:vAlign w:val="bottom"/>
          </w:tcPr>
          <w:p>
            <w:pPr>
              <w:jc w:val="center"/>
              <w:ind w:left="11"/>
              <w:spacing w:after="0"/>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19"/>
                <w:szCs w:val="19"/>
                <w:color w:val="auto"/>
              </w:rPr>
            </w:pP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600" w:type="dxa"/>
            <w:vAlign w:val="bottom"/>
            <w:shd w:val="clear" w:color="auto" w:fill="CFF0FC"/>
          </w:tcPr>
          <w:p>
            <w:pPr>
              <w:jc w:val="right"/>
              <w:ind w:right="411"/>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FF0FC"/>
          </w:tcPr>
          <w:p>
            <w:pPr>
              <w:jc w:val="right"/>
              <w:ind w:right="1091"/>
              <w:spacing w:after="0"/>
              <w:rPr>
                <w:sz w:val="20"/>
                <w:szCs w:val="20"/>
                <w:color w:val="auto"/>
              </w:rPr>
            </w:pPr>
            <w:r>
              <w:rPr>
                <w:rFonts w:ascii="Arial" w:cs="Arial" w:eastAsia="Arial" w:hAnsi="Arial"/>
                <w:sz w:val="18"/>
                <w:szCs w:val="18"/>
                <w:color w:val="auto"/>
              </w:rPr>
              <w:t>390,000</w:t>
            </w:r>
          </w:p>
        </w:tc>
        <w:tc>
          <w:tcPr>
            <w:tcW w:w="620" w:type="dxa"/>
            <w:vAlign w:val="bottom"/>
            <w:gridSpan w:val="2"/>
            <w:shd w:val="clear" w:color="auto" w:fill="CFF0FC"/>
          </w:tcPr>
          <w:p>
            <w:pPr>
              <w:jc w:val="right"/>
              <w:ind w:right="331"/>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931"/>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Robert S. Molloy (3)</w:t>
            </w: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2420" w:type="dxa"/>
            <w:vAlign w:val="bottom"/>
          </w:tcPr>
          <w:p>
            <w:pPr>
              <w:jc w:val="right"/>
              <w:ind w:right="1091"/>
              <w:spacing w:after="0"/>
              <w:rPr>
                <w:sz w:val="20"/>
                <w:szCs w:val="20"/>
                <w:color w:val="auto"/>
              </w:rPr>
            </w:pPr>
            <w:r>
              <w:rPr>
                <w:rFonts w:ascii="Arial" w:cs="Arial" w:eastAsia="Arial" w:hAnsi="Arial"/>
                <w:sz w:val="18"/>
                <w:szCs w:val="18"/>
                <w:color w:val="auto"/>
              </w:rPr>
              <w:t>345,000</w:t>
            </w:r>
          </w:p>
        </w:tc>
        <w:tc>
          <w:tcPr>
            <w:tcW w:w="62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931"/>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1660" w:type="dxa"/>
            <w:vAlign w:val="bottom"/>
          </w:tcPr>
          <w:p>
            <w:pPr>
              <w:jc w:val="center"/>
              <w:ind w:left="11"/>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9"/>
                <w:szCs w:val="19"/>
                <w:color w:val="auto"/>
              </w:rPr>
            </w:pP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600" w:type="dxa"/>
            <w:vAlign w:val="bottom"/>
            <w:shd w:val="clear" w:color="auto" w:fill="CFF0FC"/>
          </w:tcPr>
          <w:p>
            <w:pPr>
              <w:jc w:val="right"/>
              <w:ind w:right="411"/>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FF0FC"/>
          </w:tcPr>
          <w:p>
            <w:pPr>
              <w:jc w:val="right"/>
              <w:ind w:right="1091"/>
              <w:spacing w:after="0"/>
              <w:rPr>
                <w:sz w:val="20"/>
                <w:szCs w:val="20"/>
                <w:color w:val="auto"/>
              </w:rPr>
            </w:pPr>
            <w:r>
              <w:rPr>
                <w:rFonts w:ascii="Arial" w:cs="Arial" w:eastAsia="Arial" w:hAnsi="Arial"/>
                <w:sz w:val="18"/>
                <w:szCs w:val="18"/>
                <w:color w:val="auto"/>
              </w:rPr>
              <w:t>300,000</w:t>
            </w:r>
          </w:p>
        </w:tc>
        <w:tc>
          <w:tcPr>
            <w:tcW w:w="620" w:type="dxa"/>
            <w:vAlign w:val="bottom"/>
            <w:gridSpan w:val="2"/>
            <w:shd w:val="clear" w:color="auto" w:fill="CFF0FC"/>
          </w:tcPr>
          <w:p>
            <w:pPr>
              <w:jc w:val="right"/>
              <w:ind w:right="331"/>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931"/>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bl>
    <w:p>
      <w:pPr>
        <w:spacing w:after="0" w:line="93" w:lineRule="exact"/>
        <w:rPr>
          <w:sz w:val="20"/>
          <w:szCs w:val="20"/>
          <w:color w:val="auto"/>
        </w:rPr>
      </w:pPr>
    </w:p>
    <w:p>
      <w:pPr>
        <w:ind w:left="1140" w:right="360" w:hanging="369"/>
        <w:spacing w:after="0" w:line="255"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Levin has not received an increase in base salary since fiscal 2010. Any increase in total compensation has resulted from performance-based incentive programs.</w:t>
      </w:r>
    </w:p>
    <w:p>
      <w:pPr>
        <w:spacing w:after="0" w:line="1" w:lineRule="exact"/>
        <w:rPr>
          <w:rFonts w:ascii="Arial" w:cs="Arial" w:eastAsia="Arial" w:hAnsi="Arial"/>
          <w:sz w:val="18"/>
          <w:szCs w:val="18"/>
          <w:color w:val="auto"/>
        </w:rPr>
      </w:pPr>
    </w:p>
    <w:p>
      <w:pPr>
        <w:ind w:left="1140" w:hanging="369"/>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Stratton received a salary adjustment of 25% for fiscal 2016 to align his base salary with our peer group.</w:t>
      </w:r>
    </w:p>
    <w:p>
      <w:pPr>
        <w:spacing w:after="0" w:line="7" w:lineRule="exact"/>
        <w:rPr>
          <w:rFonts w:ascii="Arial" w:cs="Arial" w:eastAsia="Arial" w:hAnsi="Arial"/>
          <w:sz w:val="18"/>
          <w:szCs w:val="18"/>
          <w:color w:val="auto"/>
        </w:rPr>
      </w:pPr>
    </w:p>
    <w:p>
      <w:pPr>
        <w:ind w:left="1140" w:hanging="369"/>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Molloy received a salary adjustment of 3% for fiscal 2016 to align his base salary with our peer group.</w:t>
      </w:r>
    </w:p>
    <w:p>
      <w:pPr>
        <w:spacing w:after="0" w:line="115" w:lineRule="exact"/>
        <w:rPr>
          <w:rFonts w:ascii="Arial" w:cs="Arial" w:eastAsia="Arial" w:hAnsi="Arial"/>
          <w:sz w:val="18"/>
          <w:szCs w:val="18"/>
          <w:color w:val="auto"/>
        </w:rPr>
      </w:pPr>
    </w:p>
    <w:p>
      <w:pPr>
        <w:ind w:left="780" w:hanging="264"/>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 plan (AIP)</w:t>
      </w:r>
    </w:p>
    <w:p>
      <w:pPr>
        <w:spacing w:after="0" w:line="221" w:lineRule="exact"/>
        <w:rPr>
          <w:rFonts w:ascii="Arial" w:cs="Arial" w:eastAsia="Arial" w:hAnsi="Arial"/>
          <w:sz w:val="18"/>
          <w:szCs w:val="18"/>
          <w:color w:val="auto"/>
        </w:rPr>
      </w:pPr>
    </w:p>
    <w:p>
      <w:pPr>
        <w:ind w:left="760" w:right="20"/>
        <w:spacing w:after="0" w:line="254"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AIP provides for an annual performance-based cash incentive opportunity for all executives as well as select non-executive employees. The Compensation Committee believes that an executive’s annual compensation package should include a cash incentive component to provide an additional incentive for the executive to help the Company achieve its annual financial goals, which ultimately benefits our stockholders.</w:t>
      </w:r>
    </w:p>
    <w:p>
      <w:pPr>
        <w:spacing w:after="0" w:line="83" w:lineRule="exact"/>
        <w:rPr>
          <w:rFonts w:ascii="Arial" w:cs="Arial" w:eastAsia="Arial" w:hAnsi="Arial"/>
          <w:sz w:val="18"/>
          <w:szCs w:val="18"/>
          <w:color w:val="auto"/>
        </w:rPr>
      </w:pPr>
    </w:p>
    <w:p>
      <w:pPr>
        <w:ind w:left="760" w:right="280"/>
        <w:spacing w:after="0" w:line="271" w:lineRule="auto"/>
        <w:rPr>
          <w:rFonts w:ascii="Arial" w:cs="Arial" w:eastAsia="Arial" w:hAnsi="Arial"/>
          <w:sz w:val="18"/>
          <w:szCs w:val="18"/>
          <w:color w:val="auto"/>
        </w:rPr>
      </w:pPr>
      <w:r>
        <w:rPr>
          <w:rFonts w:ascii="Arial" w:cs="Arial" w:eastAsia="Arial" w:hAnsi="Arial"/>
          <w:sz w:val="18"/>
          <w:szCs w:val="18"/>
          <w:color w:val="auto"/>
        </w:rPr>
        <w:t>Mr. Levin’s participation in the annual incentive plan is at 100% of his annual salary, whereas our other Named Executive Officers’ participate at 40% of their respective salaries.</w:t>
      </w:r>
    </w:p>
    <w:p>
      <w:pPr>
        <w:spacing w:after="0" w:line="17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2015 AIP</w:t>
      </w:r>
    </w:p>
    <w:p>
      <w:pPr>
        <w:spacing w:after="0" w:line="221" w:lineRule="exact"/>
        <w:rPr>
          <w:rFonts w:ascii="Arial" w:cs="Arial" w:eastAsia="Arial" w:hAnsi="Arial"/>
          <w:sz w:val="18"/>
          <w:szCs w:val="18"/>
          <w:color w:val="auto"/>
        </w:rPr>
      </w:pPr>
    </w:p>
    <w:p>
      <w:pPr>
        <w:jc w:val="both"/>
        <w:ind w:left="760" w:right="200"/>
        <w:spacing w:after="0" w:line="282" w:lineRule="auto"/>
        <w:rPr>
          <w:rFonts w:ascii="Arial" w:cs="Arial" w:eastAsia="Arial" w:hAnsi="Arial"/>
          <w:sz w:val="18"/>
          <w:szCs w:val="18"/>
          <w:color w:val="auto"/>
        </w:rPr>
      </w:pPr>
      <w:r>
        <w:rPr>
          <w:rFonts w:ascii="Arial" w:cs="Arial" w:eastAsia="Arial" w:hAnsi="Arial"/>
          <w:sz w:val="17"/>
          <w:szCs w:val="17"/>
          <w:color w:val="auto"/>
        </w:rPr>
        <w:t>The metrics for achievement under our 2015 AIP reflected the Company’s primary financial goals of increasing top line revenues while protecting merchandise margin and managing expenses during our DXL transition. In addition, sales per square foot, comparable sales from our DXL stores and growth in our customer base were determined to be key metrics for our long-term profitability.</w:t>
      </w:r>
    </w:p>
    <w:p>
      <w:pPr>
        <w:spacing w:after="0" w:line="168" w:lineRule="exact"/>
        <w:rPr>
          <w:rFonts w:ascii="Arial" w:cs="Arial" w:eastAsia="Arial" w:hAnsi="Arial"/>
          <w:sz w:val="18"/>
          <w:szCs w:val="18"/>
          <w:color w:val="auto"/>
        </w:rPr>
      </w:pPr>
    </w:p>
    <w:p>
      <w:pPr>
        <w:ind w:left="760" w:right="60"/>
        <w:spacing w:after="0" w:line="256" w:lineRule="auto"/>
        <w:rPr>
          <w:rFonts w:ascii="Arial" w:cs="Arial" w:eastAsia="Arial" w:hAnsi="Arial"/>
          <w:sz w:val="18"/>
          <w:szCs w:val="18"/>
          <w:color w:val="auto"/>
        </w:rPr>
      </w:pPr>
      <w:r>
        <w:rPr>
          <w:rFonts w:ascii="Arial" w:cs="Arial" w:eastAsia="Arial" w:hAnsi="Arial"/>
          <w:sz w:val="18"/>
          <w:szCs w:val="18"/>
          <w:color w:val="auto"/>
        </w:rPr>
        <w:t>Our established targets for achieving a payout under the 2015 AIP show the rigor of our incentive compensation plans. Our sales target of $441.7 million represented an increase of 6.7% from actual sales in fiscal 2014 of $414.0 million, and our EBITDA target of $21.5 million represented a 41.4% increase over actual EBITDA in fiscal 2014. We were able to achieve, and in most cases, exceed our established targets in fiscal 2015, while opening 36 stores and closing 44 stores.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color w:val="auto"/>
        </w:rPr>
        <w:t>The 2015 AIP targets approved by the Compensation Committee and actual results against these targets are as follows: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Award %</w:t>
            </w:r>
          </w:p>
        </w:tc>
        <w:tc>
          <w:tcPr>
            <w:tcW w:w="1260" w:type="dxa"/>
            <w:vAlign w:val="bottom"/>
          </w:tcPr>
          <w:p>
            <w:pPr>
              <w:spacing w:after="0"/>
              <w:rPr>
                <w:sz w:val="19"/>
                <w:szCs w:val="19"/>
                <w:color w:val="auto"/>
              </w:rPr>
            </w:pPr>
          </w:p>
        </w:tc>
        <w:tc>
          <w:tcPr>
            <w:tcW w:w="2620" w:type="dxa"/>
            <w:vAlign w:val="bottom"/>
            <w:gridSpan w:val="2"/>
          </w:tcPr>
          <w:p>
            <w:pPr>
              <w:ind w:left="520"/>
              <w:spacing w:after="0"/>
              <w:rPr>
                <w:sz w:val="20"/>
                <w:szCs w:val="20"/>
                <w:color w:val="auto"/>
              </w:rPr>
            </w:pPr>
            <w:r>
              <w:rPr>
                <w:rFonts w:ascii="Arial" w:cs="Arial" w:eastAsia="Arial" w:hAnsi="Arial"/>
                <w:sz w:val="18"/>
                <w:szCs w:val="18"/>
                <w:i w:val="1"/>
                <w:iCs w:val="1"/>
                <w:color w:val="auto"/>
                <w:w w:val="94"/>
              </w:rPr>
              <w:t>2015 Annual Incentive Plan</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Attributable</w:t>
            </w:r>
          </w:p>
        </w:tc>
        <w:tc>
          <w:tcPr>
            <w:tcW w:w="3880" w:type="dxa"/>
            <w:vAlign w:val="bottom"/>
            <w:gridSpan w:val="3"/>
          </w:tcPr>
          <w:p>
            <w:pPr>
              <w:ind w:left="1080"/>
              <w:spacing w:after="0"/>
              <w:rPr>
                <w:sz w:val="20"/>
                <w:szCs w:val="20"/>
                <w:color w:val="auto"/>
              </w:rPr>
            </w:pPr>
            <w:r>
              <w:rPr>
                <w:rFonts w:ascii="Arial" w:cs="Arial" w:eastAsia="Arial" w:hAnsi="Arial"/>
                <w:sz w:val="18"/>
                <w:szCs w:val="18"/>
                <w:b w:val="1"/>
                <w:bCs w:val="1"/>
                <w:color w:val="auto"/>
              </w:rPr>
              <w:t>Minimum/Maximum</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Metric</w:t>
            </w:r>
          </w:p>
        </w:tc>
        <w:tc>
          <w:tcPr>
            <w:tcW w:w="1100" w:type="dxa"/>
            <w:vAlign w:val="bottom"/>
            <w:gridSpan w:val="3"/>
          </w:tcPr>
          <w:p>
            <w:pPr>
              <w:jc w:val="center"/>
              <w:spacing w:after="0" w:line="193" w:lineRule="exact"/>
              <w:rPr>
                <w:sz w:val="20"/>
                <w:szCs w:val="20"/>
                <w:color w:val="auto"/>
              </w:rPr>
            </w:pPr>
            <w:r>
              <w:rPr>
                <w:rFonts w:ascii="Arial" w:cs="Arial" w:eastAsia="Arial" w:hAnsi="Arial"/>
                <w:sz w:val="18"/>
                <w:szCs w:val="18"/>
                <w:b w:val="1"/>
                <w:bCs w:val="1"/>
                <w:color w:val="auto"/>
                <w:w w:val="90"/>
              </w:rPr>
              <w:t>to Target</w:t>
            </w:r>
          </w:p>
        </w:tc>
        <w:tc>
          <w:tcPr>
            <w:tcW w:w="3880" w:type="dxa"/>
            <w:vAlign w:val="bottom"/>
            <w:gridSpan w:val="3"/>
          </w:tcPr>
          <w:p>
            <w:pPr>
              <w:ind w:left="1260"/>
              <w:spacing w:after="0" w:line="193" w:lineRule="exact"/>
              <w:rPr>
                <w:sz w:val="20"/>
                <w:szCs w:val="20"/>
                <w:color w:val="auto"/>
              </w:rPr>
            </w:pPr>
            <w:r>
              <w:rPr>
                <w:rFonts w:ascii="Arial" w:cs="Arial" w:eastAsia="Arial" w:hAnsi="Arial"/>
                <w:sz w:val="18"/>
                <w:szCs w:val="18"/>
                <w:b w:val="1"/>
                <w:bCs w:val="1"/>
                <w:color w:val="auto"/>
              </w:rPr>
              <w:t>Potential Payout</w:t>
            </w:r>
          </w:p>
        </w:tc>
        <w:tc>
          <w:tcPr>
            <w:tcW w:w="180" w:type="dxa"/>
            <w:vAlign w:val="bottom"/>
          </w:tcPr>
          <w:p>
            <w:pPr>
              <w:spacing w:after="0"/>
              <w:rPr>
                <w:sz w:val="16"/>
                <w:szCs w:val="16"/>
                <w:color w:val="auto"/>
              </w:rPr>
            </w:pPr>
          </w:p>
        </w:tc>
        <w:tc>
          <w:tcPr>
            <w:tcW w:w="1120" w:type="dxa"/>
            <w:vAlign w:val="bottom"/>
            <w:gridSpan w:val="2"/>
          </w:tcPr>
          <w:p>
            <w:pPr>
              <w:jc w:val="center"/>
              <w:ind w:right="220"/>
              <w:spacing w:after="0" w:line="193" w:lineRule="exact"/>
              <w:rPr>
                <w:sz w:val="20"/>
                <w:szCs w:val="20"/>
                <w:color w:val="auto"/>
              </w:rPr>
            </w:pPr>
            <w:r>
              <w:rPr>
                <w:rFonts w:ascii="Arial" w:cs="Arial" w:eastAsia="Arial" w:hAnsi="Arial"/>
                <w:sz w:val="18"/>
                <w:szCs w:val="18"/>
                <w:b w:val="1"/>
                <w:bCs w:val="1"/>
                <w:color w:val="auto"/>
                <w:w w:val="89"/>
              </w:rPr>
              <w:t>2015 Target</w:t>
            </w:r>
          </w:p>
        </w:tc>
        <w:tc>
          <w:tcPr>
            <w:tcW w:w="260" w:type="dxa"/>
            <w:vAlign w:val="bottom"/>
          </w:tcPr>
          <w:p>
            <w:pPr>
              <w:spacing w:after="0"/>
              <w:rPr>
                <w:sz w:val="16"/>
                <w:szCs w:val="16"/>
                <w:color w:val="auto"/>
              </w:rPr>
            </w:pPr>
          </w:p>
        </w:tc>
        <w:tc>
          <w:tcPr>
            <w:tcW w:w="1480" w:type="dxa"/>
            <w:vAlign w:val="bottom"/>
            <w:gridSpan w:val="2"/>
          </w:tcPr>
          <w:p>
            <w:pPr>
              <w:jc w:val="center"/>
              <w:ind w:right="560"/>
              <w:spacing w:after="0" w:line="193" w:lineRule="exact"/>
              <w:rPr>
                <w:sz w:val="20"/>
                <w:szCs w:val="20"/>
                <w:color w:val="auto"/>
              </w:rPr>
            </w:pPr>
            <w:r>
              <w:rPr>
                <w:rFonts w:ascii="Arial" w:cs="Arial" w:eastAsia="Arial" w:hAnsi="Arial"/>
                <w:sz w:val="18"/>
                <w:szCs w:val="18"/>
                <w:b w:val="1"/>
                <w:bCs w:val="1"/>
                <w:color w:val="auto"/>
                <w:w w:val="91"/>
              </w:rPr>
              <w:t>2015 Actual</w:t>
            </w:r>
          </w:p>
        </w:tc>
        <w:tc>
          <w:tcPr>
            <w:tcW w:w="112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Payout %</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shd w:val="clear" w:color="auto" w:fill="CFF0FC"/>
          </w:tcPr>
          <w:p>
            <w:pPr>
              <w:spacing w:after="0" w:line="200" w:lineRule="exact"/>
              <w:rPr>
                <w:sz w:val="20"/>
                <w:szCs w:val="20"/>
                <w:color w:val="auto"/>
              </w:rPr>
            </w:pPr>
            <w:r>
              <w:rPr>
                <w:rFonts w:ascii="Arial" w:cs="Arial" w:eastAsia="Arial" w:hAnsi="Arial"/>
                <w:sz w:val="18"/>
                <w:szCs w:val="18"/>
                <w:b w:val="1"/>
                <w:bCs w:val="1"/>
                <w:color w:val="auto"/>
              </w:rPr>
              <w:t>Target 1</w:t>
            </w:r>
          </w:p>
        </w:tc>
        <w:tc>
          <w:tcPr>
            <w:tcW w:w="1280" w:type="dxa"/>
            <w:vAlign w:val="bottom"/>
            <w:gridSpan w:val="3"/>
            <w:shd w:val="clear" w:color="auto" w:fill="CFF0FC"/>
          </w:tcPr>
          <w:p>
            <w:pPr>
              <w:ind w:left="140"/>
              <w:spacing w:after="0" w:line="200" w:lineRule="exact"/>
              <w:rPr>
                <w:sz w:val="20"/>
                <w:szCs w:val="20"/>
                <w:color w:val="auto"/>
              </w:rPr>
            </w:pPr>
            <w:r>
              <w:rPr>
                <w:rFonts w:ascii="Arial" w:cs="Arial" w:eastAsia="Arial" w:hAnsi="Arial"/>
                <w:sz w:val="18"/>
                <w:szCs w:val="18"/>
                <w:color w:val="auto"/>
              </w:rPr>
              <w:t>Sales</w:t>
            </w:r>
          </w:p>
        </w:tc>
        <w:tc>
          <w:tcPr>
            <w:tcW w:w="900" w:type="dxa"/>
            <w:vAlign w:val="bottom"/>
            <w:gridSpan w:val="2"/>
            <w:shd w:val="clear" w:color="auto" w:fill="CFF0FC"/>
          </w:tcPr>
          <w:p>
            <w:pPr>
              <w:jc w:val="center"/>
              <w:ind w:left="111"/>
              <w:spacing w:after="0" w:line="200" w:lineRule="exact"/>
              <w:rPr>
                <w:sz w:val="20"/>
                <w:szCs w:val="20"/>
                <w:color w:val="auto"/>
              </w:rPr>
            </w:pPr>
            <w:r>
              <w:rPr>
                <w:rFonts w:ascii="Arial" w:cs="Arial" w:eastAsia="Arial" w:hAnsi="Arial"/>
                <w:sz w:val="18"/>
                <w:szCs w:val="18"/>
                <w:color w:val="auto"/>
                <w:w w:val="90"/>
              </w:rPr>
              <w:t>25.0%</w:t>
            </w:r>
          </w:p>
        </w:tc>
        <w:tc>
          <w:tcPr>
            <w:tcW w:w="20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60"/>
              <w:spacing w:after="0" w:line="200" w:lineRule="exact"/>
              <w:rPr>
                <w:sz w:val="20"/>
                <w:szCs w:val="20"/>
                <w:color w:val="auto"/>
              </w:rPr>
            </w:pPr>
            <w:r>
              <w:rPr>
                <w:rFonts w:ascii="Arial" w:cs="Arial" w:eastAsia="Arial" w:hAnsi="Arial"/>
                <w:sz w:val="18"/>
                <w:szCs w:val="18"/>
                <w:color w:val="auto"/>
              </w:rPr>
              <w:t>100% payout at set target, with 50% payout at</w:t>
            </w:r>
          </w:p>
        </w:tc>
        <w:tc>
          <w:tcPr>
            <w:tcW w:w="1300" w:type="dxa"/>
            <w:vAlign w:val="bottom"/>
            <w:gridSpan w:val="3"/>
            <w:shd w:val="clear" w:color="auto" w:fill="CFF0FC"/>
          </w:tcPr>
          <w:p>
            <w:pPr>
              <w:jc w:val="center"/>
              <w:ind w:right="20"/>
              <w:spacing w:after="0" w:line="200" w:lineRule="exact"/>
              <w:rPr>
                <w:sz w:val="20"/>
                <w:szCs w:val="20"/>
                <w:color w:val="auto"/>
              </w:rPr>
            </w:pPr>
            <w:r>
              <w:rPr>
                <w:rFonts w:ascii="Arial" w:cs="Arial" w:eastAsia="Arial" w:hAnsi="Arial"/>
                <w:sz w:val="18"/>
                <w:szCs w:val="18"/>
                <w:color w:val="auto"/>
                <w:w w:val="93"/>
              </w:rPr>
              <w:t>$441.7 million</w:t>
            </w:r>
          </w:p>
        </w:tc>
        <w:tc>
          <w:tcPr>
            <w:tcW w:w="1740" w:type="dxa"/>
            <w:vAlign w:val="bottom"/>
            <w:gridSpan w:val="3"/>
            <w:shd w:val="clear" w:color="auto" w:fill="CFF0FC"/>
          </w:tcPr>
          <w:p>
            <w:pPr>
              <w:jc w:val="center"/>
              <w:ind w:right="300"/>
              <w:spacing w:after="0" w:line="200" w:lineRule="exact"/>
              <w:rPr>
                <w:sz w:val="20"/>
                <w:szCs w:val="20"/>
                <w:color w:val="auto"/>
              </w:rPr>
            </w:pPr>
            <w:r>
              <w:rPr>
                <w:rFonts w:ascii="Arial" w:cs="Arial" w:eastAsia="Arial" w:hAnsi="Arial"/>
                <w:sz w:val="18"/>
                <w:szCs w:val="18"/>
                <w:color w:val="auto"/>
                <w:w w:val="93"/>
              </w:rPr>
              <w:t>$442.2 million</w:t>
            </w:r>
          </w:p>
        </w:tc>
        <w:tc>
          <w:tcPr>
            <w:tcW w:w="740" w:type="dxa"/>
            <w:vAlign w:val="bottom"/>
            <w:shd w:val="clear" w:color="auto" w:fill="CFF0FC"/>
          </w:tcPr>
          <w:p>
            <w:pPr>
              <w:jc w:val="center"/>
              <w:spacing w:after="0" w:line="200" w:lineRule="exact"/>
              <w:rPr>
                <w:sz w:val="20"/>
                <w:szCs w:val="20"/>
                <w:color w:val="auto"/>
              </w:rPr>
            </w:pPr>
            <w:r>
              <w:rPr>
                <w:rFonts w:ascii="Arial" w:cs="Arial" w:eastAsia="Arial" w:hAnsi="Arial"/>
                <w:sz w:val="18"/>
                <w:szCs w:val="18"/>
                <w:color w:val="auto"/>
                <w:w w:val="88"/>
              </w:rPr>
              <w:t>102.9%</w:t>
            </w: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98% of set target and 150% payout at 102%.</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line="200" w:lineRule="exact"/>
              <w:rPr>
                <w:sz w:val="20"/>
                <w:szCs w:val="20"/>
                <w:color w:val="auto"/>
              </w:rPr>
            </w:pPr>
            <w:r>
              <w:rPr>
                <w:rFonts w:ascii="Arial" w:cs="Arial" w:eastAsia="Arial" w:hAnsi="Arial"/>
                <w:sz w:val="18"/>
                <w:szCs w:val="18"/>
                <w:b w:val="1"/>
                <w:bCs w:val="1"/>
                <w:color w:val="auto"/>
              </w:rPr>
              <w:t>Target 2</w:t>
            </w:r>
          </w:p>
        </w:tc>
        <w:tc>
          <w:tcPr>
            <w:tcW w:w="1280" w:type="dxa"/>
            <w:vAlign w:val="bottom"/>
            <w:gridSpan w:val="3"/>
          </w:tcPr>
          <w:p>
            <w:pPr>
              <w:ind w:left="140"/>
              <w:spacing w:after="0" w:line="200" w:lineRule="exact"/>
              <w:rPr>
                <w:sz w:val="20"/>
                <w:szCs w:val="20"/>
                <w:color w:val="auto"/>
              </w:rPr>
            </w:pPr>
            <w:r>
              <w:rPr>
                <w:rFonts w:ascii="Arial" w:cs="Arial" w:eastAsia="Arial" w:hAnsi="Arial"/>
                <w:sz w:val="18"/>
                <w:szCs w:val="18"/>
                <w:color w:val="auto"/>
              </w:rPr>
              <w:t>Adjusted</w:t>
            </w:r>
          </w:p>
        </w:tc>
        <w:tc>
          <w:tcPr>
            <w:tcW w:w="900" w:type="dxa"/>
            <w:vAlign w:val="bottom"/>
            <w:gridSpan w:val="2"/>
          </w:tcPr>
          <w:p>
            <w:pPr>
              <w:jc w:val="center"/>
              <w:ind w:left="111"/>
              <w:spacing w:after="0" w:line="200" w:lineRule="exact"/>
              <w:rPr>
                <w:sz w:val="20"/>
                <w:szCs w:val="20"/>
                <w:color w:val="auto"/>
              </w:rPr>
            </w:pPr>
            <w:r>
              <w:rPr>
                <w:rFonts w:ascii="Arial" w:cs="Arial" w:eastAsia="Arial" w:hAnsi="Arial"/>
                <w:sz w:val="18"/>
                <w:szCs w:val="18"/>
                <w:color w:val="auto"/>
                <w:w w:val="90"/>
              </w:rPr>
              <w:t>25.0%</w:t>
            </w:r>
          </w:p>
        </w:tc>
        <w:tc>
          <w:tcPr>
            <w:tcW w:w="200" w:type="dxa"/>
            <w:vAlign w:val="bottom"/>
          </w:tcPr>
          <w:p>
            <w:pPr>
              <w:spacing w:after="0"/>
              <w:rPr>
                <w:sz w:val="17"/>
                <w:szCs w:val="17"/>
                <w:color w:val="auto"/>
              </w:rPr>
            </w:pPr>
          </w:p>
        </w:tc>
        <w:tc>
          <w:tcPr>
            <w:tcW w:w="3880" w:type="dxa"/>
            <w:vAlign w:val="bottom"/>
            <w:gridSpan w:val="3"/>
          </w:tcPr>
          <w:p>
            <w:pPr>
              <w:ind w:left="60"/>
              <w:spacing w:after="0" w:line="200" w:lineRule="exact"/>
              <w:rPr>
                <w:sz w:val="20"/>
                <w:szCs w:val="20"/>
                <w:color w:val="auto"/>
              </w:rPr>
            </w:pPr>
            <w:r>
              <w:rPr>
                <w:rFonts w:ascii="Arial" w:cs="Arial" w:eastAsia="Arial" w:hAnsi="Arial"/>
                <w:sz w:val="18"/>
                <w:szCs w:val="18"/>
                <w:color w:val="auto"/>
                <w:w w:val="95"/>
              </w:rPr>
              <w:t>100% payout out at set target, with 50% payout at</w:t>
            </w:r>
          </w:p>
        </w:tc>
        <w:tc>
          <w:tcPr>
            <w:tcW w:w="1300" w:type="dxa"/>
            <w:vAlign w:val="bottom"/>
            <w:gridSpan w:val="3"/>
          </w:tcPr>
          <w:p>
            <w:pPr>
              <w:jc w:val="center"/>
              <w:ind w:right="20"/>
              <w:spacing w:after="0" w:line="200" w:lineRule="exact"/>
              <w:rPr>
                <w:sz w:val="20"/>
                <w:szCs w:val="20"/>
                <w:color w:val="auto"/>
              </w:rPr>
            </w:pPr>
            <w:r>
              <w:rPr>
                <w:rFonts w:ascii="Arial" w:cs="Arial" w:eastAsia="Arial" w:hAnsi="Arial"/>
                <w:sz w:val="18"/>
                <w:szCs w:val="18"/>
                <w:color w:val="auto"/>
                <w:w w:val="94"/>
              </w:rPr>
              <w:t>$21.5 million</w:t>
            </w:r>
          </w:p>
        </w:tc>
        <w:tc>
          <w:tcPr>
            <w:tcW w:w="1740" w:type="dxa"/>
            <w:vAlign w:val="bottom"/>
            <w:gridSpan w:val="3"/>
          </w:tcPr>
          <w:p>
            <w:pPr>
              <w:jc w:val="center"/>
              <w:ind w:right="300"/>
              <w:spacing w:after="0" w:line="200" w:lineRule="exact"/>
              <w:rPr>
                <w:sz w:val="20"/>
                <w:szCs w:val="20"/>
                <w:color w:val="auto"/>
              </w:rPr>
            </w:pPr>
            <w:r>
              <w:rPr>
                <w:rFonts w:ascii="Arial" w:cs="Arial" w:eastAsia="Arial" w:hAnsi="Arial"/>
                <w:sz w:val="18"/>
                <w:szCs w:val="18"/>
                <w:color w:val="auto"/>
                <w:w w:val="94"/>
              </w:rPr>
              <w:t>$25.3 million</w:t>
            </w:r>
          </w:p>
        </w:tc>
        <w:tc>
          <w:tcPr>
            <w:tcW w:w="740" w:type="dxa"/>
            <w:vAlign w:val="bottom"/>
          </w:tcPr>
          <w:p>
            <w:pPr>
              <w:jc w:val="center"/>
              <w:spacing w:after="0" w:line="200" w:lineRule="exact"/>
              <w:rPr>
                <w:sz w:val="20"/>
                <w:szCs w:val="20"/>
                <w:color w:val="auto"/>
              </w:rPr>
            </w:pPr>
            <w:r>
              <w:rPr>
                <w:rFonts w:ascii="Arial" w:cs="Arial" w:eastAsia="Arial" w:hAnsi="Arial"/>
                <w:sz w:val="18"/>
                <w:szCs w:val="18"/>
                <w:color w:val="auto"/>
                <w:w w:val="88"/>
              </w:rPr>
              <w:t>150.0%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86% of set target and 150% payout at 114%.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0" w:type="dxa"/>
            <w:vAlign w:val="bottom"/>
            <w:shd w:val="clear" w:color="auto" w:fill="CFF0FC"/>
          </w:tcPr>
          <w:p>
            <w:pPr>
              <w:spacing w:after="0" w:line="200" w:lineRule="exact"/>
              <w:rPr>
                <w:sz w:val="20"/>
                <w:szCs w:val="20"/>
                <w:color w:val="auto"/>
              </w:rPr>
            </w:pPr>
            <w:r>
              <w:rPr>
                <w:rFonts w:ascii="Arial" w:cs="Arial" w:eastAsia="Arial" w:hAnsi="Arial"/>
                <w:sz w:val="18"/>
                <w:szCs w:val="18"/>
                <w:b w:val="1"/>
                <w:bCs w:val="1"/>
                <w:color w:val="auto"/>
              </w:rPr>
              <w:t>Target 3</w:t>
            </w:r>
          </w:p>
        </w:tc>
        <w:tc>
          <w:tcPr>
            <w:tcW w:w="1280" w:type="dxa"/>
            <w:vAlign w:val="bottom"/>
            <w:gridSpan w:val="3"/>
            <w:shd w:val="clear" w:color="auto" w:fill="CFF0FC"/>
          </w:tcPr>
          <w:p>
            <w:pPr>
              <w:ind w:left="140"/>
              <w:spacing w:after="0" w:line="200" w:lineRule="exact"/>
              <w:rPr>
                <w:sz w:val="20"/>
                <w:szCs w:val="20"/>
                <w:color w:val="auto"/>
              </w:rPr>
            </w:pPr>
            <w:r>
              <w:rPr>
                <w:rFonts w:ascii="Arial" w:cs="Arial" w:eastAsia="Arial" w:hAnsi="Arial"/>
                <w:sz w:val="18"/>
                <w:szCs w:val="18"/>
                <w:color w:val="auto"/>
              </w:rPr>
              <w:t>Merchandise</w:t>
            </w:r>
          </w:p>
        </w:tc>
        <w:tc>
          <w:tcPr>
            <w:tcW w:w="900" w:type="dxa"/>
            <w:vAlign w:val="bottom"/>
            <w:gridSpan w:val="2"/>
            <w:shd w:val="clear" w:color="auto" w:fill="CFF0FC"/>
          </w:tcPr>
          <w:p>
            <w:pPr>
              <w:jc w:val="center"/>
              <w:ind w:left="111"/>
              <w:spacing w:after="0" w:line="200" w:lineRule="exact"/>
              <w:rPr>
                <w:sz w:val="20"/>
                <w:szCs w:val="20"/>
                <w:color w:val="auto"/>
              </w:rPr>
            </w:pPr>
            <w:r>
              <w:rPr>
                <w:rFonts w:ascii="Arial" w:cs="Arial" w:eastAsia="Arial" w:hAnsi="Arial"/>
                <w:sz w:val="18"/>
                <w:szCs w:val="18"/>
                <w:color w:val="auto"/>
                <w:w w:val="90"/>
              </w:rPr>
              <w:t>15.0%</w:t>
            </w:r>
          </w:p>
        </w:tc>
        <w:tc>
          <w:tcPr>
            <w:tcW w:w="20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60"/>
              <w:spacing w:after="0" w:line="200" w:lineRule="exact"/>
              <w:rPr>
                <w:sz w:val="20"/>
                <w:szCs w:val="20"/>
                <w:color w:val="auto"/>
              </w:rPr>
            </w:pPr>
            <w:r>
              <w:rPr>
                <w:rFonts w:ascii="Arial" w:cs="Arial" w:eastAsia="Arial" w:hAnsi="Arial"/>
                <w:sz w:val="18"/>
                <w:szCs w:val="18"/>
                <w:color w:val="auto"/>
                <w:w w:val="95"/>
              </w:rPr>
              <w:t>Target must be achieved for a minimum payout of</w:t>
            </w:r>
          </w:p>
        </w:tc>
        <w:tc>
          <w:tcPr>
            <w:tcW w:w="1080" w:type="dxa"/>
            <w:vAlign w:val="bottom"/>
            <w:gridSpan w:val="2"/>
            <w:shd w:val="clear" w:color="auto" w:fill="CFF0FC"/>
          </w:tcPr>
          <w:p>
            <w:pPr>
              <w:jc w:val="center"/>
              <w:ind w:left="91"/>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740" w:type="dxa"/>
            <w:vAlign w:val="bottom"/>
            <w:gridSpan w:val="3"/>
            <w:shd w:val="clear" w:color="auto" w:fill="CFF0FC"/>
          </w:tcPr>
          <w:p>
            <w:pPr>
              <w:jc w:val="center"/>
              <w:ind w:right="300"/>
              <w:spacing w:after="0" w:line="200" w:lineRule="exact"/>
              <w:rPr>
                <w:sz w:val="20"/>
                <w:szCs w:val="20"/>
                <w:color w:val="auto"/>
              </w:rPr>
            </w:pPr>
            <w:r>
              <w:rPr>
                <w:rFonts w:ascii="Arial" w:cs="Arial" w:eastAsia="Arial" w:hAnsi="Arial"/>
                <w:sz w:val="18"/>
                <w:szCs w:val="18"/>
                <w:color w:val="auto"/>
                <w:w w:val="89"/>
              </w:rPr>
              <w:t>170 basis points</w:t>
            </w:r>
          </w:p>
        </w:tc>
        <w:tc>
          <w:tcPr>
            <w:tcW w:w="740" w:type="dxa"/>
            <w:vAlign w:val="bottom"/>
            <w:shd w:val="clear" w:color="auto" w:fill="CFF0FC"/>
          </w:tcPr>
          <w:p>
            <w:pPr>
              <w:jc w:val="center"/>
              <w:spacing w:after="0" w:line="200" w:lineRule="exact"/>
              <w:rPr>
                <w:sz w:val="20"/>
                <w:szCs w:val="20"/>
                <w:color w:val="auto"/>
              </w:rPr>
            </w:pPr>
            <w:r>
              <w:rPr>
                <w:rFonts w:ascii="Arial" w:cs="Arial" w:eastAsia="Arial" w:hAnsi="Arial"/>
                <w:sz w:val="18"/>
                <w:szCs w:val="18"/>
                <w:color w:val="auto"/>
                <w:w w:val="88"/>
              </w:rPr>
              <w:t>126.8%</w:t>
            </w: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Margin</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97"/>
              </w:rPr>
              <w:t>100%, with 125% payout at 102.7% of target and</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right="560"/>
              <w:spacing w:after="0"/>
              <w:rPr>
                <w:sz w:val="20"/>
                <w:szCs w:val="20"/>
                <w:color w:val="auto"/>
              </w:rPr>
            </w:pPr>
            <w:r>
              <w:rPr>
                <w:rFonts w:ascii="Arial" w:cs="Arial" w:eastAsia="Arial" w:hAnsi="Arial"/>
                <w:sz w:val="18"/>
                <w:szCs w:val="18"/>
                <w:color w:val="auto"/>
                <w:w w:val="86"/>
              </w:rPr>
              <w:t>greater than</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150% of payout at 105% of target.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center"/>
              <w:ind w:right="560"/>
              <w:spacing w:after="0"/>
              <w:rPr>
                <w:sz w:val="20"/>
                <w:szCs w:val="20"/>
                <w:color w:val="auto"/>
              </w:rPr>
            </w:pPr>
            <w:r>
              <w:rPr>
                <w:rFonts w:ascii="Arial" w:cs="Arial" w:eastAsia="Arial" w:hAnsi="Arial"/>
                <w:sz w:val="18"/>
                <w:szCs w:val="18"/>
                <w:color w:val="auto"/>
                <w:w w:val="86"/>
              </w:rPr>
              <w:t>target</w:t>
            </w: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line="200" w:lineRule="exact"/>
              <w:rPr>
                <w:sz w:val="20"/>
                <w:szCs w:val="20"/>
                <w:color w:val="auto"/>
              </w:rPr>
            </w:pPr>
            <w:r>
              <w:rPr>
                <w:rFonts w:ascii="Arial" w:cs="Arial" w:eastAsia="Arial" w:hAnsi="Arial"/>
                <w:sz w:val="18"/>
                <w:szCs w:val="18"/>
                <w:b w:val="1"/>
                <w:bCs w:val="1"/>
                <w:color w:val="auto"/>
              </w:rPr>
              <w:t>Target 4</w:t>
            </w:r>
          </w:p>
        </w:tc>
        <w:tc>
          <w:tcPr>
            <w:tcW w:w="1280" w:type="dxa"/>
            <w:vAlign w:val="bottom"/>
            <w:gridSpan w:val="3"/>
          </w:tcPr>
          <w:p>
            <w:pPr>
              <w:ind w:left="140"/>
              <w:spacing w:after="0" w:line="200" w:lineRule="exact"/>
              <w:rPr>
                <w:sz w:val="20"/>
                <w:szCs w:val="20"/>
                <w:color w:val="auto"/>
              </w:rPr>
            </w:pPr>
            <w:r>
              <w:rPr>
                <w:rFonts w:ascii="Arial" w:cs="Arial" w:eastAsia="Arial" w:hAnsi="Arial"/>
                <w:sz w:val="18"/>
                <w:szCs w:val="18"/>
                <w:color w:val="auto"/>
              </w:rPr>
              <w:t>DXL</w:t>
            </w:r>
          </w:p>
        </w:tc>
        <w:tc>
          <w:tcPr>
            <w:tcW w:w="900" w:type="dxa"/>
            <w:vAlign w:val="bottom"/>
            <w:gridSpan w:val="2"/>
          </w:tcPr>
          <w:p>
            <w:pPr>
              <w:jc w:val="center"/>
              <w:ind w:left="111"/>
              <w:spacing w:after="0" w:line="200" w:lineRule="exact"/>
              <w:rPr>
                <w:sz w:val="20"/>
                <w:szCs w:val="20"/>
                <w:color w:val="auto"/>
              </w:rPr>
            </w:pPr>
            <w:r>
              <w:rPr>
                <w:rFonts w:ascii="Arial" w:cs="Arial" w:eastAsia="Arial" w:hAnsi="Arial"/>
                <w:sz w:val="18"/>
                <w:szCs w:val="18"/>
                <w:color w:val="auto"/>
                <w:w w:val="90"/>
              </w:rPr>
              <w:t>15.0%</w:t>
            </w:r>
          </w:p>
        </w:tc>
        <w:tc>
          <w:tcPr>
            <w:tcW w:w="200" w:type="dxa"/>
            <w:vAlign w:val="bottom"/>
          </w:tcPr>
          <w:p>
            <w:pPr>
              <w:spacing w:after="0"/>
              <w:rPr>
                <w:sz w:val="17"/>
                <w:szCs w:val="17"/>
                <w:color w:val="auto"/>
              </w:rPr>
            </w:pPr>
          </w:p>
        </w:tc>
        <w:tc>
          <w:tcPr>
            <w:tcW w:w="3880" w:type="dxa"/>
            <w:vAlign w:val="bottom"/>
            <w:gridSpan w:val="3"/>
          </w:tcPr>
          <w:p>
            <w:pPr>
              <w:ind w:left="60"/>
              <w:spacing w:after="0" w:line="200" w:lineRule="exact"/>
              <w:rPr>
                <w:sz w:val="20"/>
                <w:szCs w:val="20"/>
                <w:color w:val="auto"/>
              </w:rPr>
            </w:pPr>
            <w:r>
              <w:rPr>
                <w:rFonts w:ascii="Arial" w:cs="Arial" w:eastAsia="Arial" w:hAnsi="Arial"/>
                <w:sz w:val="18"/>
                <w:szCs w:val="18"/>
                <w:color w:val="auto"/>
              </w:rPr>
              <w:t>100% payout at set target, with 50% payout at</w:t>
            </w:r>
          </w:p>
        </w:tc>
        <w:tc>
          <w:tcPr>
            <w:tcW w:w="1080" w:type="dxa"/>
            <w:vAlign w:val="bottom"/>
            <w:gridSpan w:val="2"/>
          </w:tcPr>
          <w:p>
            <w:pPr>
              <w:jc w:val="center"/>
              <w:ind w:left="111"/>
              <w:spacing w:after="0" w:line="200" w:lineRule="exact"/>
              <w:rPr>
                <w:sz w:val="20"/>
                <w:szCs w:val="20"/>
                <w:color w:val="auto"/>
              </w:rPr>
            </w:pPr>
            <w:r>
              <w:rPr>
                <w:rFonts w:ascii="Arial" w:cs="Arial" w:eastAsia="Arial" w:hAnsi="Arial"/>
                <w:sz w:val="18"/>
                <w:szCs w:val="18"/>
                <w:color w:val="auto"/>
                <w:w w:val="87"/>
              </w:rPr>
              <w:t>8.5%</w:t>
            </w:r>
          </w:p>
        </w:tc>
        <w:tc>
          <w:tcPr>
            <w:tcW w:w="220" w:type="dxa"/>
            <w:vAlign w:val="bottom"/>
          </w:tcPr>
          <w:p>
            <w:pPr>
              <w:spacing w:after="0"/>
              <w:rPr>
                <w:sz w:val="17"/>
                <w:szCs w:val="17"/>
                <w:color w:val="auto"/>
              </w:rPr>
            </w:pPr>
          </w:p>
        </w:tc>
        <w:tc>
          <w:tcPr>
            <w:tcW w:w="1180" w:type="dxa"/>
            <w:vAlign w:val="bottom"/>
            <w:gridSpan w:val="2"/>
          </w:tcPr>
          <w:p>
            <w:pPr>
              <w:jc w:val="right"/>
              <w:ind w:right="191"/>
              <w:spacing w:after="0" w:line="200" w:lineRule="exact"/>
              <w:rPr>
                <w:sz w:val="20"/>
                <w:szCs w:val="20"/>
                <w:color w:val="auto"/>
              </w:rPr>
            </w:pPr>
            <w:r>
              <w:rPr>
                <w:rFonts w:ascii="Arial" w:cs="Arial" w:eastAsia="Arial" w:hAnsi="Arial"/>
                <w:sz w:val="18"/>
                <w:szCs w:val="18"/>
                <w:color w:val="auto"/>
              </w:rPr>
              <w:t>9.7%</w:t>
            </w:r>
          </w:p>
        </w:tc>
        <w:tc>
          <w:tcPr>
            <w:tcW w:w="560" w:type="dxa"/>
            <w:vAlign w:val="bottom"/>
          </w:tcPr>
          <w:p>
            <w:pPr>
              <w:spacing w:after="0"/>
              <w:rPr>
                <w:sz w:val="17"/>
                <w:szCs w:val="17"/>
                <w:color w:val="auto"/>
              </w:rPr>
            </w:pPr>
          </w:p>
        </w:tc>
        <w:tc>
          <w:tcPr>
            <w:tcW w:w="740" w:type="dxa"/>
            <w:vAlign w:val="bottom"/>
          </w:tcPr>
          <w:p>
            <w:pPr>
              <w:jc w:val="center"/>
              <w:spacing w:after="0" w:line="200" w:lineRule="exact"/>
              <w:rPr>
                <w:sz w:val="20"/>
                <w:szCs w:val="20"/>
                <w:color w:val="auto"/>
              </w:rPr>
            </w:pPr>
            <w:r>
              <w:rPr>
                <w:rFonts w:ascii="Arial" w:cs="Arial" w:eastAsia="Arial" w:hAnsi="Arial"/>
                <w:sz w:val="18"/>
                <w:szCs w:val="18"/>
                <w:color w:val="auto"/>
                <w:w w:val="88"/>
              </w:rPr>
              <w:t>130.0%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Comparable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3"/>
          </w:tcPr>
          <w:p>
            <w:pPr>
              <w:ind w:left="60"/>
              <w:spacing w:after="0"/>
              <w:rPr>
                <w:sz w:val="20"/>
                <w:szCs w:val="20"/>
                <w:color w:val="auto"/>
              </w:rPr>
            </w:pPr>
            <w:r>
              <w:rPr>
                <w:rFonts w:ascii="Arial" w:cs="Arial" w:eastAsia="Arial" w:hAnsi="Arial"/>
                <w:sz w:val="18"/>
                <w:szCs w:val="18"/>
                <w:color w:val="auto"/>
                <w:w w:val="96"/>
              </w:rPr>
              <w:t>76.5% of target and 150% of payout at 123.5% of</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target.</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40" w:type="dxa"/>
            <w:vAlign w:val="bottom"/>
            <w:gridSpan w:val="4"/>
            <w:shd w:val="clear" w:color="auto" w:fill="CFF0FC"/>
          </w:tcPr>
          <w:p>
            <w:pPr>
              <w:spacing w:after="0" w:line="200" w:lineRule="exact"/>
              <w:rPr>
                <w:sz w:val="20"/>
                <w:szCs w:val="20"/>
                <w:color w:val="auto"/>
              </w:rPr>
            </w:pPr>
            <w:r>
              <w:rPr>
                <w:rFonts w:ascii="Arial" w:cs="Arial" w:eastAsia="Arial" w:hAnsi="Arial"/>
                <w:sz w:val="18"/>
                <w:szCs w:val="18"/>
                <w:b w:val="1"/>
                <w:bCs w:val="1"/>
                <w:color w:val="auto"/>
              </w:rPr>
              <w:t xml:space="preserve">Target 5   </w:t>
            </w:r>
            <w:r>
              <w:rPr>
                <w:rFonts w:ascii="Arial" w:cs="Arial" w:eastAsia="Arial" w:hAnsi="Arial"/>
                <w:sz w:val="18"/>
                <w:szCs w:val="18"/>
                <w:color w:val="auto"/>
              </w:rPr>
              <w:t>DXL Sales per</w:t>
            </w:r>
          </w:p>
        </w:tc>
        <w:tc>
          <w:tcPr>
            <w:tcW w:w="900" w:type="dxa"/>
            <w:vAlign w:val="bottom"/>
            <w:gridSpan w:val="2"/>
            <w:shd w:val="clear" w:color="auto" w:fill="CFF0FC"/>
          </w:tcPr>
          <w:p>
            <w:pPr>
              <w:jc w:val="center"/>
              <w:ind w:left="111"/>
              <w:spacing w:after="0" w:line="200" w:lineRule="exact"/>
              <w:rPr>
                <w:sz w:val="20"/>
                <w:szCs w:val="20"/>
                <w:color w:val="auto"/>
              </w:rPr>
            </w:pPr>
            <w:r>
              <w:rPr>
                <w:rFonts w:ascii="Arial" w:cs="Arial" w:eastAsia="Arial" w:hAnsi="Arial"/>
                <w:sz w:val="18"/>
                <w:szCs w:val="18"/>
                <w:color w:val="auto"/>
                <w:w w:val="90"/>
              </w:rPr>
              <w:t>10.0%</w:t>
            </w:r>
          </w:p>
        </w:tc>
        <w:tc>
          <w:tcPr>
            <w:tcW w:w="20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60"/>
              <w:spacing w:after="0" w:line="200" w:lineRule="exact"/>
              <w:rPr>
                <w:sz w:val="20"/>
                <w:szCs w:val="20"/>
                <w:color w:val="auto"/>
              </w:rPr>
            </w:pPr>
            <w:r>
              <w:rPr>
                <w:rFonts w:ascii="Arial" w:cs="Arial" w:eastAsia="Arial" w:hAnsi="Arial"/>
                <w:sz w:val="18"/>
                <w:szCs w:val="18"/>
                <w:color w:val="auto"/>
              </w:rPr>
              <w:t>100% payout at set target, with 50% payout at</w:t>
            </w:r>
          </w:p>
        </w:tc>
        <w:tc>
          <w:tcPr>
            <w:tcW w:w="1080" w:type="dxa"/>
            <w:vAlign w:val="bottom"/>
            <w:gridSpan w:val="2"/>
            <w:shd w:val="clear" w:color="auto" w:fill="CFF0FC"/>
          </w:tcPr>
          <w:p>
            <w:pPr>
              <w:jc w:val="center"/>
              <w:ind w:left="111"/>
              <w:spacing w:after="0" w:line="200" w:lineRule="exact"/>
              <w:rPr>
                <w:sz w:val="20"/>
                <w:szCs w:val="20"/>
                <w:color w:val="auto"/>
              </w:rPr>
            </w:pPr>
            <w:r>
              <w:rPr>
                <w:rFonts w:ascii="Arial" w:cs="Arial" w:eastAsia="Arial" w:hAnsi="Arial"/>
                <w:sz w:val="18"/>
                <w:szCs w:val="18"/>
                <w:color w:val="auto"/>
                <w:w w:val="89"/>
              </w:rPr>
              <w:t>$174</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91"/>
              <w:spacing w:after="0" w:line="200" w:lineRule="exact"/>
              <w:rPr>
                <w:sz w:val="20"/>
                <w:szCs w:val="20"/>
                <w:color w:val="auto"/>
              </w:rPr>
            </w:pPr>
            <w:r>
              <w:rPr>
                <w:rFonts w:ascii="Arial" w:cs="Arial" w:eastAsia="Arial" w:hAnsi="Arial"/>
                <w:sz w:val="18"/>
                <w:szCs w:val="18"/>
                <w:color w:val="auto"/>
              </w:rPr>
              <w:t>$177</w:t>
            </w:r>
          </w:p>
        </w:tc>
        <w:tc>
          <w:tcPr>
            <w:tcW w:w="560" w:type="dxa"/>
            <w:vAlign w:val="bottom"/>
            <w:shd w:val="clear" w:color="auto" w:fill="CFF0FC"/>
          </w:tcPr>
          <w:p>
            <w:pPr>
              <w:spacing w:after="0"/>
              <w:rPr>
                <w:sz w:val="17"/>
                <w:szCs w:val="17"/>
                <w:color w:val="auto"/>
              </w:rPr>
            </w:pPr>
          </w:p>
        </w:tc>
        <w:tc>
          <w:tcPr>
            <w:tcW w:w="740" w:type="dxa"/>
            <w:vAlign w:val="bottom"/>
            <w:shd w:val="clear" w:color="auto" w:fill="CFF0FC"/>
          </w:tcPr>
          <w:p>
            <w:pPr>
              <w:jc w:val="center"/>
              <w:spacing w:after="0" w:line="200" w:lineRule="exact"/>
              <w:rPr>
                <w:sz w:val="20"/>
                <w:szCs w:val="20"/>
                <w:color w:val="auto"/>
              </w:rPr>
            </w:pPr>
            <w:r>
              <w:rPr>
                <w:rFonts w:ascii="Arial" w:cs="Arial" w:eastAsia="Arial" w:hAnsi="Arial"/>
                <w:sz w:val="18"/>
                <w:szCs w:val="18"/>
                <w:color w:val="auto"/>
                <w:w w:val="88"/>
              </w:rPr>
              <w:t>137.5%</w:t>
            </w: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Square Foot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97.7% of target and 150% of payout at 102.3%.</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line="200" w:lineRule="exact"/>
              <w:rPr>
                <w:sz w:val="20"/>
                <w:szCs w:val="20"/>
                <w:color w:val="auto"/>
              </w:rPr>
            </w:pPr>
            <w:r>
              <w:rPr>
                <w:rFonts w:ascii="Arial" w:cs="Arial" w:eastAsia="Arial" w:hAnsi="Arial"/>
                <w:sz w:val="18"/>
                <w:szCs w:val="18"/>
                <w:b w:val="1"/>
                <w:bCs w:val="1"/>
                <w:color w:val="auto"/>
              </w:rPr>
              <w:t>Target 6</w:t>
            </w:r>
          </w:p>
        </w:tc>
        <w:tc>
          <w:tcPr>
            <w:tcW w:w="1280" w:type="dxa"/>
            <w:vAlign w:val="bottom"/>
            <w:gridSpan w:val="3"/>
          </w:tcPr>
          <w:p>
            <w:pPr>
              <w:ind w:left="140"/>
              <w:spacing w:after="0" w:line="200" w:lineRule="exact"/>
              <w:rPr>
                <w:sz w:val="20"/>
                <w:szCs w:val="20"/>
                <w:color w:val="auto"/>
              </w:rPr>
            </w:pPr>
            <w:r>
              <w:rPr>
                <w:rFonts w:ascii="Arial" w:cs="Arial" w:eastAsia="Arial" w:hAnsi="Arial"/>
                <w:sz w:val="18"/>
                <w:szCs w:val="18"/>
                <w:color w:val="auto"/>
              </w:rPr>
              <w:t>Customer</w:t>
            </w:r>
          </w:p>
        </w:tc>
        <w:tc>
          <w:tcPr>
            <w:tcW w:w="900" w:type="dxa"/>
            <w:vAlign w:val="bottom"/>
            <w:gridSpan w:val="2"/>
          </w:tcPr>
          <w:p>
            <w:pPr>
              <w:jc w:val="center"/>
              <w:ind w:left="111"/>
              <w:spacing w:after="0" w:line="200" w:lineRule="exact"/>
              <w:rPr>
                <w:sz w:val="20"/>
                <w:szCs w:val="20"/>
                <w:color w:val="auto"/>
              </w:rPr>
            </w:pPr>
            <w:r>
              <w:rPr>
                <w:rFonts w:ascii="Arial" w:cs="Arial" w:eastAsia="Arial" w:hAnsi="Arial"/>
                <w:sz w:val="18"/>
                <w:szCs w:val="18"/>
                <w:color w:val="auto"/>
                <w:w w:val="90"/>
              </w:rPr>
              <w:t>10.0%</w:t>
            </w:r>
          </w:p>
        </w:tc>
        <w:tc>
          <w:tcPr>
            <w:tcW w:w="200" w:type="dxa"/>
            <w:vAlign w:val="bottom"/>
          </w:tcPr>
          <w:p>
            <w:pPr>
              <w:spacing w:after="0"/>
              <w:rPr>
                <w:sz w:val="17"/>
                <w:szCs w:val="17"/>
                <w:color w:val="auto"/>
              </w:rPr>
            </w:pPr>
          </w:p>
        </w:tc>
        <w:tc>
          <w:tcPr>
            <w:tcW w:w="3880" w:type="dxa"/>
            <w:vAlign w:val="bottom"/>
            <w:gridSpan w:val="3"/>
          </w:tcPr>
          <w:p>
            <w:pPr>
              <w:ind w:left="60"/>
              <w:spacing w:after="0" w:line="200" w:lineRule="exact"/>
              <w:rPr>
                <w:sz w:val="20"/>
                <w:szCs w:val="20"/>
                <w:color w:val="auto"/>
              </w:rPr>
            </w:pPr>
            <w:r>
              <w:rPr>
                <w:rFonts w:ascii="Arial" w:cs="Arial" w:eastAsia="Arial" w:hAnsi="Arial"/>
                <w:sz w:val="18"/>
                <w:szCs w:val="18"/>
                <w:color w:val="auto"/>
              </w:rPr>
              <w:t>100% payout at set target, with 50% payout at</w:t>
            </w:r>
          </w:p>
        </w:tc>
        <w:tc>
          <w:tcPr>
            <w:tcW w:w="1080" w:type="dxa"/>
            <w:vAlign w:val="bottom"/>
            <w:gridSpan w:val="2"/>
          </w:tcPr>
          <w:p>
            <w:pPr>
              <w:jc w:val="center"/>
              <w:ind w:left="111"/>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740" w:type="dxa"/>
            <w:vAlign w:val="bottom"/>
            <w:gridSpan w:val="3"/>
          </w:tcPr>
          <w:p>
            <w:pPr>
              <w:jc w:val="center"/>
              <w:ind w:right="280"/>
              <w:spacing w:after="0" w:line="200" w:lineRule="exact"/>
              <w:rPr>
                <w:sz w:val="20"/>
                <w:szCs w:val="20"/>
                <w:color w:val="auto"/>
              </w:rPr>
            </w:pPr>
            <w:r>
              <w:rPr>
                <w:rFonts w:ascii="Arial" w:cs="Arial" w:eastAsia="Arial" w:hAnsi="Arial"/>
                <w:sz w:val="18"/>
                <w:szCs w:val="18"/>
                <w:color w:val="auto"/>
                <w:w w:val="90"/>
              </w:rPr>
              <w:t>99.8% of target</w:t>
            </w:r>
          </w:p>
        </w:tc>
        <w:tc>
          <w:tcPr>
            <w:tcW w:w="740" w:type="dxa"/>
            <w:vAlign w:val="bottom"/>
          </w:tcPr>
          <w:p>
            <w:pPr>
              <w:jc w:val="center"/>
              <w:spacing w:after="0" w:line="200" w:lineRule="exact"/>
              <w:rPr>
                <w:sz w:val="20"/>
                <w:szCs w:val="20"/>
                <w:color w:val="auto"/>
              </w:rPr>
            </w:pPr>
            <w:r>
              <w:rPr>
                <w:rFonts w:ascii="Arial" w:cs="Arial" w:eastAsia="Arial" w:hAnsi="Arial"/>
                <w:sz w:val="18"/>
                <w:szCs w:val="18"/>
                <w:color w:val="auto"/>
                <w:w w:val="90"/>
              </w:rPr>
              <w:t>93.4%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Counts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98.8% of target and 150% payout at 101.6% of</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target.</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1140" w:right="440" w:firstLine="8"/>
        <w:spacing w:after="0" w:line="302" w:lineRule="auto"/>
        <w:tabs>
          <w:tab w:leader="none" w:pos="127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as approved by the Compensation Committee on March 18, 2015, is EBITDA adjusted to exclude the compensation accrual for the Wrap-Around plan as well as costs associated with business development, such as International.</w:t>
      </w:r>
    </w:p>
    <w:p>
      <w:pPr>
        <w:spacing w:after="0" w:line="151" w:lineRule="exact"/>
        <w:rPr>
          <w:sz w:val="20"/>
          <w:szCs w:val="20"/>
          <w:color w:val="auto"/>
        </w:rPr>
      </w:pPr>
    </w:p>
    <w:p>
      <w:pPr>
        <w:ind w:left="1140" w:right="760" w:firstLine="8"/>
        <w:spacing w:after="0" w:line="271" w:lineRule="auto"/>
        <w:tabs>
          <w:tab w:leader="none" w:pos="13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Merchandise margin is a component of gross margin, net of occupancy costs and is not disclosed because we believe it would be a competitive disadvantage to disclose.</w:t>
      </w:r>
    </w:p>
    <w:p>
      <w:pPr>
        <w:spacing w:after="0" w:line="175" w:lineRule="exact"/>
        <w:rPr>
          <w:rFonts w:ascii="Arial" w:cs="Arial" w:eastAsia="Arial" w:hAnsi="Arial"/>
          <w:sz w:val="18"/>
          <w:szCs w:val="18"/>
          <w:color w:val="auto"/>
        </w:rPr>
      </w:pPr>
    </w:p>
    <w:p>
      <w:pPr>
        <w:ind w:left="1460" w:hanging="312"/>
        <w:spacing w:after="0"/>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do not disclose information regarding our customer base because we believe it would be a competitive disadvantage to disclose.</w:t>
      </w:r>
    </w:p>
    <w:p>
      <w:pPr>
        <w:spacing w:after="0" w:line="233" w:lineRule="exact"/>
        <w:rPr>
          <w:sz w:val="20"/>
          <w:szCs w:val="20"/>
          <w:color w:val="auto"/>
        </w:rPr>
      </w:pPr>
    </w:p>
    <w:p>
      <w:pPr>
        <w:ind w:left="760" w:right="20"/>
        <w:spacing w:after="0" w:line="254" w:lineRule="auto"/>
        <w:rPr>
          <w:sz w:val="20"/>
          <w:szCs w:val="20"/>
          <w:color w:val="auto"/>
        </w:rPr>
      </w:pPr>
      <w:r>
        <w:rPr>
          <w:rFonts w:ascii="Arial" w:cs="Arial" w:eastAsia="Arial" w:hAnsi="Arial"/>
          <w:sz w:val="18"/>
          <w:szCs w:val="18"/>
          <w:color w:val="auto"/>
        </w:rPr>
        <w:t>These targets were derived from the Company’s operating plan for fiscal 2015 and the Compensation Committee believed that it was possible, within an approximate 50% probability, to meet or exceed each of the targets. As a result of achieving the performance targets for fiscal 2015, on March 15, 2016 the Compensation Committee approved a cash bonus payout of 124.8% under the 2015 AIP and the total cash award paid to 105 participants was approximately $4.9 million. For comparison purposes, the following is the actual amounts earned by our Named Executive Officers under our 2015 AIP and 2014 AIP: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vMerge w:val="restart"/>
          </w:tcPr>
          <w:p>
            <w:pPr>
              <w:spacing w:after="0"/>
              <w:rPr>
                <w:sz w:val="20"/>
                <w:szCs w:val="20"/>
                <w:color w:val="auto"/>
              </w:rPr>
            </w:pPr>
            <w:r>
              <w:rPr>
                <w:rFonts w:ascii="Arial" w:cs="Arial" w:eastAsia="Arial" w:hAnsi="Arial"/>
                <w:sz w:val="13"/>
                <w:szCs w:val="13"/>
                <w:b w:val="1"/>
                <w:bCs w:val="1"/>
                <w:color w:val="auto"/>
              </w:rPr>
              <w:t>Named Executive Officer</w:t>
            </w: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b w:val="1"/>
                <w:bCs w:val="1"/>
                <w:color w:val="auto"/>
              </w:rPr>
              <w:t>Fiscal 2015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Fiscal 2014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540" w:type="dxa"/>
            <w:vAlign w:val="bottom"/>
            <w:vMerge w:val="continue"/>
          </w:tcPr>
          <w:p>
            <w:pPr>
              <w:spacing w:after="0"/>
              <w:rPr>
                <w:sz w:val="8"/>
                <w:szCs w:val="8"/>
                <w:color w:val="auto"/>
              </w:rPr>
            </w:pPr>
          </w:p>
        </w:tc>
        <w:tc>
          <w:tcPr>
            <w:tcW w:w="4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Actual Payout</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4"/>
              </w:rPr>
              <w:t>Actual Payout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54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4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1,012,378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855,573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40" w:type="dxa"/>
            <w:vAlign w:val="bottom"/>
          </w:tcPr>
          <w:p>
            <w:pPr>
              <w:spacing w:after="0"/>
              <w:rPr>
                <w:sz w:val="20"/>
                <w:szCs w:val="20"/>
                <w:color w:val="auto"/>
              </w:rPr>
            </w:pPr>
            <w:r>
              <w:rPr>
                <w:rFonts w:ascii="Arial" w:cs="Arial" w:eastAsia="Arial" w:hAnsi="Arial"/>
                <w:sz w:val="18"/>
                <w:szCs w:val="18"/>
                <w:color w:val="auto"/>
              </w:rPr>
              <w:t>Peter H. Stratton, Jr.</w:t>
            </w:r>
          </w:p>
        </w:tc>
        <w:tc>
          <w:tcPr>
            <w:tcW w:w="456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142,272</w:t>
            </w:r>
          </w:p>
        </w:tc>
        <w:tc>
          <w:tcPr>
            <w:tcW w:w="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113,462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456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190,848</w:t>
            </w:r>
          </w:p>
        </w:tc>
        <w:tc>
          <w:tcPr>
            <w:tcW w:w="5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40" w:type="dxa"/>
            <w:vAlign w:val="bottom"/>
          </w:tcPr>
          <w:p>
            <w:pPr>
              <w:spacing w:after="0"/>
              <w:rPr>
                <w:sz w:val="20"/>
                <w:szCs w:val="20"/>
                <w:color w:val="auto"/>
              </w:rPr>
            </w:pPr>
            <w:r>
              <w:rPr>
                <w:rFonts w:ascii="Arial" w:cs="Arial" w:eastAsia="Arial" w:hAnsi="Arial"/>
                <w:sz w:val="18"/>
                <w:szCs w:val="18"/>
                <w:color w:val="auto"/>
              </w:rPr>
              <w:t>Robert S. Molloy</w:t>
            </w:r>
          </w:p>
        </w:tc>
        <w:tc>
          <w:tcPr>
            <w:tcW w:w="456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167,232</w:t>
            </w:r>
          </w:p>
        </w:tc>
        <w:tc>
          <w:tcPr>
            <w:tcW w:w="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141,128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56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149,760</w:t>
            </w:r>
          </w:p>
        </w:tc>
        <w:tc>
          <w:tcPr>
            <w:tcW w:w="5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540" w:type="dxa"/>
            <w:vAlign w:val="bottom"/>
          </w:tcPr>
          <w:p>
            <w:pPr>
              <w:spacing w:after="0"/>
              <w:rPr>
                <w:sz w:val="24"/>
                <w:szCs w:val="24"/>
                <w:color w:val="auto"/>
              </w:rPr>
            </w:pPr>
          </w:p>
        </w:tc>
        <w:tc>
          <w:tcPr>
            <w:tcW w:w="4140" w:type="dxa"/>
            <w:vAlign w:val="bottom"/>
          </w:tcPr>
          <w:p>
            <w:pPr>
              <w:jc w:val="right"/>
              <w:ind w:right="179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5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u w:val="single" w:color="auto"/>
          <w:color w:val="auto"/>
        </w:rPr>
        <w:t>2016 AIP</w:t>
      </w:r>
    </w:p>
    <w:p>
      <w:pPr>
        <w:spacing w:after="0" w:line="115" w:lineRule="exact"/>
        <w:rPr>
          <w:sz w:val="20"/>
          <w:szCs w:val="20"/>
          <w:color w:val="auto"/>
        </w:rPr>
      </w:pPr>
    </w:p>
    <w:p>
      <w:pPr>
        <w:ind w:left="760" w:right="80"/>
        <w:spacing w:after="0" w:line="272" w:lineRule="auto"/>
        <w:rPr>
          <w:sz w:val="20"/>
          <w:szCs w:val="20"/>
          <w:color w:val="auto"/>
        </w:rPr>
      </w:pPr>
      <w:r>
        <w:rPr>
          <w:rFonts w:ascii="Arial" w:cs="Arial" w:eastAsia="Arial" w:hAnsi="Arial"/>
          <w:sz w:val="17"/>
          <w:szCs w:val="17"/>
          <w:color w:val="auto"/>
        </w:rPr>
        <w:t>Similar to our 2015 AIP, the metrics for achievement under our annual incentive plan for fiscal 2016 are aligned with the Company’s primary financial goals of increasing top line revenues while protecting merchandise margin and managing expenses during our DXL transition. In addition, sales per square foot and comparable sales from our DXL stores remain key metrics for our long-term profitability. For fiscal 2016, the Company eliminated the customer count as a target and increased the percentage attributable to EBITDA and DXL sales per square foot, because they were more closely aligned with financial success and, ultimately, shareholder returns.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2016 AIP financial targets and metrics approved by the Compensation Committee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60" w:type="dxa"/>
            <w:vAlign w:val="bottom"/>
            <w:gridSpan w:val="5"/>
          </w:tcPr>
          <w:p>
            <w:pPr>
              <w:ind w:left="640"/>
              <w:spacing w:after="0"/>
              <w:rPr>
                <w:sz w:val="20"/>
                <w:szCs w:val="20"/>
                <w:color w:val="auto"/>
              </w:rPr>
            </w:pPr>
            <w:r>
              <w:rPr>
                <w:rFonts w:ascii="Arial" w:cs="Arial" w:eastAsia="Arial" w:hAnsi="Arial"/>
                <w:sz w:val="18"/>
                <w:szCs w:val="18"/>
                <w:i w:val="1"/>
                <w:iCs w:val="1"/>
                <w:color w:val="auto"/>
              </w:rPr>
              <w:t>2016 Annual Incentive Plan</w:t>
            </w:r>
          </w:p>
        </w:tc>
      </w:tr>
      <w:tr>
        <w:trPr>
          <w:trHeight w:val="412"/>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Award %</w:t>
            </w: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4"/>
        </w:trPr>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Attributable to</w:t>
            </w:r>
          </w:p>
        </w:tc>
        <w:tc>
          <w:tcPr>
            <w:tcW w:w="2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93"/>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Metric</w:t>
            </w:r>
          </w:p>
        </w:tc>
        <w:tc>
          <w:tcPr>
            <w:tcW w:w="1360" w:type="dxa"/>
            <w:vAlign w:val="bottom"/>
            <w:gridSpan w:val="3"/>
          </w:tcPr>
          <w:p>
            <w:pPr>
              <w:jc w:val="center"/>
              <w:spacing w:after="0" w:line="193" w:lineRule="exact"/>
              <w:rPr>
                <w:sz w:val="20"/>
                <w:szCs w:val="20"/>
                <w:color w:val="auto"/>
              </w:rPr>
            </w:pPr>
            <w:r>
              <w:rPr>
                <w:rFonts w:ascii="Arial" w:cs="Arial" w:eastAsia="Arial" w:hAnsi="Arial"/>
                <w:sz w:val="18"/>
                <w:szCs w:val="18"/>
                <w:b w:val="1"/>
                <w:bCs w:val="1"/>
                <w:color w:val="auto"/>
                <w:w w:val="90"/>
              </w:rPr>
              <w:t>Target</w:t>
            </w:r>
          </w:p>
        </w:tc>
        <w:tc>
          <w:tcPr>
            <w:tcW w:w="2080" w:type="dxa"/>
            <w:vAlign w:val="bottom"/>
          </w:tcPr>
          <w:p>
            <w:pPr>
              <w:spacing w:after="0"/>
              <w:rPr>
                <w:sz w:val="16"/>
                <w:szCs w:val="16"/>
                <w:color w:val="auto"/>
              </w:rPr>
            </w:pPr>
          </w:p>
        </w:tc>
        <w:tc>
          <w:tcPr>
            <w:tcW w:w="4880" w:type="dxa"/>
            <w:vAlign w:val="bottom"/>
            <w:gridSpan w:val="4"/>
          </w:tcPr>
          <w:p>
            <w:pPr>
              <w:spacing w:after="0" w:line="193" w:lineRule="exact"/>
              <w:rPr>
                <w:sz w:val="20"/>
                <w:szCs w:val="20"/>
                <w:color w:val="auto"/>
              </w:rPr>
            </w:pPr>
            <w:r>
              <w:rPr>
                <w:rFonts w:ascii="Arial" w:cs="Arial" w:eastAsia="Arial" w:hAnsi="Arial"/>
                <w:sz w:val="18"/>
                <w:szCs w:val="18"/>
                <w:b w:val="1"/>
                <w:bCs w:val="1"/>
                <w:color w:val="auto"/>
              </w:rPr>
              <w:t>Minimum/Maximum Potential Payout</w:t>
            </w:r>
          </w:p>
        </w:tc>
      </w:tr>
      <w:tr>
        <w:trPr>
          <w:trHeight w:val="127"/>
        </w:trPr>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960" w:type="dxa"/>
            <w:vAlign w:val="bottom"/>
          </w:tcPr>
          <w:p>
            <w:pPr>
              <w:spacing w:after="0"/>
              <w:rPr>
                <w:sz w:val="11"/>
                <w:szCs w:val="11"/>
                <w:color w:val="auto"/>
              </w:rPr>
            </w:pPr>
          </w:p>
        </w:tc>
      </w:tr>
      <w:tr>
        <w:trPr>
          <w:trHeight w:val="200"/>
        </w:trPr>
        <w:tc>
          <w:tcPr>
            <w:tcW w:w="960" w:type="dxa"/>
            <w:vAlign w:val="bottom"/>
            <w:shd w:val="clear" w:color="auto" w:fill="CFF0FC"/>
          </w:tcPr>
          <w:p>
            <w:pPr>
              <w:spacing w:after="0" w:line="200" w:lineRule="exact"/>
              <w:rPr>
                <w:sz w:val="20"/>
                <w:szCs w:val="20"/>
                <w:color w:val="auto"/>
              </w:rPr>
            </w:pPr>
            <w:r>
              <w:rPr>
                <w:rFonts w:ascii="Arial" w:cs="Arial" w:eastAsia="Arial" w:hAnsi="Arial"/>
                <w:sz w:val="18"/>
                <w:szCs w:val="18"/>
                <w:b w:val="1"/>
                <w:bCs w:val="1"/>
                <w:color w:val="auto"/>
              </w:rPr>
              <w:t>Target 1</w:t>
            </w:r>
          </w:p>
        </w:tc>
        <w:tc>
          <w:tcPr>
            <w:tcW w:w="2140" w:type="dxa"/>
            <w:vAlign w:val="bottom"/>
            <w:gridSpan w:val="3"/>
            <w:shd w:val="clear" w:color="auto" w:fill="CFF0FC"/>
          </w:tcPr>
          <w:p>
            <w:pPr>
              <w:ind w:left="320"/>
              <w:spacing w:after="0" w:line="200" w:lineRule="exact"/>
              <w:rPr>
                <w:sz w:val="20"/>
                <w:szCs w:val="20"/>
                <w:color w:val="auto"/>
              </w:rPr>
            </w:pPr>
            <w:r>
              <w:rPr>
                <w:rFonts w:ascii="Arial" w:cs="Arial" w:eastAsia="Arial" w:hAnsi="Arial"/>
                <w:sz w:val="18"/>
                <w:szCs w:val="18"/>
                <w:color w:val="auto"/>
              </w:rPr>
              <w:t>Sales</w:t>
            </w:r>
          </w:p>
        </w:tc>
        <w:tc>
          <w:tcPr>
            <w:tcW w:w="1360" w:type="dxa"/>
            <w:vAlign w:val="bottom"/>
            <w:gridSpan w:val="3"/>
            <w:shd w:val="clear" w:color="auto" w:fill="CFF0FC"/>
          </w:tcPr>
          <w:p>
            <w:pPr>
              <w:jc w:val="center"/>
              <w:spacing w:after="0" w:line="200" w:lineRule="exact"/>
              <w:rPr>
                <w:sz w:val="20"/>
                <w:szCs w:val="20"/>
                <w:color w:val="auto"/>
              </w:rPr>
            </w:pPr>
            <w:r>
              <w:rPr>
                <w:rFonts w:ascii="Arial" w:cs="Arial" w:eastAsia="Arial" w:hAnsi="Arial"/>
                <w:sz w:val="18"/>
                <w:szCs w:val="18"/>
                <w:color w:val="auto"/>
                <w:w w:val="90"/>
              </w:rPr>
              <w:t>25.0%</w:t>
            </w:r>
          </w:p>
        </w:tc>
        <w:tc>
          <w:tcPr>
            <w:tcW w:w="6960" w:type="dxa"/>
            <w:vAlign w:val="bottom"/>
            <w:gridSpan w:val="5"/>
            <w:shd w:val="clear" w:color="auto" w:fill="CFF0FC"/>
          </w:tcPr>
          <w:p>
            <w:pPr>
              <w:ind w:left="120"/>
              <w:spacing w:after="0" w:line="200" w:lineRule="exact"/>
              <w:rPr>
                <w:sz w:val="20"/>
                <w:szCs w:val="20"/>
                <w:color w:val="auto"/>
              </w:rPr>
            </w:pPr>
            <w:r>
              <w:rPr>
                <w:rFonts w:ascii="Arial" w:cs="Arial" w:eastAsia="Arial" w:hAnsi="Arial"/>
                <w:sz w:val="18"/>
                <w:szCs w:val="18"/>
                <w:color w:val="auto"/>
                <w:w w:val="90"/>
              </w:rPr>
              <w:t>100% payout at set target, with 50% payout at 98.1% of set target and 150% payout at 101.9%</w:t>
            </w:r>
          </w:p>
        </w:tc>
      </w:tr>
      <w:tr>
        <w:trPr>
          <w:trHeight w:val="227"/>
        </w:trPr>
        <w:tc>
          <w:tcPr>
            <w:tcW w:w="9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96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of target</w:t>
            </w:r>
          </w:p>
        </w:tc>
      </w:tr>
      <w:tr>
        <w:trPr>
          <w:trHeight w:val="109"/>
        </w:trPr>
        <w:tc>
          <w:tcPr>
            <w:tcW w:w="9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80" w:type="dxa"/>
            <w:vAlign w:val="bottom"/>
            <w:shd w:val="clear" w:color="auto" w:fill="CFF0FC"/>
          </w:tcPr>
          <w:p>
            <w:pPr>
              <w:spacing w:after="0"/>
              <w:rPr>
                <w:sz w:val="9"/>
                <w:szCs w:val="9"/>
                <w:color w:val="auto"/>
              </w:rPr>
            </w:pPr>
          </w:p>
        </w:tc>
        <w:tc>
          <w:tcPr>
            <w:tcW w:w="1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60" w:type="dxa"/>
            <w:vAlign w:val="bottom"/>
            <w:shd w:val="clear" w:color="auto" w:fill="CFF0FC"/>
          </w:tcPr>
          <w:p>
            <w:pPr>
              <w:spacing w:after="0"/>
              <w:rPr>
                <w:sz w:val="9"/>
                <w:szCs w:val="9"/>
                <w:color w:val="auto"/>
              </w:rPr>
            </w:pPr>
          </w:p>
        </w:tc>
      </w:tr>
      <w:tr>
        <w:trPr>
          <w:trHeight w:val="200"/>
        </w:trPr>
        <w:tc>
          <w:tcPr>
            <w:tcW w:w="960" w:type="dxa"/>
            <w:vAlign w:val="bottom"/>
          </w:tcPr>
          <w:p>
            <w:pPr>
              <w:spacing w:after="0" w:line="200" w:lineRule="exact"/>
              <w:rPr>
                <w:sz w:val="20"/>
                <w:szCs w:val="20"/>
                <w:color w:val="auto"/>
              </w:rPr>
            </w:pPr>
            <w:r>
              <w:rPr>
                <w:rFonts w:ascii="Arial" w:cs="Arial" w:eastAsia="Arial" w:hAnsi="Arial"/>
                <w:sz w:val="18"/>
                <w:szCs w:val="18"/>
                <w:b w:val="1"/>
                <w:bCs w:val="1"/>
                <w:color w:val="auto"/>
              </w:rPr>
              <w:t>Target 2</w:t>
            </w:r>
          </w:p>
        </w:tc>
        <w:tc>
          <w:tcPr>
            <w:tcW w:w="2140" w:type="dxa"/>
            <w:vAlign w:val="bottom"/>
            <w:gridSpan w:val="3"/>
          </w:tcPr>
          <w:p>
            <w:pPr>
              <w:ind w:left="320"/>
              <w:spacing w:after="0" w:line="200" w:lineRule="exact"/>
              <w:rPr>
                <w:sz w:val="20"/>
                <w:szCs w:val="20"/>
                <w:color w:val="auto"/>
              </w:rPr>
            </w:pPr>
            <w:r>
              <w:rPr>
                <w:rFonts w:ascii="Arial" w:cs="Arial" w:eastAsia="Arial" w:hAnsi="Arial"/>
                <w:sz w:val="18"/>
                <w:szCs w:val="18"/>
                <w:color w:val="auto"/>
              </w:rPr>
              <w:t>Adjusted EBITDA</w:t>
            </w:r>
          </w:p>
        </w:tc>
        <w:tc>
          <w:tcPr>
            <w:tcW w:w="1360" w:type="dxa"/>
            <w:vAlign w:val="bottom"/>
            <w:gridSpan w:val="3"/>
          </w:tcPr>
          <w:p>
            <w:pPr>
              <w:jc w:val="center"/>
              <w:spacing w:after="0" w:line="200" w:lineRule="exact"/>
              <w:rPr>
                <w:sz w:val="20"/>
                <w:szCs w:val="20"/>
                <w:color w:val="auto"/>
              </w:rPr>
            </w:pPr>
            <w:r>
              <w:rPr>
                <w:rFonts w:ascii="Arial" w:cs="Arial" w:eastAsia="Arial" w:hAnsi="Arial"/>
                <w:sz w:val="18"/>
                <w:szCs w:val="18"/>
                <w:color w:val="auto"/>
                <w:w w:val="90"/>
              </w:rPr>
              <w:t>30.0%</w:t>
            </w:r>
          </w:p>
        </w:tc>
        <w:tc>
          <w:tcPr>
            <w:tcW w:w="6960" w:type="dxa"/>
            <w:vAlign w:val="bottom"/>
            <w:gridSpan w:val="5"/>
          </w:tcPr>
          <w:p>
            <w:pPr>
              <w:ind w:left="120"/>
              <w:spacing w:after="0" w:line="200" w:lineRule="exact"/>
              <w:rPr>
                <w:sz w:val="20"/>
                <w:szCs w:val="20"/>
                <w:color w:val="auto"/>
              </w:rPr>
            </w:pPr>
            <w:r>
              <w:rPr>
                <w:rFonts w:ascii="Arial" w:cs="Arial" w:eastAsia="Arial" w:hAnsi="Arial"/>
                <w:sz w:val="18"/>
                <w:szCs w:val="18"/>
                <w:color w:val="auto"/>
                <w:w w:val="90"/>
              </w:rPr>
              <w:t>100% payout at set target, with 50% payout at 91.0% of set target and 150% payout at 108.9%</w:t>
            </w:r>
          </w:p>
        </w:tc>
      </w:tr>
      <w:tr>
        <w:trPr>
          <w:trHeight w:val="227"/>
        </w:trPr>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rPr>
              <w:t>of target</w:t>
            </w:r>
          </w:p>
        </w:tc>
      </w:tr>
      <w:tr>
        <w:trPr>
          <w:trHeight w:val="109"/>
        </w:trPr>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200"/>
        </w:trPr>
        <w:tc>
          <w:tcPr>
            <w:tcW w:w="960" w:type="dxa"/>
            <w:vAlign w:val="bottom"/>
            <w:shd w:val="clear" w:color="auto" w:fill="CFF0FC"/>
          </w:tcPr>
          <w:p>
            <w:pPr>
              <w:spacing w:after="0" w:line="200" w:lineRule="exact"/>
              <w:rPr>
                <w:sz w:val="20"/>
                <w:szCs w:val="20"/>
                <w:color w:val="auto"/>
              </w:rPr>
            </w:pPr>
            <w:r>
              <w:rPr>
                <w:rFonts w:ascii="Arial" w:cs="Arial" w:eastAsia="Arial" w:hAnsi="Arial"/>
                <w:sz w:val="18"/>
                <w:szCs w:val="18"/>
                <w:b w:val="1"/>
                <w:bCs w:val="1"/>
                <w:color w:val="auto"/>
              </w:rPr>
              <w:t>Target 3</w:t>
            </w:r>
          </w:p>
        </w:tc>
        <w:tc>
          <w:tcPr>
            <w:tcW w:w="2140" w:type="dxa"/>
            <w:vAlign w:val="bottom"/>
            <w:gridSpan w:val="3"/>
            <w:shd w:val="clear" w:color="auto" w:fill="CFF0FC"/>
          </w:tcPr>
          <w:p>
            <w:pPr>
              <w:ind w:left="320"/>
              <w:spacing w:after="0" w:line="200" w:lineRule="exact"/>
              <w:rPr>
                <w:sz w:val="20"/>
                <w:szCs w:val="20"/>
                <w:color w:val="auto"/>
              </w:rPr>
            </w:pPr>
            <w:r>
              <w:rPr>
                <w:rFonts w:ascii="Arial" w:cs="Arial" w:eastAsia="Arial" w:hAnsi="Arial"/>
                <w:sz w:val="18"/>
                <w:szCs w:val="18"/>
                <w:color w:val="auto"/>
              </w:rPr>
              <w:t>Merchandise Margin</w:t>
            </w:r>
          </w:p>
        </w:tc>
        <w:tc>
          <w:tcPr>
            <w:tcW w:w="1360" w:type="dxa"/>
            <w:vAlign w:val="bottom"/>
            <w:gridSpan w:val="3"/>
            <w:shd w:val="clear" w:color="auto" w:fill="CFF0FC"/>
          </w:tcPr>
          <w:p>
            <w:pPr>
              <w:jc w:val="center"/>
              <w:spacing w:after="0" w:line="200" w:lineRule="exact"/>
              <w:rPr>
                <w:sz w:val="20"/>
                <w:szCs w:val="20"/>
                <w:color w:val="auto"/>
              </w:rPr>
            </w:pPr>
            <w:r>
              <w:rPr>
                <w:rFonts w:ascii="Arial" w:cs="Arial" w:eastAsia="Arial" w:hAnsi="Arial"/>
                <w:sz w:val="18"/>
                <w:szCs w:val="18"/>
                <w:color w:val="auto"/>
                <w:w w:val="90"/>
              </w:rPr>
              <w:t>15.0%</w:t>
            </w:r>
          </w:p>
        </w:tc>
        <w:tc>
          <w:tcPr>
            <w:tcW w:w="6960" w:type="dxa"/>
            <w:vAlign w:val="bottom"/>
            <w:gridSpan w:val="5"/>
            <w:shd w:val="clear" w:color="auto" w:fill="CFF0FC"/>
          </w:tcPr>
          <w:p>
            <w:pPr>
              <w:ind w:left="120"/>
              <w:spacing w:after="0" w:line="200" w:lineRule="exact"/>
              <w:rPr>
                <w:sz w:val="20"/>
                <w:szCs w:val="20"/>
                <w:color w:val="auto"/>
              </w:rPr>
            </w:pPr>
            <w:r>
              <w:rPr>
                <w:rFonts w:ascii="Arial" w:cs="Arial" w:eastAsia="Arial" w:hAnsi="Arial"/>
                <w:sz w:val="18"/>
                <w:szCs w:val="18"/>
                <w:color w:val="auto"/>
                <w:w w:val="90"/>
              </w:rPr>
              <w:t>Target must be achieved for a minimum payout of 100%, with 125% payout at 102.1% of target</w:t>
            </w:r>
          </w:p>
        </w:tc>
      </w:tr>
      <w:tr>
        <w:trPr>
          <w:trHeight w:val="227"/>
        </w:trPr>
        <w:tc>
          <w:tcPr>
            <w:tcW w:w="9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96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and 150% of payout at 104.3% of target.</w:t>
            </w:r>
          </w:p>
        </w:tc>
      </w:tr>
      <w:tr>
        <w:trPr>
          <w:trHeight w:val="109"/>
        </w:trPr>
        <w:tc>
          <w:tcPr>
            <w:tcW w:w="9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80" w:type="dxa"/>
            <w:vAlign w:val="bottom"/>
            <w:shd w:val="clear" w:color="auto" w:fill="CFF0FC"/>
          </w:tcPr>
          <w:p>
            <w:pPr>
              <w:spacing w:after="0"/>
              <w:rPr>
                <w:sz w:val="9"/>
                <w:szCs w:val="9"/>
                <w:color w:val="auto"/>
              </w:rPr>
            </w:pPr>
          </w:p>
        </w:tc>
        <w:tc>
          <w:tcPr>
            <w:tcW w:w="1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60" w:type="dxa"/>
            <w:vAlign w:val="bottom"/>
            <w:shd w:val="clear" w:color="auto" w:fill="CFF0FC"/>
          </w:tcPr>
          <w:p>
            <w:pPr>
              <w:spacing w:after="0"/>
              <w:rPr>
                <w:sz w:val="9"/>
                <w:szCs w:val="9"/>
                <w:color w:val="auto"/>
              </w:rPr>
            </w:pPr>
          </w:p>
        </w:tc>
      </w:tr>
      <w:tr>
        <w:trPr>
          <w:trHeight w:val="200"/>
        </w:trPr>
        <w:tc>
          <w:tcPr>
            <w:tcW w:w="960" w:type="dxa"/>
            <w:vAlign w:val="bottom"/>
          </w:tcPr>
          <w:p>
            <w:pPr>
              <w:spacing w:after="0" w:line="200" w:lineRule="exact"/>
              <w:rPr>
                <w:sz w:val="20"/>
                <w:szCs w:val="20"/>
                <w:color w:val="auto"/>
              </w:rPr>
            </w:pPr>
            <w:r>
              <w:rPr>
                <w:rFonts w:ascii="Arial" w:cs="Arial" w:eastAsia="Arial" w:hAnsi="Arial"/>
                <w:sz w:val="18"/>
                <w:szCs w:val="18"/>
                <w:b w:val="1"/>
                <w:bCs w:val="1"/>
                <w:color w:val="auto"/>
              </w:rPr>
              <w:t>Target 4</w:t>
            </w:r>
          </w:p>
        </w:tc>
        <w:tc>
          <w:tcPr>
            <w:tcW w:w="2140" w:type="dxa"/>
            <w:vAlign w:val="bottom"/>
            <w:gridSpan w:val="3"/>
          </w:tcPr>
          <w:p>
            <w:pPr>
              <w:ind w:left="320"/>
              <w:spacing w:after="0" w:line="200" w:lineRule="exact"/>
              <w:rPr>
                <w:sz w:val="20"/>
                <w:szCs w:val="20"/>
                <w:color w:val="auto"/>
              </w:rPr>
            </w:pPr>
            <w:r>
              <w:rPr>
                <w:rFonts w:ascii="Arial" w:cs="Arial" w:eastAsia="Arial" w:hAnsi="Arial"/>
                <w:sz w:val="18"/>
                <w:szCs w:val="18"/>
                <w:color w:val="auto"/>
                <w:w w:val="95"/>
              </w:rPr>
              <w:t>DXL Comparable Sales</w:t>
            </w:r>
          </w:p>
        </w:tc>
        <w:tc>
          <w:tcPr>
            <w:tcW w:w="1360" w:type="dxa"/>
            <w:vAlign w:val="bottom"/>
            <w:gridSpan w:val="3"/>
          </w:tcPr>
          <w:p>
            <w:pPr>
              <w:jc w:val="center"/>
              <w:spacing w:after="0" w:line="200" w:lineRule="exact"/>
              <w:rPr>
                <w:sz w:val="20"/>
                <w:szCs w:val="20"/>
                <w:color w:val="auto"/>
              </w:rPr>
            </w:pPr>
            <w:r>
              <w:rPr>
                <w:rFonts w:ascii="Arial" w:cs="Arial" w:eastAsia="Arial" w:hAnsi="Arial"/>
                <w:sz w:val="18"/>
                <w:szCs w:val="18"/>
                <w:color w:val="auto"/>
                <w:w w:val="90"/>
              </w:rPr>
              <w:t>15.0%</w:t>
            </w:r>
          </w:p>
        </w:tc>
        <w:tc>
          <w:tcPr>
            <w:tcW w:w="6960" w:type="dxa"/>
            <w:vAlign w:val="bottom"/>
            <w:gridSpan w:val="5"/>
          </w:tcPr>
          <w:p>
            <w:pPr>
              <w:ind w:left="120"/>
              <w:spacing w:after="0" w:line="200" w:lineRule="exact"/>
              <w:rPr>
                <w:sz w:val="20"/>
                <w:szCs w:val="20"/>
                <w:color w:val="auto"/>
              </w:rPr>
            </w:pPr>
            <w:r>
              <w:rPr>
                <w:rFonts w:ascii="Arial" w:cs="Arial" w:eastAsia="Arial" w:hAnsi="Arial"/>
                <w:sz w:val="18"/>
                <w:szCs w:val="18"/>
                <w:color w:val="auto"/>
                <w:w w:val="91"/>
              </w:rPr>
              <w:t>100% payout at set target, with 50% payout at 61.0% of target and 150% of payout at 139.0%</w:t>
            </w:r>
          </w:p>
        </w:tc>
      </w:tr>
      <w:tr>
        <w:trPr>
          <w:trHeight w:val="227"/>
        </w:trPr>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rPr>
              <w:t>of target</w:t>
            </w:r>
          </w:p>
        </w:tc>
      </w:tr>
      <w:tr>
        <w:trPr>
          <w:trHeight w:val="109"/>
        </w:trPr>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200"/>
        </w:trPr>
        <w:tc>
          <w:tcPr>
            <w:tcW w:w="960" w:type="dxa"/>
            <w:vAlign w:val="bottom"/>
            <w:shd w:val="clear" w:color="auto" w:fill="CFF0FC"/>
          </w:tcPr>
          <w:p>
            <w:pPr>
              <w:spacing w:after="0" w:line="200" w:lineRule="exact"/>
              <w:rPr>
                <w:sz w:val="20"/>
                <w:szCs w:val="20"/>
                <w:color w:val="auto"/>
              </w:rPr>
            </w:pPr>
            <w:r>
              <w:rPr>
                <w:rFonts w:ascii="Arial" w:cs="Arial" w:eastAsia="Arial" w:hAnsi="Arial"/>
                <w:sz w:val="18"/>
                <w:szCs w:val="18"/>
                <w:b w:val="1"/>
                <w:bCs w:val="1"/>
                <w:color w:val="auto"/>
              </w:rPr>
              <w:t>Target 5</w:t>
            </w:r>
          </w:p>
        </w:tc>
        <w:tc>
          <w:tcPr>
            <w:tcW w:w="2140" w:type="dxa"/>
            <w:vAlign w:val="bottom"/>
            <w:gridSpan w:val="3"/>
            <w:shd w:val="clear" w:color="auto" w:fill="CFF0FC"/>
          </w:tcPr>
          <w:p>
            <w:pPr>
              <w:ind w:left="320"/>
              <w:spacing w:after="0" w:line="200" w:lineRule="exact"/>
              <w:rPr>
                <w:sz w:val="20"/>
                <w:szCs w:val="20"/>
                <w:color w:val="auto"/>
              </w:rPr>
            </w:pPr>
            <w:r>
              <w:rPr>
                <w:rFonts w:ascii="Arial" w:cs="Arial" w:eastAsia="Arial" w:hAnsi="Arial"/>
                <w:sz w:val="18"/>
                <w:szCs w:val="18"/>
                <w:color w:val="auto"/>
              </w:rPr>
              <w:t>DXL Sales per Square</w:t>
            </w:r>
          </w:p>
        </w:tc>
        <w:tc>
          <w:tcPr>
            <w:tcW w:w="1360" w:type="dxa"/>
            <w:vAlign w:val="bottom"/>
            <w:gridSpan w:val="3"/>
            <w:shd w:val="clear" w:color="auto" w:fill="CFF0FC"/>
          </w:tcPr>
          <w:p>
            <w:pPr>
              <w:jc w:val="center"/>
              <w:spacing w:after="0" w:line="200" w:lineRule="exact"/>
              <w:rPr>
                <w:sz w:val="20"/>
                <w:szCs w:val="20"/>
                <w:color w:val="auto"/>
              </w:rPr>
            </w:pPr>
            <w:r>
              <w:rPr>
                <w:rFonts w:ascii="Arial" w:cs="Arial" w:eastAsia="Arial" w:hAnsi="Arial"/>
                <w:sz w:val="18"/>
                <w:szCs w:val="18"/>
                <w:color w:val="auto"/>
                <w:w w:val="90"/>
              </w:rPr>
              <w:t>15.0%</w:t>
            </w:r>
          </w:p>
        </w:tc>
        <w:tc>
          <w:tcPr>
            <w:tcW w:w="6960" w:type="dxa"/>
            <w:vAlign w:val="bottom"/>
            <w:gridSpan w:val="5"/>
            <w:shd w:val="clear" w:color="auto" w:fill="CFF0FC"/>
          </w:tcPr>
          <w:p>
            <w:pPr>
              <w:ind w:left="120"/>
              <w:spacing w:after="0" w:line="200" w:lineRule="exact"/>
              <w:rPr>
                <w:sz w:val="20"/>
                <w:szCs w:val="20"/>
                <w:color w:val="auto"/>
              </w:rPr>
            </w:pPr>
            <w:r>
              <w:rPr>
                <w:rFonts w:ascii="Arial" w:cs="Arial" w:eastAsia="Arial" w:hAnsi="Arial"/>
                <w:sz w:val="18"/>
                <w:szCs w:val="18"/>
                <w:color w:val="auto"/>
                <w:w w:val="91"/>
              </w:rPr>
              <w:t>100% payout at set target, with 50% payout at 97.9% of target and 150% of payout at 102.1%</w:t>
            </w:r>
          </w:p>
        </w:tc>
      </w:tr>
      <w:tr>
        <w:trPr>
          <w:trHeight w:val="227"/>
        </w:trPr>
        <w:tc>
          <w:tcPr>
            <w:tcW w:w="960" w:type="dxa"/>
            <w:vAlign w:val="bottom"/>
            <w:shd w:val="clear" w:color="auto" w:fill="CFF0FC"/>
          </w:tcPr>
          <w:p>
            <w:pPr>
              <w:spacing w:after="0"/>
              <w:rPr>
                <w:sz w:val="19"/>
                <w:szCs w:val="19"/>
                <w:color w:val="auto"/>
              </w:rPr>
            </w:pPr>
          </w:p>
        </w:tc>
        <w:tc>
          <w:tcPr>
            <w:tcW w:w="2140" w:type="dxa"/>
            <w:vAlign w:val="bottom"/>
            <w:gridSpan w:val="3"/>
            <w:shd w:val="clear" w:color="auto" w:fill="CFF0FC"/>
          </w:tcPr>
          <w:p>
            <w:pPr>
              <w:ind w:left="320"/>
              <w:spacing w:after="0"/>
              <w:rPr>
                <w:sz w:val="20"/>
                <w:szCs w:val="20"/>
                <w:color w:val="auto"/>
              </w:rPr>
            </w:pPr>
            <w:r>
              <w:rPr>
                <w:rFonts w:ascii="Arial" w:cs="Arial" w:eastAsia="Arial" w:hAnsi="Arial"/>
                <w:sz w:val="18"/>
                <w:szCs w:val="18"/>
                <w:color w:val="auto"/>
              </w:rPr>
              <w:t>Foot</w:t>
            </w: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96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of target</w:t>
            </w:r>
          </w:p>
        </w:tc>
      </w:tr>
      <w:tr>
        <w:trPr>
          <w:trHeight w:val="109"/>
        </w:trPr>
        <w:tc>
          <w:tcPr>
            <w:tcW w:w="9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80" w:type="dxa"/>
            <w:vAlign w:val="bottom"/>
            <w:shd w:val="clear" w:color="auto" w:fill="CFF0FC"/>
          </w:tcPr>
          <w:p>
            <w:pPr>
              <w:spacing w:after="0"/>
              <w:rPr>
                <w:sz w:val="9"/>
                <w:szCs w:val="9"/>
                <w:color w:val="auto"/>
              </w:rPr>
            </w:pPr>
          </w:p>
        </w:tc>
        <w:tc>
          <w:tcPr>
            <w:tcW w:w="1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60" w:type="dxa"/>
            <w:vAlign w:val="bottom"/>
            <w:shd w:val="clear" w:color="auto" w:fill="CFF0FC"/>
          </w:tcPr>
          <w:p>
            <w:pPr>
              <w:spacing w:after="0"/>
              <w:rPr>
                <w:sz w:val="9"/>
                <w:szCs w:val="9"/>
                <w:color w:val="auto"/>
              </w:rPr>
            </w:pPr>
          </w:p>
        </w:tc>
      </w:tr>
    </w:tbl>
    <w:p>
      <w:pPr>
        <w:spacing w:after="0" w:line="200" w:lineRule="exact"/>
        <w:rPr>
          <w:sz w:val="20"/>
          <w:szCs w:val="20"/>
          <w:color w:val="auto"/>
        </w:rPr>
      </w:pPr>
    </w:p>
    <w:p>
      <w:pPr>
        <w:spacing w:after="0" w:line="214"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The Compensation Committee believes that it is possible to meet or exceed the targets set for fiscal 2016.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we expect that achieving these goals and objectives will require substantial efforts by the entire Company. As a result, the likelihood of achieving the 2016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193" w:lineRule="exact"/>
        <w:rPr>
          <w:sz w:val="20"/>
          <w:szCs w:val="20"/>
          <w:color w:val="auto"/>
        </w:rPr>
      </w:pPr>
    </w:p>
    <w:p>
      <w:pPr>
        <w:ind w:left="760" w:right="340"/>
        <w:spacing w:after="0" w:line="260" w:lineRule="auto"/>
        <w:rPr>
          <w:sz w:val="20"/>
          <w:szCs w:val="20"/>
          <w:color w:val="auto"/>
        </w:rPr>
      </w:pPr>
      <w:r>
        <w:rPr>
          <w:rFonts w:ascii="Arial" w:cs="Arial" w:eastAsia="Arial" w:hAnsi="Arial"/>
          <w:sz w:val="18"/>
          <w:szCs w:val="18"/>
          <w:color w:val="auto"/>
        </w:rPr>
        <w:t>Assuming we achieve 100% of the above targets for fiscal 2016, we estimate that the total potential payout under the 2016 AIP would be approximately $4.3 million, of which $1.4 million would be paid to our Named Executive Officers as set forth below, and the remaining amount would be paid to the approximately 107 other participants.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Fiscal 2016</w:t>
            </w:r>
          </w:p>
        </w:tc>
      </w:tr>
      <w:tr>
        <w:trPr>
          <w:trHeight w:val="147"/>
        </w:trPr>
        <w:tc>
          <w:tcPr>
            <w:tcW w:w="94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Named Executive Officer</w:t>
            </w:r>
          </w:p>
        </w:tc>
        <w:tc>
          <w:tcPr>
            <w:tcW w:w="280" w:type="dxa"/>
            <w:vAlign w:val="bottom"/>
          </w:tcPr>
          <w:p>
            <w:pPr>
              <w:spacing w:after="0"/>
              <w:rPr>
                <w:sz w:val="12"/>
                <w:szCs w:val="12"/>
                <w:color w:val="auto"/>
              </w:rPr>
            </w:pPr>
          </w:p>
        </w:tc>
        <w:tc>
          <w:tcPr>
            <w:tcW w:w="172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4"/>
              </w:rPr>
              <w:t>Potential Payout</w:t>
            </w:r>
          </w:p>
        </w:tc>
      </w:tr>
      <w:tr>
        <w:trPr>
          <w:trHeight w:val="160"/>
        </w:trPr>
        <w:tc>
          <w:tcPr>
            <w:tcW w:w="9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at Target</w:t>
            </w:r>
          </w:p>
        </w:tc>
      </w:tr>
      <w:tr>
        <w:trPr>
          <w:trHeight w:val="221"/>
        </w:trPr>
        <w:tc>
          <w:tcPr>
            <w:tcW w:w="9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Levin</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811,200</w:t>
            </w:r>
          </w:p>
        </w:tc>
        <w:tc>
          <w:tcPr>
            <w:tcW w:w="100" w:type="dxa"/>
            <w:vAlign w:val="bottom"/>
          </w:tcPr>
          <w:p>
            <w:pPr>
              <w:spacing w:after="0"/>
              <w:rPr>
                <w:sz w:val="19"/>
                <w:szCs w:val="19"/>
                <w:color w:val="auto"/>
              </w:rPr>
            </w:pPr>
          </w:p>
        </w:tc>
      </w:tr>
      <w:tr>
        <w:trPr>
          <w:trHeight w:val="228"/>
        </w:trPr>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134,462</w:t>
            </w:r>
          </w:p>
        </w:tc>
        <w:tc>
          <w:tcPr>
            <w:tcW w:w="100" w:type="dxa"/>
            <w:vAlign w:val="bottom"/>
            <w:shd w:val="clear" w:color="auto" w:fill="CFF0FC"/>
          </w:tcPr>
          <w:p>
            <w:pPr>
              <w:spacing w:after="0"/>
              <w:rPr>
                <w:sz w:val="19"/>
                <w:szCs w:val="19"/>
                <w:color w:val="auto"/>
              </w:rPr>
            </w:pPr>
          </w:p>
        </w:tc>
      </w:tr>
      <w:tr>
        <w:trPr>
          <w:trHeight w:val="227"/>
        </w:trPr>
        <w:tc>
          <w:tcPr>
            <w:tcW w:w="942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tcPr>
          <w:p>
            <w:pPr>
              <w:spacing w:after="0"/>
              <w:rPr>
                <w:sz w:val="19"/>
                <w:szCs w:val="19"/>
                <w:color w:val="auto"/>
              </w:rPr>
            </w:pPr>
          </w:p>
        </w:tc>
      </w:tr>
      <w:tr>
        <w:trPr>
          <w:trHeight w:val="228"/>
        </w:trPr>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136,923</w:t>
            </w:r>
          </w:p>
        </w:tc>
        <w:tc>
          <w:tcPr>
            <w:tcW w:w="100" w:type="dxa"/>
            <w:vAlign w:val="bottom"/>
            <w:shd w:val="clear" w:color="auto" w:fill="CFF0FC"/>
          </w:tcPr>
          <w:p>
            <w:pPr>
              <w:spacing w:after="0"/>
              <w:rPr>
                <w:sz w:val="19"/>
                <w:szCs w:val="19"/>
                <w:color w:val="auto"/>
              </w:rPr>
            </w:pPr>
          </w:p>
        </w:tc>
      </w:tr>
      <w:tr>
        <w:trPr>
          <w:trHeight w:val="227"/>
        </w:trPr>
        <w:tc>
          <w:tcPr>
            <w:tcW w:w="942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9"/>
                <w:szCs w:val="19"/>
                <w:color w:val="auto"/>
              </w:rPr>
            </w:pPr>
          </w:p>
        </w:tc>
      </w:tr>
    </w:tbl>
    <w:p>
      <w:pPr>
        <w:spacing w:after="0" w:line="93" w:lineRule="exact"/>
        <w:rPr>
          <w:sz w:val="20"/>
          <w:szCs w:val="20"/>
          <w:color w:val="auto"/>
        </w:rPr>
      </w:pPr>
    </w:p>
    <w:p>
      <w:pPr>
        <w:ind w:left="780" w:hanging="264"/>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14" w:lineRule="exact"/>
        <w:rPr>
          <w:rFonts w:ascii="Arial" w:cs="Arial" w:eastAsia="Arial" w:hAnsi="Arial"/>
          <w:sz w:val="18"/>
          <w:szCs w:val="18"/>
          <w:color w:val="auto"/>
        </w:rPr>
      </w:pPr>
    </w:p>
    <w:p>
      <w:pPr>
        <w:ind w:left="780" w:hanging="15"/>
        <w:spacing w:after="0" w:line="256" w:lineRule="auto"/>
        <w:rPr>
          <w:rFonts w:ascii="Arial" w:cs="Arial" w:eastAsia="Arial" w:hAnsi="Arial"/>
          <w:sz w:val="18"/>
          <w:szCs w:val="18"/>
          <w:color w:val="auto"/>
        </w:rPr>
      </w:pPr>
      <w:r>
        <w:rPr>
          <w:rFonts w:ascii="Arial" w:cs="Arial" w:eastAsia="Arial" w:hAnsi="Arial"/>
          <w:sz w:val="18"/>
          <w:szCs w:val="18"/>
          <w:color w:val="auto"/>
        </w:rPr>
        <w:t>Long-term incentive plans (“LTIPs”) are an important component of our executive compensation program, as they are designed to align the interests of our executives with those of our stockholders to create long-term value and to promote long-term retention of our executives. Since the Company adopted its first LTIP in 2008, the Compensation Committee has not made annual discretionary grants of stock options or other equity-based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4" w:name="page25"/>
    <w:bookmarkEnd w:id="24"/>
    <w:p>
      <w:pPr>
        <w:ind w:left="760"/>
        <w:spacing w:after="0"/>
        <w:rPr>
          <w:sz w:val="20"/>
          <w:szCs w:val="20"/>
          <w:color w:val="auto"/>
        </w:rPr>
      </w:pPr>
      <w:r>
        <w:rPr>
          <w:rFonts w:ascii="Arial" w:cs="Arial" w:eastAsia="Arial" w:hAnsi="Arial"/>
          <w:sz w:val="18"/>
          <w:szCs w:val="18"/>
          <w:u w:val="single" w:color="auto"/>
          <w:color w:val="auto"/>
        </w:rPr>
        <w:t>2013-2016 Long-Term Incentive Plan (“LTIP”)</w:t>
      </w:r>
    </w:p>
    <w:p>
      <w:pPr>
        <w:spacing w:after="0" w:line="115" w:lineRule="exact"/>
        <w:rPr>
          <w:sz w:val="20"/>
          <w:szCs w:val="20"/>
          <w:color w:val="auto"/>
        </w:rPr>
      </w:pPr>
    </w:p>
    <w:p>
      <w:pPr>
        <w:ind w:left="780" w:right="100" w:hanging="14"/>
        <w:spacing w:after="0" w:line="268" w:lineRule="auto"/>
        <w:rPr>
          <w:sz w:val="20"/>
          <w:szCs w:val="20"/>
          <w:color w:val="auto"/>
        </w:rPr>
      </w:pPr>
      <w:r>
        <w:rPr>
          <w:rFonts w:ascii="Arial" w:cs="Arial" w:eastAsia="Arial" w:hAnsi="Arial"/>
          <w:sz w:val="17"/>
          <w:szCs w:val="17"/>
          <w:color w:val="auto"/>
        </w:rPr>
        <w:t>In 2013, the Compensation Committee approved our 2013-2016 LTIP, which was designed for the specific purpose of retaining and rewarding our executives for the efforts required for the Company to transition to the DXL concept, which was originally expected to be four years. In 2013, each participant was granted an unearned and unvested award equal to four times their annual salary multiplied by their long-term incentive program percentage, which was 100% for the CEO and 70% for our other Named Executive Officers (the “Projected Benefit Obligation”). This award consisted of a combination of restricted stock, stock options and cash. Of the total award, 50% is subject to time-based vesting and 50% is subject to performance-based vesting. The time-vested portion of the award (half of the shares of restricted stock, options and cash) vests in three installments with the first 20% having vested at the end of fiscal 2014 and the second installment having vested at the end of fiscal 2015. The remaining 40% will vest at the end of fiscal 2016.</w:t>
      </w:r>
    </w:p>
    <w:p>
      <w:pPr>
        <w:spacing w:after="0" w:line="76" w:lineRule="exact"/>
        <w:rPr>
          <w:sz w:val="20"/>
          <w:szCs w:val="20"/>
          <w:color w:val="auto"/>
        </w:rPr>
      </w:pPr>
    </w:p>
    <w:p>
      <w:pPr>
        <w:ind w:left="780" w:right="80" w:hanging="14"/>
        <w:spacing w:after="0" w:line="272" w:lineRule="auto"/>
        <w:rPr>
          <w:sz w:val="20"/>
          <w:szCs w:val="20"/>
          <w:color w:val="auto"/>
        </w:rPr>
      </w:pPr>
      <w:r>
        <w:rPr>
          <w:rFonts w:ascii="Arial" w:cs="Arial" w:eastAsia="Arial" w:hAnsi="Arial"/>
          <w:sz w:val="17"/>
          <w:szCs w:val="17"/>
          <w:color w:val="auto"/>
        </w:rPr>
        <w:t>For the performance-based portion of the award to vest, the Company must achieve revenue of at least $600 million and an operating margin of not less than 8.0% for the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71" w:lineRule="exact"/>
        <w:rPr>
          <w:sz w:val="20"/>
          <w:szCs w:val="20"/>
          <w:color w:val="auto"/>
        </w:rPr>
      </w:pPr>
    </w:p>
    <w:p>
      <w:pPr>
        <w:ind w:left="780" w:right="20" w:hanging="14"/>
        <w:spacing w:after="0" w:line="267" w:lineRule="auto"/>
        <w:rPr>
          <w:sz w:val="20"/>
          <w:szCs w:val="20"/>
          <w:color w:val="auto"/>
        </w:rPr>
      </w:pPr>
      <w:r>
        <w:rPr>
          <w:rFonts w:ascii="Arial" w:cs="Arial" w:eastAsia="Arial" w:hAnsi="Arial"/>
          <w:sz w:val="17"/>
          <w:szCs w:val="17"/>
          <w:color w:val="auto"/>
        </w:rPr>
        <w:t>The targets for the performance-based portion of the awards were based on having an estimated 215 to 230 DXL stores open by the end of fiscal 2015. At the beginning of fiscal 2014, however, the Board approved a strategic change to slow the timing of the transition, which it expected would improve the Company’s liquidity position during the transition while still achieving a successful rollout, although over a longer time period. In light of the strategic shift and the reduced number of DXL stores expected to be opened during the rollout, it became clear that the performance component of the 2013-2016 LTIP would most likely not be achievable. As a result, the participants in the 2013-2016 LTIP would likely have no opportunity to earn any performance-based compensation for four years, during which time we expect to have significantly transitioned the Company to the DXL concept. The Compensation Committee did not want to penalize the participants as a result of this strategic shift. After consultation with Sibson Consulting, in late 2014, the Compensation Committee established a supplemental plan, the “Wrap-Around Plan,” that exists at the same time as the 2013-2016 LTIP, but will be triggered only if there is no payout on the performance component of the 2013-2016 LTIP, as further described below.</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Wrap-Around Plan</w:t>
      </w:r>
    </w:p>
    <w:p>
      <w:pPr>
        <w:spacing w:after="0" w:line="115" w:lineRule="exact"/>
        <w:rPr>
          <w:sz w:val="20"/>
          <w:szCs w:val="20"/>
          <w:color w:val="auto"/>
        </w:rPr>
      </w:pPr>
    </w:p>
    <w:p>
      <w:pPr>
        <w:jc w:val="both"/>
        <w:ind w:left="780" w:right="320"/>
        <w:spacing w:after="0" w:line="260" w:lineRule="auto"/>
        <w:rPr>
          <w:sz w:val="20"/>
          <w:szCs w:val="20"/>
          <w:color w:val="auto"/>
        </w:rPr>
      </w:pPr>
      <w:r>
        <w:rPr>
          <w:rFonts w:ascii="Arial" w:cs="Arial" w:eastAsia="Arial" w:hAnsi="Arial"/>
          <w:sz w:val="18"/>
          <w:szCs w:val="18"/>
          <w:color w:val="auto"/>
        </w:rPr>
        <w:t>The Wrap-Around Plan is a supplemental performance-based incentive plan that is effective only if the Company does not meet the performance targets set forth above in the 2013-2016 LTIP. The performance targets under the Wrap-Around Plan reflect the Company’s forecasted operating results for fiscal 2016 given the revised store roll-out.</w:t>
      </w:r>
    </w:p>
    <w:p>
      <w:pPr>
        <w:spacing w:after="0" w:line="77" w:lineRule="exact"/>
        <w:rPr>
          <w:sz w:val="20"/>
          <w:szCs w:val="20"/>
          <w:color w:val="auto"/>
        </w:rPr>
      </w:pPr>
    </w:p>
    <w:p>
      <w:pPr>
        <w:ind w:left="780" w:right="40"/>
        <w:spacing w:after="0" w:line="260" w:lineRule="auto"/>
        <w:rPr>
          <w:sz w:val="20"/>
          <w:szCs w:val="20"/>
          <w:color w:val="auto"/>
        </w:rPr>
      </w:pPr>
      <w:r>
        <w:rPr>
          <w:rFonts w:ascii="Arial" w:cs="Arial" w:eastAsia="Arial" w:hAnsi="Arial"/>
          <w:sz w:val="18"/>
          <w:szCs w:val="18"/>
          <w:color w:val="auto"/>
        </w:rPr>
        <w:t>Under the Wrap-Around Plan, if the target performance metrics for fiscal 2016 are met, participants will be eligible to receive a payout equal to 80% of the dollar value of the performance-based compensation that they were eligible to receive under the 2013-2016 LTIP. The following is a summary of the key features of the Wrap-Around Plan: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Pr>
          <w:p>
            <w:pPr>
              <w:spacing w:after="0"/>
              <w:rPr>
                <w:sz w:val="16"/>
                <w:szCs w:val="16"/>
                <w:color w:val="auto"/>
              </w:rPr>
            </w:pPr>
          </w:p>
        </w:tc>
        <w:tc>
          <w:tcPr>
            <w:tcW w:w="3940" w:type="dxa"/>
            <w:vAlign w:val="bottom"/>
            <w:shd w:val="clear" w:color="auto" w:fill="CFF0FC"/>
          </w:tcPr>
          <w:p>
            <w:pPr>
              <w:spacing w:after="0"/>
              <w:rPr>
                <w:sz w:val="16"/>
                <w:szCs w:val="16"/>
                <w:color w:val="auto"/>
              </w:rPr>
            </w:pPr>
          </w:p>
        </w:tc>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4"/>
              </w:rPr>
              <w:t>·Triggered, if and only if, there is no vesting of performance-based awards under the 2013-2016</w:t>
            </w:r>
          </w:p>
        </w:tc>
        <w:tc>
          <w:tcPr>
            <w:tcW w:w="280" w:type="dxa"/>
            <w:vAlign w:val="bottom"/>
          </w:tcPr>
          <w:p>
            <w:pPr>
              <w:spacing w:after="0"/>
              <w:rPr>
                <w:sz w:val="16"/>
                <w:szCs w:val="16"/>
                <w:color w:val="auto"/>
              </w:rPr>
            </w:pPr>
          </w:p>
        </w:tc>
      </w:tr>
      <w:tr>
        <w:trPr>
          <w:trHeight w:val="211"/>
        </w:trPr>
        <w:tc>
          <w:tcPr>
            <w:tcW w:w="280" w:type="dxa"/>
            <w:vAlign w:val="bottom"/>
          </w:tcPr>
          <w:p>
            <w:pPr>
              <w:spacing w:after="0"/>
              <w:rPr>
                <w:sz w:val="18"/>
                <w:szCs w:val="18"/>
                <w:color w:val="auto"/>
              </w:rPr>
            </w:pPr>
          </w:p>
        </w:tc>
        <w:tc>
          <w:tcPr>
            <w:tcW w:w="39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Effective date</w:t>
            </w:r>
          </w:p>
        </w:tc>
        <w:tc>
          <w:tcPr>
            <w:tcW w:w="6940" w:type="dxa"/>
            <w:vAlign w:val="bottom"/>
            <w:shd w:val="clear" w:color="auto" w:fill="CFF0FC"/>
          </w:tcPr>
          <w:p>
            <w:pPr>
              <w:ind w:left="660"/>
              <w:spacing w:after="0"/>
              <w:rPr>
                <w:sz w:val="20"/>
                <w:szCs w:val="20"/>
                <w:color w:val="auto"/>
              </w:rPr>
            </w:pPr>
            <w:r>
              <w:rPr>
                <w:rFonts w:ascii="Arial" w:cs="Arial" w:eastAsia="Arial" w:hAnsi="Arial"/>
                <w:sz w:val="16"/>
                <w:szCs w:val="16"/>
                <w:color w:val="auto"/>
              </w:rPr>
              <w:t>LTIP and, as a result, all performance-based awards under that plan are forfeited.</w:t>
            </w:r>
          </w:p>
        </w:tc>
        <w:tc>
          <w:tcPr>
            <w:tcW w:w="280" w:type="dxa"/>
            <w:vAlign w:val="bottom"/>
          </w:tcPr>
          <w:p>
            <w:pPr>
              <w:spacing w:after="0"/>
              <w:rPr>
                <w:sz w:val="18"/>
                <w:szCs w:val="18"/>
                <w:color w:val="auto"/>
              </w:rPr>
            </w:pPr>
          </w:p>
        </w:tc>
      </w:tr>
      <w:tr>
        <w:trPr>
          <w:trHeight w:val="191"/>
        </w:trPr>
        <w:tc>
          <w:tcPr>
            <w:tcW w:w="2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940" w:type="dxa"/>
            <w:vAlign w:val="bottom"/>
          </w:tcPr>
          <w:p>
            <w:pPr>
              <w:ind w:left="500"/>
              <w:spacing w:after="0"/>
              <w:rPr>
                <w:sz w:val="20"/>
                <w:szCs w:val="20"/>
                <w:color w:val="auto"/>
              </w:rPr>
            </w:pPr>
            <w:r>
              <w:rPr>
                <w:rFonts w:ascii="Arial" w:cs="Arial" w:eastAsia="Arial" w:hAnsi="Arial"/>
                <w:sz w:val="16"/>
                <w:szCs w:val="16"/>
                <w:color w:val="auto"/>
              </w:rPr>
              <w:t>·Sales and EBITDA for fiscal 2016</w:t>
            </w:r>
          </w:p>
        </w:tc>
        <w:tc>
          <w:tcPr>
            <w:tcW w:w="280" w:type="dxa"/>
            <w:vAlign w:val="bottom"/>
          </w:tcPr>
          <w:p>
            <w:pPr>
              <w:spacing w:after="0"/>
              <w:rPr>
                <w:sz w:val="16"/>
                <w:szCs w:val="16"/>
                <w:color w:val="auto"/>
              </w:rPr>
            </w:pPr>
          </w:p>
        </w:tc>
      </w:tr>
      <w:tr>
        <w:trPr>
          <w:trHeight w:val="208"/>
        </w:trPr>
        <w:tc>
          <w:tcPr>
            <w:tcW w:w="28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6"/>
                <w:szCs w:val="16"/>
                <w:color w:val="auto"/>
              </w:rPr>
              <w:t>Two Performance Metrics (weighted 50%-50%)</w:t>
            </w:r>
          </w:p>
        </w:tc>
        <w:tc>
          <w:tcPr>
            <w:tcW w:w="6940" w:type="dxa"/>
            <w:vAlign w:val="bottom"/>
          </w:tcPr>
          <w:p>
            <w:pPr>
              <w:ind w:left="500"/>
              <w:spacing w:after="0"/>
              <w:rPr>
                <w:sz w:val="20"/>
                <w:szCs w:val="20"/>
                <w:color w:val="auto"/>
              </w:rPr>
            </w:pPr>
            <w:r>
              <w:rPr>
                <w:rFonts w:ascii="Arial" w:cs="Arial" w:eastAsia="Arial" w:hAnsi="Arial"/>
                <w:sz w:val="16"/>
                <w:szCs w:val="16"/>
                <w:color w:val="auto"/>
              </w:rPr>
              <w:t>·However, the EBITDA target must be met for any payout under either metric.</w:t>
            </w:r>
          </w:p>
        </w:tc>
        <w:tc>
          <w:tcPr>
            <w:tcW w:w="280" w:type="dxa"/>
            <w:vAlign w:val="bottom"/>
          </w:tcPr>
          <w:p>
            <w:pPr>
              <w:spacing w:after="0"/>
              <w:rPr>
                <w:sz w:val="18"/>
                <w:szCs w:val="18"/>
                <w:color w:val="auto"/>
              </w:rPr>
            </w:pPr>
          </w:p>
        </w:tc>
      </w:tr>
      <w:tr>
        <w:trPr>
          <w:trHeight w:val="194"/>
        </w:trPr>
        <w:tc>
          <w:tcPr>
            <w:tcW w:w="280" w:type="dxa"/>
            <w:vAlign w:val="bottom"/>
          </w:tcPr>
          <w:p>
            <w:pPr>
              <w:spacing w:after="0"/>
              <w:rPr>
                <w:sz w:val="16"/>
                <w:szCs w:val="16"/>
                <w:color w:val="auto"/>
              </w:rPr>
            </w:pPr>
          </w:p>
        </w:tc>
        <w:tc>
          <w:tcPr>
            <w:tcW w:w="3940" w:type="dxa"/>
            <w:vAlign w:val="bottom"/>
            <w:shd w:val="clear" w:color="auto" w:fill="CFF0FC"/>
          </w:tcPr>
          <w:p>
            <w:pPr>
              <w:spacing w:after="0"/>
              <w:rPr>
                <w:sz w:val="16"/>
                <w:szCs w:val="16"/>
                <w:color w:val="auto"/>
              </w:rPr>
            </w:pPr>
          </w:p>
        </w:tc>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·50% restricted stock</w:t>
            </w:r>
          </w:p>
        </w:tc>
        <w:tc>
          <w:tcPr>
            <w:tcW w:w="280" w:type="dxa"/>
            <w:vAlign w:val="bottom"/>
          </w:tcPr>
          <w:p>
            <w:pPr>
              <w:spacing w:after="0"/>
              <w:rPr>
                <w:sz w:val="16"/>
                <w:szCs w:val="16"/>
                <w:color w:val="auto"/>
              </w:rPr>
            </w:pPr>
          </w:p>
        </w:tc>
      </w:tr>
      <w:tr>
        <w:trPr>
          <w:trHeight w:val="201"/>
        </w:trPr>
        <w:tc>
          <w:tcPr>
            <w:tcW w:w="280" w:type="dxa"/>
            <w:vAlign w:val="bottom"/>
          </w:tcPr>
          <w:p>
            <w:pPr>
              <w:spacing w:after="0"/>
              <w:rPr>
                <w:sz w:val="17"/>
                <w:szCs w:val="17"/>
                <w:color w:val="auto"/>
              </w:rPr>
            </w:pPr>
          </w:p>
        </w:tc>
        <w:tc>
          <w:tcPr>
            <w:tcW w:w="3940" w:type="dxa"/>
            <w:vAlign w:val="bottom"/>
            <w:shd w:val="clear" w:color="auto" w:fill="CFF0FC"/>
          </w:tcPr>
          <w:p>
            <w:pPr>
              <w:spacing w:after="0"/>
              <w:rPr>
                <w:sz w:val="17"/>
                <w:szCs w:val="17"/>
                <w:color w:val="auto"/>
              </w:rPr>
            </w:pPr>
          </w:p>
        </w:tc>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·50% cash</w:t>
            </w:r>
          </w:p>
        </w:tc>
        <w:tc>
          <w:tcPr>
            <w:tcW w:w="280" w:type="dxa"/>
            <w:vAlign w:val="bottom"/>
          </w:tcPr>
          <w:p>
            <w:pPr>
              <w:spacing w:after="0"/>
              <w:rPr>
                <w:sz w:val="17"/>
                <w:szCs w:val="17"/>
                <w:color w:val="auto"/>
              </w:rPr>
            </w:pPr>
          </w:p>
        </w:tc>
      </w:tr>
      <w:tr>
        <w:trPr>
          <w:trHeight w:val="201"/>
        </w:trPr>
        <w:tc>
          <w:tcPr>
            <w:tcW w:w="280" w:type="dxa"/>
            <w:vAlign w:val="bottom"/>
          </w:tcPr>
          <w:p>
            <w:pPr>
              <w:spacing w:after="0"/>
              <w:rPr>
                <w:sz w:val="17"/>
                <w:szCs w:val="17"/>
                <w:color w:val="auto"/>
              </w:rPr>
            </w:pPr>
          </w:p>
        </w:tc>
        <w:tc>
          <w:tcPr>
            <w:tcW w:w="3940" w:type="dxa"/>
            <w:vAlign w:val="bottom"/>
            <w:shd w:val="clear" w:color="auto" w:fill="CFF0FC"/>
          </w:tcPr>
          <w:p>
            <w:pPr>
              <w:spacing w:after="0"/>
              <w:rPr>
                <w:sz w:val="17"/>
                <w:szCs w:val="17"/>
                <w:color w:val="auto"/>
              </w:rPr>
            </w:pPr>
          </w:p>
        </w:tc>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3"/>
              </w:rPr>
              <w:t>·Each participant’s maximum potential benefit is the same as the performance-based component</w:t>
            </w:r>
          </w:p>
        </w:tc>
        <w:tc>
          <w:tcPr>
            <w:tcW w:w="280" w:type="dxa"/>
            <w:vAlign w:val="bottom"/>
          </w:tcPr>
          <w:p>
            <w:pPr>
              <w:spacing w:after="0"/>
              <w:rPr>
                <w:sz w:val="17"/>
                <w:szCs w:val="17"/>
                <w:color w:val="auto"/>
              </w:rPr>
            </w:pPr>
          </w:p>
        </w:tc>
      </w:tr>
      <w:tr>
        <w:trPr>
          <w:trHeight w:val="211"/>
        </w:trPr>
        <w:tc>
          <w:tcPr>
            <w:tcW w:w="280" w:type="dxa"/>
            <w:vAlign w:val="bottom"/>
          </w:tcPr>
          <w:p>
            <w:pPr>
              <w:spacing w:after="0"/>
              <w:rPr>
                <w:sz w:val="18"/>
                <w:szCs w:val="18"/>
                <w:color w:val="auto"/>
              </w:rPr>
            </w:pPr>
          </w:p>
        </w:tc>
        <w:tc>
          <w:tcPr>
            <w:tcW w:w="39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Awards Earned Will be Payable</w:t>
            </w:r>
          </w:p>
        </w:tc>
        <w:tc>
          <w:tcPr>
            <w:tcW w:w="6940" w:type="dxa"/>
            <w:vAlign w:val="bottom"/>
            <w:shd w:val="clear" w:color="auto" w:fill="CFF0FC"/>
          </w:tcPr>
          <w:p>
            <w:pPr>
              <w:ind w:left="660"/>
              <w:spacing w:after="0"/>
              <w:rPr>
                <w:sz w:val="20"/>
                <w:szCs w:val="20"/>
                <w:color w:val="auto"/>
              </w:rPr>
            </w:pPr>
            <w:r>
              <w:rPr>
                <w:rFonts w:ascii="Arial" w:cs="Arial" w:eastAsia="Arial" w:hAnsi="Arial"/>
                <w:sz w:val="16"/>
                <w:szCs w:val="16"/>
                <w:color w:val="auto"/>
              </w:rPr>
              <w:t>under the 2013-2016 Plan.</w:t>
            </w:r>
          </w:p>
        </w:tc>
        <w:tc>
          <w:tcPr>
            <w:tcW w:w="280" w:type="dxa"/>
            <w:vAlign w:val="bottom"/>
          </w:tcPr>
          <w:p>
            <w:pPr>
              <w:spacing w:after="0"/>
              <w:rPr>
                <w:sz w:val="18"/>
                <w:szCs w:val="18"/>
                <w:color w:val="auto"/>
              </w:rPr>
            </w:pPr>
          </w:p>
        </w:tc>
      </w:tr>
      <w:tr>
        <w:trPr>
          <w:trHeight w:val="298"/>
        </w:trPr>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40" w:type="dxa"/>
            <w:vAlign w:val="bottom"/>
          </w:tcPr>
          <w:p>
            <w:pPr>
              <w:ind w:left="420"/>
              <w:spacing w:after="0"/>
              <w:rPr>
                <w:sz w:val="20"/>
                <w:szCs w:val="20"/>
                <w:color w:val="auto"/>
              </w:rPr>
            </w:pPr>
            <w:r>
              <w:rPr>
                <w:rFonts w:ascii="Arial" w:cs="Arial" w:eastAsia="Arial" w:hAnsi="Arial"/>
                <w:sz w:val="16"/>
                <w:szCs w:val="16"/>
                <w:color w:val="auto"/>
                <w:w w:val="98"/>
              </w:rPr>
              <w:t>If, at the close of business on the day that the Company’s earnings for fiscal 2016 are publicly</w:t>
            </w:r>
          </w:p>
        </w:tc>
        <w:tc>
          <w:tcPr>
            <w:tcW w:w="280" w:type="dxa"/>
            <w:vAlign w:val="bottom"/>
          </w:tcPr>
          <w:p>
            <w:pPr>
              <w:spacing w:after="0"/>
              <w:rPr>
                <w:sz w:val="24"/>
                <w:szCs w:val="24"/>
                <w:color w:val="auto"/>
              </w:rPr>
            </w:pPr>
          </w:p>
        </w:tc>
      </w:tr>
      <w:tr>
        <w:trPr>
          <w:trHeight w:val="201"/>
        </w:trPr>
        <w:tc>
          <w:tcPr>
            <w:tcW w:w="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Arial" w:cs="Arial" w:eastAsia="Arial" w:hAnsi="Arial"/>
                <w:sz w:val="16"/>
                <w:szCs w:val="16"/>
                <w:color w:val="auto"/>
                <w:w w:val="91"/>
              </w:rPr>
              <w:t>released, the Company’s share price is at least $6.75, then the 50% of the award value to be settled</w:t>
            </w:r>
          </w:p>
        </w:tc>
        <w:tc>
          <w:tcPr>
            <w:tcW w:w="280" w:type="dxa"/>
            <w:vAlign w:val="bottom"/>
          </w:tcPr>
          <w:p>
            <w:pPr>
              <w:spacing w:after="0"/>
              <w:rPr>
                <w:sz w:val="17"/>
                <w:szCs w:val="17"/>
                <w:color w:val="auto"/>
              </w:rPr>
            </w:pPr>
          </w:p>
        </w:tc>
      </w:tr>
      <w:tr>
        <w:trPr>
          <w:trHeight w:val="205"/>
        </w:trPr>
        <w:tc>
          <w:tcPr>
            <w:tcW w:w="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Arial" w:cs="Arial" w:eastAsia="Arial" w:hAnsi="Arial"/>
                <w:sz w:val="16"/>
                <w:szCs w:val="16"/>
                <w:color w:val="auto"/>
              </w:rPr>
              <w:t>in shares of restricted stock will be increased as follows:</w:t>
            </w:r>
          </w:p>
        </w:tc>
        <w:tc>
          <w:tcPr>
            <w:tcW w:w="280" w:type="dxa"/>
            <w:vAlign w:val="bottom"/>
          </w:tcPr>
          <w:p>
            <w:pPr>
              <w:spacing w:after="0"/>
              <w:rPr>
                <w:sz w:val="17"/>
                <w:szCs w:val="17"/>
                <w:color w:val="auto"/>
              </w:rPr>
            </w:pPr>
          </w:p>
        </w:tc>
      </w:tr>
      <w:tr>
        <w:trPr>
          <w:trHeight w:val="304"/>
        </w:trPr>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40" w:type="dxa"/>
            <w:vAlign w:val="bottom"/>
          </w:tcPr>
          <w:p>
            <w:pPr>
              <w:ind w:left="760"/>
              <w:spacing w:after="0"/>
              <w:rPr>
                <w:sz w:val="20"/>
                <w:szCs w:val="20"/>
                <w:color w:val="auto"/>
              </w:rPr>
            </w:pPr>
            <w:r>
              <w:rPr>
                <w:rFonts w:ascii="Arial" w:cs="Arial" w:eastAsia="Arial" w:hAnsi="Arial"/>
                <w:sz w:val="16"/>
                <w:szCs w:val="16"/>
                <w:color w:val="auto"/>
              </w:rPr>
              <w:t>·20% at $6.75</w:t>
            </w:r>
          </w:p>
        </w:tc>
        <w:tc>
          <w:tcPr>
            <w:tcW w:w="280" w:type="dxa"/>
            <w:vAlign w:val="bottom"/>
          </w:tcPr>
          <w:p>
            <w:pPr>
              <w:spacing w:after="0"/>
              <w:rPr>
                <w:sz w:val="24"/>
                <w:szCs w:val="24"/>
                <w:color w:val="auto"/>
              </w:rPr>
            </w:pPr>
          </w:p>
        </w:tc>
      </w:tr>
      <w:tr>
        <w:trPr>
          <w:trHeight w:val="201"/>
        </w:trPr>
        <w:tc>
          <w:tcPr>
            <w:tcW w:w="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940" w:type="dxa"/>
            <w:vAlign w:val="bottom"/>
          </w:tcPr>
          <w:p>
            <w:pPr>
              <w:ind w:left="760"/>
              <w:spacing w:after="0"/>
              <w:rPr>
                <w:sz w:val="20"/>
                <w:szCs w:val="20"/>
                <w:color w:val="auto"/>
              </w:rPr>
            </w:pPr>
            <w:r>
              <w:rPr>
                <w:rFonts w:ascii="Arial" w:cs="Arial" w:eastAsia="Arial" w:hAnsi="Arial"/>
                <w:sz w:val="16"/>
                <w:szCs w:val="16"/>
                <w:color w:val="auto"/>
              </w:rPr>
              <w:t>·30% at $7.25 or higher</w:t>
            </w:r>
          </w:p>
        </w:tc>
        <w:tc>
          <w:tcPr>
            <w:tcW w:w="280" w:type="dxa"/>
            <w:vAlign w:val="bottom"/>
          </w:tcPr>
          <w:p>
            <w:pPr>
              <w:spacing w:after="0"/>
              <w:rPr>
                <w:sz w:val="17"/>
                <w:szCs w:val="17"/>
                <w:color w:val="auto"/>
              </w:rPr>
            </w:pPr>
          </w:p>
        </w:tc>
      </w:tr>
      <w:tr>
        <w:trPr>
          <w:trHeight w:val="208"/>
        </w:trPr>
        <w:tc>
          <w:tcPr>
            <w:tcW w:w="28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6"/>
                <w:szCs w:val="16"/>
                <w:color w:val="auto"/>
              </w:rPr>
              <w:t>Share Price Bonus (1)</w:t>
            </w:r>
          </w:p>
        </w:tc>
        <w:tc>
          <w:tcPr>
            <w:tcW w:w="6940" w:type="dxa"/>
            <w:vAlign w:val="bottom"/>
          </w:tcPr>
          <w:p>
            <w:pPr>
              <w:ind w:left="760"/>
              <w:spacing w:after="0"/>
              <w:rPr>
                <w:sz w:val="20"/>
                <w:szCs w:val="20"/>
                <w:color w:val="auto"/>
              </w:rPr>
            </w:pPr>
            <w:r>
              <w:rPr>
                <w:rFonts w:ascii="Arial" w:cs="Arial" w:eastAsia="Arial" w:hAnsi="Arial"/>
                <w:sz w:val="16"/>
                <w:szCs w:val="16"/>
                <w:color w:val="auto"/>
              </w:rPr>
              <w:t>·Straight-line interpolation for any price in between</w:t>
            </w:r>
          </w:p>
        </w:tc>
        <w:tc>
          <w:tcPr>
            <w:tcW w:w="280" w:type="dxa"/>
            <w:vAlign w:val="bottom"/>
          </w:tcPr>
          <w:p>
            <w:pPr>
              <w:spacing w:after="0"/>
              <w:rPr>
                <w:sz w:val="18"/>
                <w:szCs w:val="18"/>
                <w:color w:val="auto"/>
              </w:rPr>
            </w:pPr>
          </w:p>
        </w:tc>
      </w:tr>
      <w:tr>
        <w:trPr>
          <w:trHeight w:val="301"/>
        </w:trPr>
        <w:tc>
          <w:tcPr>
            <w:tcW w:w="280" w:type="dxa"/>
            <w:vAlign w:val="bottom"/>
          </w:tcPr>
          <w:p>
            <w:pPr>
              <w:spacing w:after="0"/>
              <w:rPr>
                <w:sz w:val="24"/>
                <w:szCs w:val="24"/>
                <w:color w:val="auto"/>
              </w:rPr>
            </w:pPr>
          </w:p>
        </w:tc>
        <w:tc>
          <w:tcPr>
            <w:tcW w:w="3940" w:type="dxa"/>
            <w:vAlign w:val="bottom"/>
            <w:shd w:val="clear" w:color="auto" w:fill="CFF0FC"/>
          </w:tcPr>
          <w:p>
            <w:pPr>
              <w:spacing w:after="0"/>
              <w:rPr>
                <w:sz w:val="24"/>
                <w:szCs w:val="24"/>
                <w:color w:val="auto"/>
              </w:rPr>
            </w:pPr>
          </w:p>
        </w:tc>
        <w:tc>
          <w:tcPr>
            <w:tcW w:w="6940" w:type="dxa"/>
            <w:vAlign w:val="bottom"/>
            <w:shd w:val="clear" w:color="auto" w:fill="CFF0FC"/>
          </w:tcPr>
          <w:p>
            <w:pPr>
              <w:ind w:left="420"/>
              <w:spacing w:after="0"/>
              <w:rPr>
                <w:sz w:val="20"/>
                <w:szCs w:val="20"/>
                <w:color w:val="auto"/>
              </w:rPr>
            </w:pPr>
            <w:r>
              <w:rPr>
                <w:rFonts w:ascii="Arial" w:cs="Arial" w:eastAsia="Arial" w:hAnsi="Arial"/>
                <w:sz w:val="16"/>
                <w:szCs w:val="16"/>
                <w:color w:val="auto"/>
                <w:w w:val="96"/>
              </w:rPr>
              <w:t>Any awards granted will not become fully vested until the last day of the second quarter of fiscal</w:t>
            </w:r>
          </w:p>
        </w:tc>
        <w:tc>
          <w:tcPr>
            <w:tcW w:w="280" w:type="dxa"/>
            <w:vAlign w:val="bottom"/>
          </w:tcPr>
          <w:p>
            <w:pPr>
              <w:spacing w:after="0"/>
              <w:rPr>
                <w:sz w:val="24"/>
                <w:szCs w:val="24"/>
                <w:color w:val="auto"/>
              </w:rPr>
            </w:pPr>
          </w:p>
        </w:tc>
      </w:tr>
      <w:tr>
        <w:trPr>
          <w:trHeight w:val="211"/>
        </w:trPr>
        <w:tc>
          <w:tcPr>
            <w:tcW w:w="280" w:type="dxa"/>
            <w:vAlign w:val="bottom"/>
          </w:tcPr>
          <w:p>
            <w:pPr>
              <w:spacing w:after="0"/>
              <w:rPr>
                <w:sz w:val="18"/>
                <w:szCs w:val="18"/>
                <w:color w:val="auto"/>
              </w:rPr>
            </w:pPr>
          </w:p>
        </w:tc>
        <w:tc>
          <w:tcPr>
            <w:tcW w:w="39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Vesting of Awards</w:t>
            </w:r>
          </w:p>
        </w:tc>
        <w:tc>
          <w:tcPr>
            <w:tcW w:w="69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8"/>
                <w:szCs w:val="18"/>
                <w:color w:val="auto"/>
              </w:rPr>
            </w:pPr>
          </w:p>
        </w:tc>
      </w:tr>
      <w:tr>
        <w:trPr>
          <w:trHeight w:val="427"/>
        </w:trPr>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40" w:type="dxa"/>
            <w:vAlign w:val="bottom"/>
          </w:tcPr>
          <w:p>
            <w:pPr>
              <w:ind w:left="140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r>
      <w:tr>
        <w:trPr>
          <w:trHeight w:val="330"/>
        </w:trPr>
        <w:tc>
          <w:tcPr>
            <w:tcW w:w="2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25" w:name="page26"/>
    <w:bookmarkEnd w:id="25"/>
    <w:p>
      <w:pPr>
        <w:ind w:left="1140" w:right="60" w:hanging="369"/>
        <w:spacing w:after="0" w:line="249" w:lineRule="auto"/>
        <w:tabs>
          <w:tab w:leader="none" w:pos="11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significant component of the 2013-2016 Plan was that all awards were granted unvested and un-exercisable at the onset of the plan, thereby providing each participant with an opportunity to benefit in the growth of the share price if the performance targets were met. Under the Wrap-Around Plan, any award earned will not be granted until the first quarter of fiscal 2017. Further, if the share price at the time of grant under the Wrap-Around Plan is significantly higher than the share price of the awards granted under the 2013-2016 LTIP, each participant will receive fewer shares. If the closing stock price is higher on the date of grant, it would likely be attributable to a successful transition to the DXL concept, yet the participants would receive fewer shares for their successful efforts. The Share Price Bonus feature is intended to address this.</w:t>
      </w:r>
    </w:p>
    <w:p>
      <w:pPr>
        <w:spacing w:after="0" w:line="73" w:lineRule="exact"/>
        <w:rPr>
          <w:sz w:val="20"/>
          <w:szCs w:val="20"/>
          <w:color w:val="auto"/>
        </w:rPr>
      </w:pPr>
    </w:p>
    <w:p>
      <w:pPr>
        <w:ind w:left="780" w:right="240"/>
        <w:spacing w:after="0" w:line="307" w:lineRule="auto"/>
        <w:rPr>
          <w:sz w:val="20"/>
          <w:szCs w:val="20"/>
          <w:color w:val="auto"/>
        </w:rPr>
      </w:pPr>
      <w:r>
        <w:rPr>
          <w:rFonts w:ascii="Arial" w:cs="Arial" w:eastAsia="Arial" w:hAnsi="Arial"/>
          <w:sz w:val="16"/>
          <w:szCs w:val="16"/>
          <w:color w:val="auto"/>
        </w:rPr>
        <w:t>The Compensation Committee believes that our performance metrics under the Wrap-Around Plan are rigorous and are established with the expectation that they have a 50% probability of being achieved. To achieve them will require a great deal of focus and effort, which will benefit shareholders and participants alike. The performance targets for the Wrap-Around Plan will be disclosed once the performance period has ended.</w:t>
      </w:r>
    </w:p>
    <w:p>
      <w:pPr>
        <w:spacing w:after="0" w:line="44" w:lineRule="exact"/>
        <w:rPr>
          <w:sz w:val="20"/>
          <w:szCs w:val="20"/>
          <w:color w:val="auto"/>
        </w:rPr>
      </w:pPr>
    </w:p>
    <w:p>
      <w:pPr>
        <w:ind w:left="780" w:right="220"/>
        <w:spacing w:after="0" w:line="307" w:lineRule="auto"/>
        <w:rPr>
          <w:sz w:val="20"/>
          <w:szCs w:val="20"/>
          <w:color w:val="auto"/>
        </w:rPr>
      </w:pPr>
      <w:r>
        <w:rPr>
          <w:rFonts w:ascii="Arial" w:cs="Arial" w:eastAsia="Arial" w:hAnsi="Arial"/>
          <w:sz w:val="16"/>
          <w:szCs w:val="16"/>
          <w:color w:val="auto"/>
        </w:rPr>
        <w:t>The following table illustrates the total cumulative value to each of the Named Executive Officers over the term of the 2013-2016 LTIP (1) assuming that the Company is able to achieve the performance targets and the Wrap-Around Plan does not become effective and (2) assuming the performance targets are not achieved under the 2013-2016 LTIP and the Wrap-Around Plan is triggered and payouts are at target: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Potential Payout under 2013-2016 LTIP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40" w:type="dxa"/>
            <w:vAlign w:val="bottom"/>
            <w:gridSpan w:val="14"/>
            <w:vMerge w:val="restart"/>
          </w:tcPr>
          <w:p>
            <w:pPr>
              <w:jc w:val="center"/>
              <w:ind w:right="140"/>
              <w:spacing w:after="0"/>
              <w:rPr>
                <w:sz w:val="20"/>
                <w:szCs w:val="20"/>
                <w:color w:val="auto"/>
              </w:rPr>
            </w:pPr>
            <w:r>
              <w:rPr>
                <w:rFonts w:ascii="Arial" w:cs="Arial" w:eastAsia="Arial" w:hAnsi="Arial"/>
                <w:sz w:val="14"/>
                <w:szCs w:val="14"/>
                <w:b w:val="1"/>
                <w:bCs w:val="1"/>
                <w:color w:val="auto"/>
                <w:w w:val="93"/>
              </w:rPr>
              <w:t>Potential Payout under 2013-2016 LTIP (time-based) and Wrap-Around Plan</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20" w:type="dxa"/>
            <w:vAlign w:val="bottom"/>
            <w:gridSpan w:val="9"/>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(assuming time-based and performance-based targets</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4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40" w:type="dxa"/>
            <w:vAlign w:val="bottom"/>
            <w:gridSpan w:val="6"/>
            <w:vMerge w:val="restart"/>
          </w:tcPr>
          <w:p>
            <w:pPr>
              <w:jc w:val="center"/>
              <w:ind w:left="529"/>
              <w:spacing w:after="0"/>
              <w:rPr>
                <w:sz w:val="20"/>
                <w:szCs w:val="20"/>
                <w:color w:val="auto"/>
              </w:rPr>
            </w:pPr>
            <w:r>
              <w:rPr>
                <w:rFonts w:ascii="Arial" w:cs="Arial" w:eastAsia="Arial" w:hAnsi="Arial"/>
                <w:sz w:val="14"/>
                <w:szCs w:val="14"/>
                <w:b w:val="1"/>
                <w:bCs w:val="1"/>
                <w:color w:val="auto"/>
                <w:w w:val="90"/>
              </w:rPr>
              <w:t>(performance-based)</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are met)</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1"/>
              </w:rPr>
              <w:t>Value of</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Value of time-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88"/>
              </w:rPr>
              <w:t>Value of</w:t>
            </w: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Total potential</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3"/>
            <w:vMerge w:val="restart"/>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Value of time-</w:t>
            </w:r>
          </w:p>
        </w:tc>
        <w:tc>
          <w:tcPr>
            <w:tcW w:w="80" w:type="dxa"/>
            <w:vAlign w:val="bottom"/>
          </w:tcPr>
          <w:p>
            <w:pPr>
              <w:spacing w:after="0"/>
              <w:rPr>
                <w:sz w:val="5"/>
                <w:szCs w:val="5"/>
                <w:color w:val="auto"/>
              </w:rPr>
            </w:pPr>
          </w:p>
        </w:tc>
        <w:tc>
          <w:tcPr>
            <w:tcW w:w="1220" w:type="dxa"/>
            <w:vAlign w:val="bottom"/>
            <w:gridSpan w:val="2"/>
            <w:vMerge w:val="restart"/>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unearned</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jc w:val="center"/>
              <w:ind w:right="200"/>
              <w:spacing w:after="0" w:line="147" w:lineRule="exact"/>
              <w:rPr>
                <w:sz w:val="20"/>
                <w:szCs w:val="20"/>
                <w:color w:val="auto"/>
              </w:rPr>
            </w:pPr>
            <w:r>
              <w:rPr>
                <w:rFonts w:ascii="Arial" w:cs="Arial" w:eastAsia="Arial" w:hAnsi="Arial"/>
                <w:sz w:val="14"/>
                <w:szCs w:val="14"/>
                <w:b w:val="1"/>
                <w:bCs w:val="1"/>
                <w:color w:val="auto"/>
                <w:w w:val="85"/>
              </w:rPr>
              <w:t>share</w:t>
            </w: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potential</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85"/>
              </w:rPr>
              <w:t>vested</w:t>
            </w:r>
          </w:p>
        </w:tc>
        <w:tc>
          <w:tcPr>
            <w:tcW w:w="92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1"/>
              </w:rPr>
              <w:t>performance-</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3"/>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20" w:type="dxa"/>
            <w:vAlign w:val="bottom"/>
            <w:gridSpan w:val="3"/>
            <w:vMerge w:val="restart"/>
          </w:tcPr>
          <w:p>
            <w:pPr>
              <w:jc w:val="center"/>
              <w:ind w:right="80"/>
              <w:spacing w:after="0" w:line="147" w:lineRule="exact"/>
              <w:rPr>
                <w:sz w:val="20"/>
                <w:szCs w:val="20"/>
                <w:color w:val="auto"/>
              </w:rPr>
            </w:pPr>
            <w:r>
              <w:rPr>
                <w:rFonts w:ascii="Arial" w:cs="Arial" w:eastAsia="Arial" w:hAnsi="Arial"/>
                <w:sz w:val="14"/>
                <w:szCs w:val="14"/>
                <w:b w:val="1"/>
                <w:bCs w:val="1"/>
                <w:color w:val="auto"/>
                <w:w w:val="92"/>
              </w:rPr>
              <w:t>payout under</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restart"/>
          </w:tcPr>
          <w:p>
            <w:pPr>
              <w:jc w:val="center"/>
              <w:ind w:right="320"/>
              <w:spacing w:after="0" w:line="147" w:lineRule="exact"/>
              <w:rPr>
                <w:sz w:val="20"/>
                <w:szCs w:val="20"/>
                <w:color w:val="auto"/>
              </w:rPr>
            </w:pPr>
            <w:r>
              <w:rPr>
                <w:rFonts w:ascii="Arial" w:cs="Arial" w:eastAsia="Arial" w:hAnsi="Arial"/>
                <w:sz w:val="14"/>
                <w:szCs w:val="14"/>
                <w:b w:val="1"/>
                <w:bCs w:val="1"/>
                <w:color w:val="auto"/>
                <w:w w:val="85"/>
              </w:rPr>
              <w:t>vested</w:t>
            </w:r>
          </w:p>
        </w:tc>
        <w:tc>
          <w:tcPr>
            <w:tcW w:w="80" w:type="dxa"/>
            <w:vAlign w:val="bottom"/>
          </w:tcPr>
          <w:p>
            <w:pPr>
              <w:spacing w:after="0"/>
              <w:rPr>
                <w:sz w:val="5"/>
                <w:szCs w:val="5"/>
                <w:color w:val="auto"/>
              </w:rPr>
            </w:pPr>
          </w:p>
        </w:tc>
        <w:tc>
          <w:tcPr>
            <w:tcW w:w="1220" w:type="dxa"/>
            <w:vAlign w:val="bottom"/>
            <w:gridSpan w:val="2"/>
            <w:vMerge w:val="restart"/>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jc w:val="center"/>
              <w:ind w:right="200"/>
              <w:spacing w:after="0" w:line="147" w:lineRule="exact"/>
              <w:rPr>
                <w:sz w:val="20"/>
                <w:szCs w:val="20"/>
                <w:color w:val="auto"/>
              </w:rPr>
            </w:pPr>
            <w:r>
              <w:rPr>
                <w:rFonts w:ascii="Arial" w:cs="Arial" w:eastAsia="Arial" w:hAnsi="Arial"/>
                <w:sz w:val="14"/>
                <w:szCs w:val="14"/>
                <w:b w:val="1"/>
                <w:bCs w:val="1"/>
                <w:color w:val="auto"/>
                <w:w w:val="85"/>
              </w:rPr>
              <w:t>bonus</w:t>
            </w: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520" w:type="dxa"/>
            <w:vAlign w:val="bottom"/>
            <w:vMerge w:val="restart"/>
          </w:tcPr>
          <w:p>
            <w:pPr>
              <w:spacing w:after="0" w:line="147" w:lineRule="exact"/>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00" w:type="dxa"/>
            <w:vAlign w:val="bottom"/>
            <w:gridSpan w:val="3"/>
            <w:vMerge w:val="restart"/>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payout under</w:t>
            </w:r>
          </w:p>
        </w:tc>
        <w:tc>
          <w:tcPr>
            <w:tcW w:w="100" w:type="dxa"/>
            <w:vAlign w:val="bottom"/>
          </w:tcPr>
          <w:p>
            <w:pPr>
              <w:spacing w:after="0"/>
              <w:rPr>
                <w:sz w:val="6"/>
                <w:szCs w:val="6"/>
                <w:color w:val="auto"/>
              </w:rPr>
            </w:pPr>
          </w:p>
        </w:tc>
        <w:tc>
          <w:tcPr>
            <w:tcW w:w="1160" w:type="dxa"/>
            <w:vAlign w:val="bottom"/>
            <w:gridSpan w:val="3"/>
            <w:vMerge w:val="restart"/>
          </w:tcPr>
          <w:p>
            <w:pPr>
              <w:ind w:left="20"/>
              <w:spacing w:after="0" w:line="147" w:lineRule="exact"/>
              <w:rPr>
                <w:sz w:val="20"/>
                <w:szCs w:val="20"/>
                <w:color w:val="auto"/>
              </w:rPr>
            </w:pPr>
            <w:r>
              <w:rPr>
                <w:rFonts w:ascii="Arial" w:cs="Arial" w:eastAsia="Arial" w:hAnsi="Arial"/>
                <w:sz w:val="14"/>
                <w:szCs w:val="14"/>
                <w:b w:val="1"/>
                <w:bCs w:val="1"/>
                <w:color w:val="auto"/>
                <w:w w:val="98"/>
              </w:rPr>
              <w:t>awards(cash and</w:t>
            </w:r>
          </w:p>
        </w:tc>
        <w:tc>
          <w:tcPr>
            <w:tcW w:w="92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88"/>
              </w:rPr>
              <w:t>based awards</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3"/>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based awards</w:t>
            </w: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restart"/>
          </w:tcPr>
          <w:p>
            <w:pPr>
              <w:jc w:val="center"/>
              <w:ind w:right="69"/>
              <w:spacing w:after="0" w:line="147" w:lineRule="exact"/>
              <w:rPr>
                <w:sz w:val="20"/>
                <w:szCs w:val="20"/>
                <w:color w:val="auto"/>
              </w:rPr>
            </w:pPr>
            <w:r>
              <w:rPr>
                <w:rFonts w:ascii="Arial" w:cs="Arial" w:eastAsia="Arial" w:hAnsi="Arial"/>
                <w:sz w:val="14"/>
                <w:szCs w:val="14"/>
                <w:b w:val="1"/>
                <w:bCs w:val="1"/>
                <w:color w:val="auto"/>
                <w:w w:val="92"/>
              </w:rPr>
              <w:t>2013-2016</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restart"/>
          </w:tcPr>
          <w:p>
            <w:pPr>
              <w:jc w:val="center"/>
              <w:ind w:right="340"/>
              <w:spacing w:after="0" w:line="147" w:lineRule="exact"/>
              <w:rPr>
                <w:sz w:val="20"/>
                <w:szCs w:val="20"/>
                <w:color w:val="auto"/>
              </w:rPr>
            </w:pPr>
            <w:r>
              <w:rPr>
                <w:rFonts w:ascii="Arial" w:cs="Arial" w:eastAsia="Arial" w:hAnsi="Arial"/>
                <w:sz w:val="14"/>
                <w:szCs w:val="14"/>
                <w:b w:val="1"/>
                <w:bCs w:val="1"/>
                <w:color w:val="auto"/>
                <w:w w:val="89"/>
              </w:rPr>
              <w:t>awards(cash</w:t>
            </w:r>
          </w:p>
        </w:tc>
        <w:tc>
          <w:tcPr>
            <w:tcW w:w="80" w:type="dxa"/>
            <w:vAlign w:val="bottom"/>
          </w:tcPr>
          <w:p>
            <w:pPr>
              <w:spacing w:after="0"/>
              <w:rPr>
                <w:sz w:val="5"/>
                <w:szCs w:val="5"/>
                <w:color w:val="auto"/>
              </w:rPr>
            </w:pPr>
          </w:p>
        </w:tc>
        <w:tc>
          <w:tcPr>
            <w:tcW w:w="1220" w:type="dxa"/>
            <w:vAlign w:val="bottom"/>
            <w:gridSpan w:val="2"/>
            <w:vMerge w:val="restart"/>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based awards</w:t>
            </w: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00" w:type="dxa"/>
            <w:vAlign w:val="bottom"/>
            <w:gridSpan w:val="3"/>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w w:val="85"/>
              </w:rPr>
              <w:t>assuming</w:t>
            </w:r>
          </w:p>
        </w:tc>
        <w:tc>
          <w:tcPr>
            <w:tcW w:w="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center"/>
              <w:ind w:right="49"/>
              <w:spacing w:after="0" w:line="147" w:lineRule="exact"/>
              <w:rPr>
                <w:sz w:val="20"/>
                <w:szCs w:val="20"/>
                <w:color w:val="auto"/>
              </w:rPr>
            </w:pPr>
            <w:r>
              <w:rPr>
                <w:rFonts w:ascii="Arial" w:cs="Arial" w:eastAsia="Arial" w:hAnsi="Arial"/>
                <w:sz w:val="14"/>
                <w:szCs w:val="14"/>
                <w:b w:val="1"/>
                <w:bCs w:val="1"/>
                <w:color w:val="auto"/>
                <w:w w:val="92"/>
              </w:rPr>
              <w:t>2013-2016</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equity) under</w:t>
            </w:r>
          </w:p>
        </w:tc>
        <w:tc>
          <w:tcPr>
            <w:tcW w:w="92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4"/>
              </w:rPr>
              <w:t>under 2013-</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under the</w:t>
            </w:r>
          </w:p>
        </w:tc>
        <w:tc>
          <w:tcPr>
            <w:tcW w:w="8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rPr>
              <w:t>LTIP with</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restart"/>
          </w:tcPr>
          <w:p>
            <w:pPr>
              <w:jc w:val="center"/>
              <w:ind w:right="340"/>
              <w:spacing w:after="0" w:line="147" w:lineRule="exact"/>
              <w:rPr>
                <w:sz w:val="20"/>
                <w:szCs w:val="20"/>
                <w:color w:val="auto"/>
              </w:rPr>
            </w:pPr>
            <w:r>
              <w:rPr>
                <w:rFonts w:ascii="Arial" w:cs="Arial" w:eastAsia="Arial" w:hAnsi="Arial"/>
                <w:sz w:val="14"/>
                <w:szCs w:val="14"/>
                <w:b w:val="1"/>
                <w:bCs w:val="1"/>
                <w:color w:val="auto"/>
                <w:w w:val="90"/>
              </w:rPr>
              <w:t>and equity)</w:t>
            </w:r>
          </w:p>
        </w:tc>
        <w:tc>
          <w:tcPr>
            <w:tcW w:w="80" w:type="dxa"/>
            <w:vAlign w:val="bottom"/>
          </w:tcPr>
          <w:p>
            <w:pPr>
              <w:spacing w:after="0"/>
              <w:rPr>
                <w:sz w:val="5"/>
                <w:szCs w:val="5"/>
                <w:color w:val="auto"/>
              </w:rPr>
            </w:pPr>
          </w:p>
        </w:tc>
        <w:tc>
          <w:tcPr>
            <w:tcW w:w="1220" w:type="dxa"/>
            <w:vAlign w:val="bottom"/>
            <w:gridSpan w:val="2"/>
            <w:vMerge w:val="restart"/>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(cash and</w:t>
            </w: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ind w:right="29"/>
              <w:spacing w:after="0" w:line="147" w:lineRule="exact"/>
              <w:rPr>
                <w:sz w:val="20"/>
                <w:szCs w:val="20"/>
                <w:color w:val="auto"/>
              </w:rPr>
            </w:pPr>
            <w:r>
              <w:rPr>
                <w:rFonts w:ascii="Arial" w:cs="Arial" w:eastAsia="Arial" w:hAnsi="Arial"/>
                <w:sz w:val="14"/>
                <w:szCs w:val="14"/>
                <w:b w:val="1"/>
                <w:bCs w:val="1"/>
                <w:color w:val="auto"/>
                <w:w w:val="91"/>
              </w:rPr>
              <w:t>$6.75</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LTIP</w:t>
            </w:r>
          </w:p>
        </w:tc>
        <w:tc>
          <w:tcPr>
            <w:tcW w:w="100" w:type="dxa"/>
            <w:vAlign w:val="bottom"/>
          </w:tcPr>
          <w:p>
            <w:pPr>
              <w:spacing w:after="0"/>
              <w:rPr>
                <w:sz w:val="6"/>
                <w:szCs w:val="6"/>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2013-2016 LTIP</w:t>
            </w:r>
          </w:p>
        </w:tc>
        <w:tc>
          <w:tcPr>
            <w:tcW w:w="9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7"/>
              </w:rPr>
              <w:t>2016 LTIP</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Wrap-Around</w:t>
            </w: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8"/>
              </w:rPr>
              <w:t>Wrap-Around</w:t>
            </w:r>
          </w:p>
        </w:tc>
        <w:tc>
          <w:tcPr>
            <w:tcW w:w="0" w:type="dxa"/>
            <w:vAlign w:val="bottom"/>
          </w:tcPr>
          <w:p>
            <w:pPr>
              <w:spacing w:after="0"/>
              <w:rPr>
                <w:sz w:val="1"/>
                <w:szCs w:val="1"/>
                <w:color w:val="auto"/>
              </w:rPr>
            </w:pPr>
          </w:p>
        </w:tc>
      </w:tr>
      <w:tr>
        <w:trPr>
          <w:trHeight w:val="170"/>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equity)</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share price</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52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color w:val="auto"/>
              </w:rPr>
              <w:t>David A. Levin</w:t>
            </w:r>
          </w:p>
        </w:tc>
        <w:tc>
          <w:tcPr>
            <w:tcW w:w="160" w:type="dxa"/>
            <w:vAlign w:val="bottom"/>
          </w:tcPr>
          <w:p>
            <w:pPr>
              <w:spacing w:after="0"/>
              <w:rPr>
                <w:sz w:val="13"/>
                <w:szCs w:val="13"/>
                <w:color w:val="auto"/>
              </w:rPr>
            </w:pPr>
          </w:p>
        </w:tc>
        <w:tc>
          <w:tcPr>
            <w:tcW w:w="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1,622,400</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1,622,400</w:t>
            </w:r>
          </w:p>
        </w:tc>
        <w:tc>
          <w:tcPr>
            <w:tcW w:w="2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3,244,800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1,622,400</w:t>
            </w:r>
          </w:p>
        </w:tc>
        <w:tc>
          <w:tcPr>
            <w:tcW w:w="100" w:type="dxa"/>
            <w:vAlign w:val="bottom"/>
          </w:tcPr>
          <w:p>
            <w:pPr>
              <w:spacing w:after="0"/>
              <w:rPr>
                <w:sz w:val="13"/>
                <w:szCs w:val="13"/>
                <w:color w:val="auto"/>
              </w:rPr>
            </w:pPr>
          </w:p>
        </w:tc>
        <w:tc>
          <w:tcPr>
            <w:tcW w:w="920" w:type="dxa"/>
            <w:vAlign w:val="bottom"/>
            <w:tcBorders>
              <w:top w:val="single" w:sz="8" w:color="auto"/>
            </w:tcBorders>
          </w:tcPr>
          <w:p>
            <w:pPr>
              <w:jc w:val="right"/>
              <w:ind w:right="769"/>
              <w:spacing w:after="0" w:line="154"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1,297,920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129,792</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3,050,112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20" w:type="dxa"/>
            <w:vAlign w:val="bottom"/>
            <w:shd w:val="clear" w:color="auto" w:fill="CFF0FC"/>
          </w:tcPr>
          <w:p>
            <w:pPr>
              <w:spacing w:after="0"/>
              <w:rPr>
                <w:sz w:val="20"/>
                <w:szCs w:val="20"/>
                <w:color w:val="auto"/>
              </w:rPr>
            </w:pPr>
            <w:r>
              <w:rPr>
                <w:rFonts w:ascii="Arial" w:cs="Arial" w:eastAsia="Arial" w:hAnsi="Arial"/>
                <w:sz w:val="14"/>
                <w:szCs w:val="14"/>
                <w:color w:val="auto"/>
              </w:rPr>
              <w:t>Peter H. Stratton, Jr.</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560,000</w:t>
            </w:r>
          </w:p>
        </w:tc>
        <w:tc>
          <w:tcPr>
            <w:tcW w:w="12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280,000</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769"/>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526,400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20" w:type="dxa"/>
            <w:vAlign w:val="bottom"/>
          </w:tcPr>
          <w:p>
            <w:pPr>
              <w:spacing w:after="0"/>
              <w:rPr>
                <w:sz w:val="20"/>
                <w:szCs w:val="20"/>
                <w:color w:val="auto"/>
              </w:rPr>
            </w:pPr>
            <w:r>
              <w:rPr>
                <w:rFonts w:ascii="Arial" w:cs="Arial" w:eastAsia="Arial" w:hAnsi="Arial"/>
                <w:sz w:val="14"/>
                <w:szCs w:val="14"/>
                <w:color w:val="auto"/>
              </w:rPr>
              <w:t>Kenneth M. Ederle</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455,000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455,000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910,000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455,000</w:t>
            </w:r>
          </w:p>
        </w:tc>
        <w:tc>
          <w:tcPr>
            <w:tcW w:w="100" w:type="dxa"/>
            <w:vAlign w:val="bottom"/>
          </w:tcPr>
          <w:p>
            <w:pPr>
              <w:spacing w:after="0"/>
              <w:rPr>
                <w:sz w:val="13"/>
                <w:szCs w:val="13"/>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364,000</w:t>
            </w:r>
          </w:p>
        </w:tc>
        <w:tc>
          <w:tcPr>
            <w:tcW w:w="1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855,400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2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910,000</w:t>
            </w:r>
          </w:p>
        </w:tc>
        <w:tc>
          <w:tcPr>
            <w:tcW w:w="12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769"/>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364,000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855,400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20" w:type="dxa"/>
            <w:vAlign w:val="bottom"/>
          </w:tcPr>
          <w:p>
            <w:pPr>
              <w:spacing w:after="0"/>
              <w:rPr>
                <w:sz w:val="20"/>
                <w:szCs w:val="20"/>
                <w:color w:val="auto"/>
              </w:rPr>
            </w:pPr>
            <w:r>
              <w:rPr>
                <w:rFonts w:ascii="Arial" w:cs="Arial" w:eastAsia="Arial" w:hAnsi="Arial"/>
                <w:sz w:val="14"/>
                <w:szCs w:val="14"/>
                <w:color w:val="auto"/>
              </w:rPr>
              <w:t>Brian S. Reaves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385,000</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385,000</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770,000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385,000</w:t>
            </w:r>
          </w:p>
        </w:tc>
        <w:tc>
          <w:tcPr>
            <w:tcW w:w="100" w:type="dxa"/>
            <w:vAlign w:val="bottom"/>
          </w:tcPr>
          <w:p>
            <w:pPr>
              <w:spacing w:after="0"/>
              <w:rPr>
                <w:sz w:val="16"/>
                <w:szCs w:val="16"/>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308,000</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30,800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723,800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2016-2017 LTIP</w:t>
      </w:r>
    </w:p>
    <w:p>
      <w:pPr>
        <w:spacing w:after="0" w:line="2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(the “New LTIP”).</w:t>
      </w:r>
    </w:p>
    <w:p>
      <w:pPr>
        <w:spacing w:after="0" w:line="21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2013-2016 LTIP and Wrap-Around Plans were primarily established to help retain the Company’s management team during its initial transition to its DXL store format, while tying any reward earned to the achievement of this long-term objective. As the Company continues with the DXL concept beyond the initial implementation/roll-out phase, the Compensation Committee has adopted the New LTIP to continue to align the Company with the best practices of similar long-term incentive plans of its peers. The New LTIP will continue to support the Company’s ongoing efforts to attract, retain and develop exceptional talent and enable it to provide incentives directly linked to the Company’s short- and long-term objectives as well as increased shareholder value.</w:t>
      </w:r>
    </w:p>
    <w:p>
      <w:pPr>
        <w:spacing w:after="0" w:line="218"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executive officer, 70% for its senior executives and 25% for other participants in the plan. Because of the overlapping two-year Performance Period, the Target Cash Value for any award is based on one year of annual salary, as opposed to two years, to avoid doubling compensation in any given fiscal year.</w:t>
      </w:r>
    </w:p>
    <w:p>
      <w:pPr>
        <w:spacing w:after="0" w:line="193"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218" w:lineRule="exact"/>
        <w:rPr>
          <w:sz w:val="20"/>
          <w:szCs w:val="20"/>
          <w:color w:val="auto"/>
        </w:rPr>
      </w:pPr>
    </w:p>
    <w:p>
      <w:pPr>
        <w:jc w:val="both"/>
        <w:ind w:left="760" w:right="20"/>
        <w:spacing w:after="0" w:line="260" w:lineRule="auto"/>
        <w:rPr>
          <w:sz w:val="20"/>
          <w:szCs w:val="20"/>
          <w:color w:val="auto"/>
        </w:rPr>
      </w:pPr>
      <w:r>
        <w:rPr>
          <w:rFonts w:ascii="Arial" w:cs="Arial" w:eastAsia="Arial" w:hAnsi="Arial"/>
          <w:sz w:val="18"/>
          <w:szCs w:val="18"/>
          <w:color w:val="auto"/>
        </w:rPr>
        <w:t>Because we are still in the process of converting to our DXL concept and will be continuing to open DXL retail and outlet stores while closing more of our Casual Male XL retail and outlet stores, the Compensation Committee believes that a two-year performance period with a subsequent six-month holding period is appropriate until we complete this conversion.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 w:name="page27"/>
    <w:bookmarkEnd w:id="26"/>
    <w:p>
      <w:pPr>
        <w:jc w:val="both"/>
        <w:ind w:left="244" w:right="20"/>
        <w:spacing w:after="0" w:line="271" w:lineRule="auto"/>
        <w:rPr>
          <w:sz w:val="20"/>
          <w:szCs w:val="20"/>
          <w:color w:val="auto"/>
        </w:rPr>
      </w:pPr>
      <w:r>
        <w:rPr>
          <w:rFonts w:ascii="Arial" w:cs="Arial" w:eastAsia="Arial" w:hAnsi="Arial"/>
          <w:sz w:val="18"/>
          <w:szCs w:val="18"/>
          <w:color w:val="auto"/>
        </w:rPr>
        <w:t>mentioned above, the time-based portion will vest over three years, with the second one-half of the time-based payout being made one-year after the end of the performance period.</w:t>
      </w:r>
    </w:p>
    <w:p>
      <w:pPr>
        <w:spacing w:after="0" w:line="202" w:lineRule="exact"/>
        <w:rPr>
          <w:sz w:val="20"/>
          <w:szCs w:val="20"/>
          <w:color w:val="auto"/>
        </w:rPr>
      </w:pPr>
    </w:p>
    <w:p>
      <w:pPr>
        <w:jc w:val="both"/>
        <w:ind w:left="244"/>
        <w:spacing w:after="0" w:line="260" w:lineRule="auto"/>
        <w:rPr>
          <w:sz w:val="20"/>
          <w:szCs w:val="20"/>
          <w:color w:val="auto"/>
        </w:rPr>
      </w:pPr>
      <w:r>
        <w:rPr>
          <w:rFonts w:ascii="Arial" w:cs="Arial" w:eastAsia="Arial" w:hAnsi="Arial"/>
          <w:sz w:val="18"/>
          <w:szCs w:val="18"/>
          <w:color w:val="auto"/>
        </w:rPr>
        <w:t>The Compensation Committee established two performance targets for the 2016-2017 Performance Period under the New LTIP (the “2016-2017 LTIP”), each weighted 50%, and further approved that all awards under the 2016-2017 LTIP would be issued in restricted stock units. The performance targets for the 2016-2017 LTIP are:</w:t>
      </w:r>
    </w:p>
    <w:p>
      <w:pPr>
        <w:spacing w:after="0" w:line="185" w:lineRule="exact"/>
        <w:rPr>
          <w:sz w:val="20"/>
          <w:szCs w:val="20"/>
          <w:color w:val="auto"/>
        </w:rPr>
      </w:pPr>
    </w:p>
    <w:p>
      <w:pPr>
        <w:ind w:left="2144" w:hanging="375"/>
        <w:spacing w:after="0" w:line="255" w:lineRule="auto"/>
        <w:tabs>
          <w:tab w:leader="none" w:pos="21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EBITDA for fiscal 2017, defined as earnings before interest, taxes, depreciation and amortization (minimum threshold 85% of target; maximum award 115% of target).</w:t>
      </w:r>
    </w:p>
    <w:p>
      <w:pPr>
        <w:spacing w:after="0" w:line="1" w:lineRule="exact"/>
        <w:rPr>
          <w:rFonts w:ascii="Arial" w:cs="Arial" w:eastAsia="Arial" w:hAnsi="Arial"/>
          <w:sz w:val="18"/>
          <w:szCs w:val="18"/>
          <w:color w:val="auto"/>
        </w:rPr>
      </w:pPr>
    </w:p>
    <w:p>
      <w:pPr>
        <w:jc w:val="both"/>
        <w:ind w:left="2144" w:hanging="375"/>
        <w:spacing w:after="0" w:line="274" w:lineRule="auto"/>
        <w:tabs>
          <w:tab w:leader="none" w:pos="21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DXL Comparable Store Marginal Cash-Over-Cash Return, defined as the aggregate of each comparable DXL store’s four-wall cash flow for fiscal 2017 divided by the aggregate capital investment, net of any tenant allowance, for each comparable DXL store (minimum threshold 92% of target; maximum award 108% of target).</w:t>
      </w:r>
    </w:p>
    <w:p>
      <w:pPr>
        <w:spacing w:after="0" w:line="309" w:lineRule="exact"/>
        <w:rPr>
          <w:sz w:val="20"/>
          <w:szCs w:val="20"/>
          <w:color w:val="auto"/>
        </w:rPr>
      </w:pPr>
    </w:p>
    <w:p>
      <w:pPr>
        <w:ind w:left="264" w:right="120"/>
        <w:spacing w:after="0" w:line="272" w:lineRule="auto"/>
        <w:rPr>
          <w:sz w:val="20"/>
          <w:szCs w:val="20"/>
          <w:color w:val="auto"/>
        </w:rPr>
      </w:pPr>
      <w:r>
        <w:rPr>
          <w:rFonts w:ascii="Arial" w:cs="Arial" w:eastAsia="Arial" w:hAnsi="Arial"/>
          <w:sz w:val="17"/>
          <w:szCs w:val="17"/>
          <w:color w:val="auto"/>
        </w:rPr>
        <w:t>The Compensation Committee sees these two metrics as key measures to ensure that our DXL strategy is successful. As mentioned above, with the substantial new store growth over the past three years, our depreciation costs have increased sharply, which has a short-term impact on net income (loss) and, therefore, EBITDA is a more meaningful measure which we think is best to use to determine how well our DXL concept is performing. Due to its importance in measuring our performance, there is some overlap between our short-term and long-term metrics as it relates to EBITDA. As with our 2016 AIP, we will disclose our targets once the performance period has ended.</w:t>
      </w:r>
    </w:p>
    <w:p>
      <w:pPr>
        <w:spacing w:after="0" w:line="178" w:lineRule="exact"/>
        <w:rPr>
          <w:sz w:val="20"/>
          <w:szCs w:val="20"/>
          <w:color w:val="auto"/>
        </w:rPr>
      </w:pPr>
    </w:p>
    <w:p>
      <w:pPr>
        <w:ind w:left="264" w:hanging="264"/>
        <w:spacing w:after="0"/>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4" w:lineRule="exact"/>
        <w:rPr>
          <w:rFonts w:ascii="Arial" w:cs="Arial" w:eastAsia="Arial" w:hAnsi="Arial"/>
          <w:sz w:val="18"/>
          <w:szCs w:val="18"/>
          <w:color w:val="auto"/>
        </w:rPr>
      </w:pPr>
    </w:p>
    <w:p>
      <w:pPr>
        <w:ind w:left="264"/>
        <w:spacing w:after="0"/>
        <w:rPr>
          <w:rFonts w:ascii="Arial" w:cs="Arial" w:eastAsia="Arial" w:hAnsi="Arial"/>
          <w:sz w:val="18"/>
          <w:szCs w:val="18"/>
          <w:color w:val="auto"/>
        </w:rPr>
      </w:pPr>
      <w:r>
        <w:rPr>
          <w:rFonts w:ascii="Arial" w:cs="Arial" w:eastAsia="Arial" w:hAnsi="Arial"/>
          <w:sz w:val="18"/>
          <w:szCs w:val="18"/>
          <w:color w:val="auto"/>
        </w:rPr>
        <w:t>There were no discretionary cash or equity awards granted to our Named Executive Officers in fiscal 2015.</w:t>
      </w:r>
    </w:p>
    <w:p>
      <w:pPr>
        <w:spacing w:after="0" w:line="114" w:lineRule="exact"/>
        <w:rPr>
          <w:rFonts w:ascii="Arial" w:cs="Arial" w:eastAsia="Arial" w:hAnsi="Arial"/>
          <w:sz w:val="18"/>
          <w:szCs w:val="18"/>
          <w:color w:val="auto"/>
        </w:rPr>
      </w:pPr>
    </w:p>
    <w:p>
      <w:pPr>
        <w:ind w:left="264"/>
        <w:spacing w:after="0"/>
        <w:rPr>
          <w:rFonts w:ascii="Arial" w:cs="Arial" w:eastAsia="Arial" w:hAnsi="Arial"/>
          <w:sz w:val="18"/>
          <w:szCs w:val="18"/>
          <w:color w:val="auto"/>
        </w:rPr>
      </w:pPr>
      <w:r>
        <w:rPr>
          <w:rFonts w:ascii="Arial" w:cs="Arial" w:eastAsia="Arial" w:hAnsi="Arial"/>
          <w:sz w:val="17"/>
          <w:szCs w:val="17"/>
          <w:color w:val="auto"/>
        </w:rPr>
        <w:t>In particular circumstances, we also utilize cash signing bonuses and equity-based awards when certain employees join the Company.</w:t>
      </w:r>
    </w:p>
    <w:p>
      <w:pPr>
        <w:spacing w:after="0" w:line="126" w:lineRule="exact"/>
        <w:rPr>
          <w:rFonts w:ascii="Arial" w:cs="Arial" w:eastAsia="Arial" w:hAnsi="Arial"/>
          <w:sz w:val="18"/>
          <w:szCs w:val="18"/>
          <w:color w:val="auto"/>
        </w:rPr>
      </w:pPr>
    </w:p>
    <w:p>
      <w:pPr>
        <w:ind w:left="264" w:hanging="264"/>
        <w:spacing w:after="0"/>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4" w:lineRule="exact"/>
        <w:rPr>
          <w:rFonts w:ascii="Arial" w:cs="Arial" w:eastAsia="Arial" w:hAnsi="Arial"/>
          <w:sz w:val="18"/>
          <w:szCs w:val="18"/>
          <w:color w:val="auto"/>
        </w:rPr>
      </w:pPr>
    </w:p>
    <w:p>
      <w:pPr>
        <w:ind w:left="264" w:right="240"/>
        <w:spacing w:after="0" w:line="271"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8" w:lineRule="exact"/>
        <w:rPr>
          <w:rFonts w:ascii="Arial" w:cs="Arial" w:eastAsia="Arial" w:hAnsi="Arial"/>
          <w:sz w:val="18"/>
          <w:szCs w:val="18"/>
          <w:color w:val="auto"/>
        </w:rPr>
      </w:pPr>
    </w:p>
    <w:p>
      <w:pPr>
        <w:ind w:left="264" w:right="100"/>
        <w:spacing w:after="0" w:line="271"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8" w:lineRule="exact"/>
        <w:rPr>
          <w:rFonts w:ascii="Arial" w:cs="Arial" w:eastAsia="Arial" w:hAnsi="Arial"/>
          <w:sz w:val="18"/>
          <w:szCs w:val="18"/>
          <w:color w:val="auto"/>
        </w:rPr>
      </w:pPr>
    </w:p>
    <w:p>
      <w:pPr>
        <w:ind w:left="264" w:right="260"/>
        <w:spacing w:after="0" w:line="271"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8" w:lineRule="exact"/>
        <w:rPr>
          <w:rFonts w:ascii="Arial" w:cs="Arial" w:eastAsia="Arial" w:hAnsi="Arial"/>
          <w:sz w:val="18"/>
          <w:szCs w:val="18"/>
          <w:color w:val="auto"/>
        </w:rPr>
      </w:pPr>
    </w:p>
    <w:p>
      <w:pPr>
        <w:ind w:left="264" w:right="60"/>
        <w:spacing w:after="0" w:line="256"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to receive a Company match. For fiscal 2015, we matched 100% of the first 1% of deferred compensation and 50% of the next 5% (with a maximum contribution of 3.5% of eligible compensation). Benefits under these plans are not tied to corporate performance.</w:t>
      </w:r>
    </w:p>
    <w:p>
      <w:pPr>
        <w:spacing w:after="0" w:line="81" w:lineRule="exact"/>
        <w:rPr>
          <w:rFonts w:ascii="Arial" w:cs="Arial" w:eastAsia="Arial" w:hAnsi="Arial"/>
          <w:sz w:val="18"/>
          <w:szCs w:val="18"/>
          <w:color w:val="auto"/>
        </w:rPr>
      </w:pPr>
    </w:p>
    <w:p>
      <w:pPr>
        <w:ind w:left="264" w:hanging="264"/>
        <w:spacing w:after="0"/>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4" w:lineRule="exact"/>
        <w:rPr>
          <w:rFonts w:ascii="Arial" w:cs="Arial" w:eastAsia="Arial" w:hAnsi="Arial"/>
          <w:sz w:val="18"/>
          <w:szCs w:val="18"/>
          <w:color w:val="auto"/>
        </w:rPr>
      </w:pPr>
    </w:p>
    <w:p>
      <w:pPr>
        <w:ind w:left="264" w:right="140"/>
        <w:spacing w:after="0" w:line="298" w:lineRule="auto"/>
        <w:rPr>
          <w:rFonts w:ascii="Arial" w:cs="Arial" w:eastAsia="Arial" w:hAnsi="Arial"/>
          <w:sz w:val="18"/>
          <w:szCs w:val="18"/>
          <w:color w:val="auto"/>
        </w:rPr>
      </w:pPr>
      <w:r>
        <w:rPr>
          <w:rFonts w:ascii="Arial" w:cs="Arial" w:eastAsia="Arial" w:hAnsi="Arial"/>
          <w:sz w:val="16"/>
          <w:szCs w:val="16"/>
          <w:color w:val="auto"/>
        </w:rPr>
        <w:t>We have employment agreements with our CEO and all of our other Named Executive Officers. Upon termination of employment, each executive is entitled to receive severance payments under his/her employment agreement(s) in the event of a termination without justifiable cause. These employment agreements are discussed in detail below in the section “Employment Agreements” following the “Summary Compensation Table.” Our employment agreements do not contain any tax gross-ups pursuant to Section 280(g) of the Internal Revenue Code.</w:t>
      </w:r>
    </w:p>
    <w:p>
      <w:pPr>
        <w:spacing w:after="0" w:line="50" w:lineRule="exact"/>
        <w:rPr>
          <w:rFonts w:ascii="Arial" w:cs="Arial" w:eastAsia="Arial" w:hAnsi="Arial"/>
          <w:sz w:val="18"/>
          <w:szCs w:val="18"/>
          <w:color w:val="auto"/>
        </w:rPr>
      </w:pPr>
    </w:p>
    <w:p>
      <w:pPr>
        <w:ind w:left="264" w:hanging="264"/>
        <w:spacing w:after="0"/>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4" w:lineRule="exact"/>
        <w:rPr>
          <w:rFonts w:ascii="Arial" w:cs="Arial" w:eastAsia="Arial" w:hAnsi="Arial"/>
          <w:sz w:val="18"/>
          <w:szCs w:val="18"/>
          <w:color w:val="auto"/>
        </w:rPr>
      </w:pPr>
    </w:p>
    <w:p>
      <w:pPr>
        <w:ind w:left="264" w:right="20"/>
        <w:spacing w:after="0" w:line="293" w:lineRule="auto"/>
        <w:rPr>
          <w:rFonts w:ascii="Arial" w:cs="Arial" w:eastAsia="Arial" w:hAnsi="Arial"/>
          <w:sz w:val="18"/>
          <w:szCs w:val="18"/>
          <w:color w:val="auto"/>
        </w:rPr>
      </w:pPr>
      <w:r>
        <w:rPr>
          <w:rFonts w:ascii="Arial" w:cs="Arial" w:eastAsia="Arial" w:hAnsi="Arial"/>
          <w:sz w:val="16"/>
          <w:szCs w:val="16"/>
          <w:color w:val="auto"/>
        </w:rPr>
        <w:t>Under Section 162(m) of the Internal Revenue Code, certain executive compensation in excess of $1 million in any fiscal year is limited and is not deductible by the Company for federal income tax purposes unless the compensation qualifies as "performance-based compensation" under Section 162(m). The Compensation Committee will consider whether a form of compensation will be deductible under Section 162(m) in determining executive compensation, though other factors will also be considered. The Compensation Committee may authorize compensation payments that do not comply with the exemptions to Section 162(m) when it believes that such payments are appropriate to attract and retain executive talent.</w:t>
      </w:r>
    </w:p>
    <w:p>
      <w:pPr>
        <w:spacing w:after="0" w:line="163"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205105</wp:posOffset>
            </wp:positionV>
            <wp:extent cx="728980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904"/>
          </w:cols>
          <w:pgMar w:left="756" w:top="339"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6" w:lineRule="exact"/>
        <w:rPr>
          <w:sz w:val="20"/>
          <w:szCs w:val="20"/>
          <w:color w:val="auto"/>
        </w:rPr>
      </w:pPr>
    </w:p>
    <w:p>
      <w:pPr>
        <w:jc w:val="both"/>
        <w:ind w:right="480"/>
        <w:spacing w:after="0" w:line="260"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29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The Compensation Committee</w:t>
      </w:r>
    </w:p>
    <w:p>
      <w:pPr>
        <w:spacing w:after="0" w:line="22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George T. Porter, Jr., Chairman</w:t>
      </w:r>
    </w:p>
    <w:p>
      <w:pPr>
        <w:spacing w:after="0" w:line="22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Jesse Choper *</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E. Kyees *</w:t>
      </w:r>
    </w:p>
    <w:p>
      <w:pPr>
        <w:spacing w:after="0" w:line="22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Willem Mesdag</w:t>
      </w:r>
    </w:p>
    <w:p>
      <w:pPr>
        <w:spacing w:after="0" w:line="22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430530</wp:posOffset>
            </wp:positionV>
            <wp:extent cx="7247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0" w:hanging="190"/>
        <w:spacing w:after="0" w:line="260" w:lineRule="auto"/>
        <w:tabs>
          <w:tab w:leader="none" w:pos="1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Choper was a member of the Compensation Committee until January 30, 2016 and participated in the review and discussions relating to compensation for fiscal 2015 referred to in the Compensation Discussion and Analysis. Mr. Kyees became a member of the Compensation Committee on January 31, 2016.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our "Named Executive Officers" for fiscal 2015.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3"/>
              </w:rPr>
              <w:t>Non-Equity</w:t>
            </w: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4"/>
              </w:rPr>
              <w:t>Pension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Value and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800" w:type="dxa"/>
            <w:vAlign w:val="bottom"/>
          </w:tcPr>
          <w:p>
            <w:pPr>
              <w:jc w:val="center"/>
              <w:ind w:right="29"/>
              <w:spacing w:after="0" w:line="147" w:lineRule="exact"/>
              <w:rPr>
                <w:sz w:val="20"/>
                <w:szCs w:val="20"/>
                <w:color w:val="auto"/>
              </w:rPr>
            </w:pPr>
            <w:r>
              <w:rPr>
                <w:rFonts w:ascii="Arial" w:cs="Arial" w:eastAsia="Arial" w:hAnsi="Arial"/>
                <w:sz w:val="14"/>
                <w:szCs w:val="14"/>
                <w:b w:val="1"/>
                <w:bCs w:val="1"/>
                <w:color w:val="auto"/>
                <w:w w:val="95"/>
              </w:rPr>
              <w:t>Incentive</w:t>
            </w: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Non-qualified</w:t>
            </w:r>
          </w:p>
        </w:tc>
        <w:tc>
          <w:tcPr>
            <w:tcW w:w="100" w:type="dxa"/>
            <w:vAlign w:val="bottom"/>
          </w:tcPr>
          <w:p>
            <w:pPr>
              <w:spacing w:after="0"/>
              <w:rPr>
                <w:sz w:val="12"/>
                <w:szCs w:val="12"/>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9"/>
              <w:spacing w:after="0" w:line="147" w:lineRule="exact"/>
              <w:rPr>
                <w:sz w:val="20"/>
                <w:szCs w:val="20"/>
                <w:color w:val="auto"/>
              </w:rPr>
            </w:pPr>
            <w:r>
              <w:rPr>
                <w:rFonts w:ascii="Arial" w:cs="Arial" w:eastAsia="Arial" w:hAnsi="Arial"/>
                <w:sz w:val="14"/>
                <w:szCs w:val="14"/>
                <w:b w:val="1"/>
                <w:bCs w:val="1"/>
                <w:color w:val="auto"/>
                <w:w w:val="87"/>
              </w:rPr>
              <w:t>Plan</w:t>
            </w: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5"/>
              </w:rPr>
              <w:t>Bonus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8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13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0"/>
        </w:trPr>
        <w:tc>
          <w:tcPr>
            <w:tcW w:w="2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gridSpan w:val="3"/>
          </w:tcPr>
          <w:p>
            <w:pPr>
              <w:jc w:val="center"/>
              <w:ind w:left="129"/>
              <w:spacing w:after="0"/>
              <w:rPr>
                <w:sz w:val="20"/>
                <w:szCs w:val="20"/>
                <w:color w:val="auto"/>
              </w:rPr>
            </w:pPr>
            <w:r>
              <w:rPr>
                <w:rFonts w:ascii="Arial" w:cs="Arial" w:eastAsia="Arial" w:hAnsi="Arial"/>
                <w:sz w:val="14"/>
                <w:szCs w:val="14"/>
                <w:b w:val="1"/>
                <w:bCs w:val="1"/>
                <w:color w:val="auto"/>
                <w:w w:val="98"/>
              </w:rPr>
              <w:t>($) (1) (2)</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 (1)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9"/>
              <w:spacing w:after="0"/>
              <w:rPr>
                <w:sz w:val="20"/>
                <w:szCs w:val="20"/>
                <w:color w:val="auto"/>
              </w:rPr>
            </w:pPr>
            <w:r>
              <w:rPr>
                <w:rFonts w:ascii="Arial" w:cs="Arial" w:eastAsia="Arial" w:hAnsi="Arial"/>
                <w:sz w:val="14"/>
                <w:szCs w:val="14"/>
                <w:b w:val="1"/>
                <w:bCs w:val="1"/>
                <w:color w:val="auto"/>
                <w:w w:val="97"/>
              </w:rPr>
              <w:t>($)(1)(3)</w:t>
            </w: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Earnings ($)</w:t>
            </w:r>
          </w:p>
        </w:tc>
        <w:tc>
          <w:tcPr>
            <w:tcW w:w="100" w:type="dxa"/>
            <w:vAlign w:val="bottom"/>
          </w:tcPr>
          <w:p>
            <w:pPr>
              <w:spacing w:after="0"/>
              <w:rPr>
                <w:sz w:val="14"/>
                <w:szCs w:val="14"/>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0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David A. Levin</w:t>
            </w: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ind w:left="220"/>
              <w:spacing w:after="0" w:line="154"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811,200</w:t>
            </w:r>
          </w:p>
        </w:tc>
        <w:tc>
          <w:tcPr>
            <w:tcW w:w="2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ind w:left="54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1,174,618</w:t>
            </w: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ind w:left="72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40,472</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96"/>
              </w:rPr>
              <w:t>2,026,290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President and Chief Executive</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936,693</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1,788,363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Officer</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116,002</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2,182,462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Peter H. Stratton, Jr. (5)</w:t>
            </w:r>
          </w:p>
        </w:tc>
        <w:tc>
          <w:tcPr>
            <w:tcW w:w="100" w:type="dxa"/>
            <w:vAlign w:val="bottom"/>
          </w:tcPr>
          <w:p>
            <w:pPr>
              <w:spacing w:after="0"/>
              <w:rPr>
                <w:sz w:val="13"/>
                <w:szCs w:val="13"/>
                <w:color w:val="auto"/>
              </w:rPr>
            </w:pPr>
          </w:p>
        </w:tc>
        <w:tc>
          <w:tcPr>
            <w:tcW w:w="760" w:type="dxa"/>
            <w:vAlign w:val="bottom"/>
          </w:tcPr>
          <w:p>
            <w:pPr>
              <w:ind w:left="220"/>
              <w:spacing w:after="0" w:line="155" w:lineRule="exact"/>
              <w:rPr>
                <w:sz w:val="20"/>
                <w:szCs w:val="20"/>
                <w:color w:val="auto"/>
              </w:rPr>
            </w:pPr>
            <w:r>
              <w:rPr>
                <w:rFonts w:ascii="Arial" w:cs="Arial" w:eastAsia="Arial" w:hAnsi="Arial"/>
                <w:sz w:val="14"/>
                <w:szCs w:val="14"/>
                <w:color w:val="auto"/>
              </w:rPr>
              <w:t>2015</w:t>
            </w:r>
          </w:p>
        </w:tc>
        <w:tc>
          <w:tcPr>
            <w:tcW w:w="240" w:type="dxa"/>
            <w:vAlign w:val="bottom"/>
            <w:gridSpan w:val="2"/>
          </w:tcPr>
          <w:p>
            <w:pPr>
              <w:jc w:val="right"/>
              <w:ind w:right="19"/>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285,000</w:t>
            </w:r>
          </w:p>
        </w:tc>
        <w:tc>
          <w:tcPr>
            <w:tcW w:w="200" w:type="dxa"/>
            <w:vAlign w:val="bottom"/>
          </w:tcPr>
          <w:p>
            <w:pPr>
              <w:spacing w:after="0"/>
              <w:rPr>
                <w:sz w:val="13"/>
                <w:szCs w:val="13"/>
                <w:color w:val="auto"/>
              </w:rPr>
            </w:pPr>
          </w:p>
        </w:tc>
        <w:tc>
          <w:tcPr>
            <w:tcW w:w="700" w:type="dxa"/>
            <w:vAlign w:val="bottom"/>
          </w:tcPr>
          <w:p>
            <w:pPr>
              <w:ind w:left="5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170,272</w:t>
            </w:r>
          </w:p>
        </w:tc>
        <w:tc>
          <w:tcPr>
            <w:tcW w:w="220" w:type="dxa"/>
            <w:vAlign w:val="bottom"/>
          </w:tcPr>
          <w:p>
            <w:pPr>
              <w:spacing w:after="0"/>
              <w:rPr>
                <w:sz w:val="13"/>
                <w:szCs w:val="13"/>
                <w:color w:val="auto"/>
              </w:rPr>
            </w:pPr>
          </w:p>
        </w:tc>
        <w:tc>
          <w:tcPr>
            <w:tcW w:w="1100" w:type="dxa"/>
            <w:vAlign w:val="bottom"/>
            <w:gridSpan w:val="2"/>
          </w:tcPr>
          <w:p>
            <w:pPr>
              <w:ind w:left="7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24,565</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479,837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tcPr>
          <w:p>
            <w:pPr>
              <w:ind w:left="260"/>
              <w:spacing w:after="0"/>
              <w:rPr>
                <w:sz w:val="20"/>
                <w:szCs w:val="20"/>
                <w:color w:val="auto"/>
              </w:rPr>
            </w:pPr>
            <w:r>
              <w:rPr>
                <w:rFonts w:ascii="Arial" w:cs="Arial" w:eastAsia="Arial" w:hAnsi="Arial"/>
                <w:sz w:val="14"/>
                <w:szCs w:val="14"/>
                <w:color w:val="auto"/>
              </w:rPr>
              <w:t>Senior Vice President, Chief</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257,443</w:t>
            </w:r>
          </w:p>
        </w:tc>
        <w:tc>
          <w:tcPr>
            <w:tcW w:w="20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127,462</w:t>
            </w:r>
          </w:p>
        </w:tc>
        <w:tc>
          <w:tcPr>
            <w:tcW w:w="220" w:type="dxa"/>
            <w:vAlign w:val="bottom"/>
          </w:tcPr>
          <w:p>
            <w:pPr>
              <w:spacing w:after="0"/>
              <w:rPr>
                <w:sz w:val="13"/>
                <w:szCs w:val="13"/>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24,347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409,252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260"/>
              <w:spacing w:after="0"/>
              <w:rPr>
                <w:sz w:val="20"/>
                <w:szCs w:val="20"/>
                <w:color w:val="auto"/>
              </w:rPr>
            </w:pPr>
            <w:r>
              <w:rPr>
                <w:rFonts w:ascii="Arial" w:cs="Arial" w:eastAsia="Arial" w:hAnsi="Arial"/>
                <w:sz w:val="14"/>
                <w:szCs w:val="14"/>
                <w:color w:val="auto"/>
              </w:rPr>
              <w:t>Financial Officer and Treasurer</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8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8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2015</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380,769</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236,348</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21,850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638,967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Senior Vice President and Chief</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343,269</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172,463</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537,394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Merchandising Officer -</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313,462</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113,750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15,785</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21,473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691,970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Planning and Allocation</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Robert S. Molloy</w:t>
            </w:r>
          </w:p>
        </w:tc>
        <w:tc>
          <w:tcPr>
            <w:tcW w:w="100" w:type="dxa"/>
            <w:vAlign w:val="bottom"/>
          </w:tcPr>
          <w:p>
            <w:pPr>
              <w:spacing w:after="0"/>
              <w:rPr>
                <w:sz w:val="13"/>
                <w:szCs w:val="13"/>
                <w:color w:val="auto"/>
              </w:rPr>
            </w:pPr>
          </w:p>
        </w:tc>
        <w:tc>
          <w:tcPr>
            <w:tcW w:w="760" w:type="dxa"/>
            <w:vAlign w:val="bottom"/>
          </w:tcPr>
          <w:p>
            <w:pPr>
              <w:ind w:left="220"/>
              <w:spacing w:after="0" w:line="155" w:lineRule="exact"/>
              <w:rPr>
                <w:sz w:val="20"/>
                <w:szCs w:val="20"/>
                <w:color w:val="auto"/>
              </w:rPr>
            </w:pPr>
            <w:r>
              <w:rPr>
                <w:rFonts w:ascii="Arial" w:cs="Arial" w:eastAsia="Arial" w:hAnsi="Arial"/>
                <w:sz w:val="14"/>
                <w:szCs w:val="14"/>
                <w:color w:val="auto"/>
              </w:rPr>
              <w:t>2015</w:t>
            </w:r>
          </w:p>
        </w:tc>
        <w:tc>
          <w:tcPr>
            <w:tcW w:w="240" w:type="dxa"/>
            <w:vAlign w:val="bottom"/>
            <w:gridSpan w:val="2"/>
          </w:tcPr>
          <w:p>
            <w:pPr>
              <w:jc w:val="right"/>
              <w:ind w:right="19"/>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335,000</w:t>
            </w:r>
          </w:p>
        </w:tc>
        <w:tc>
          <w:tcPr>
            <w:tcW w:w="200" w:type="dxa"/>
            <w:vAlign w:val="bottom"/>
          </w:tcPr>
          <w:p>
            <w:pPr>
              <w:spacing w:after="0"/>
              <w:rPr>
                <w:sz w:val="13"/>
                <w:szCs w:val="13"/>
                <w:color w:val="auto"/>
              </w:rPr>
            </w:pPr>
          </w:p>
        </w:tc>
        <w:tc>
          <w:tcPr>
            <w:tcW w:w="700" w:type="dxa"/>
            <w:vAlign w:val="bottom"/>
          </w:tcPr>
          <w:p>
            <w:pPr>
              <w:ind w:left="5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212,732</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27,259</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574,991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tcPr>
          <w:p>
            <w:pPr>
              <w:ind w:left="260"/>
              <w:spacing w:after="0"/>
              <w:rPr>
                <w:sz w:val="20"/>
                <w:szCs w:val="20"/>
                <w:color w:val="auto"/>
              </w:rPr>
            </w:pPr>
            <w:r>
              <w:rPr>
                <w:rFonts w:ascii="Arial" w:cs="Arial" w:eastAsia="Arial" w:hAnsi="Arial"/>
                <w:sz w:val="14"/>
                <w:szCs w:val="14"/>
                <w:color w:val="auto"/>
              </w:rPr>
              <w:t>Senior Vice President, General</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332,308</w:t>
            </w:r>
          </w:p>
        </w:tc>
        <w:tc>
          <w:tcPr>
            <w:tcW w:w="20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163,878</w:t>
            </w:r>
          </w:p>
        </w:tc>
        <w:tc>
          <w:tcPr>
            <w:tcW w:w="220" w:type="dxa"/>
            <w:vAlign w:val="bottom"/>
          </w:tcPr>
          <w:p>
            <w:pPr>
              <w:spacing w:after="0"/>
              <w:rPr>
                <w:sz w:val="13"/>
                <w:szCs w:val="13"/>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27,486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523,672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260"/>
              <w:spacing w:after="0"/>
              <w:rPr>
                <w:sz w:val="20"/>
                <w:szCs w:val="20"/>
                <w:color w:val="auto"/>
              </w:rPr>
            </w:pPr>
            <w:r>
              <w:rPr>
                <w:rFonts w:ascii="Arial" w:cs="Arial" w:eastAsia="Arial" w:hAnsi="Arial"/>
                <w:sz w:val="14"/>
                <w:szCs w:val="14"/>
                <w:color w:val="auto"/>
              </w:rPr>
              <w:t>Counsel and Secretary</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2013</w:t>
            </w:r>
          </w:p>
        </w:tc>
        <w:tc>
          <w:tcPr>
            <w:tcW w:w="24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325,000</w:t>
            </w:r>
          </w:p>
        </w:tc>
        <w:tc>
          <w:tcPr>
            <w:tcW w:w="200" w:type="dxa"/>
            <w:vAlign w:val="bottom"/>
          </w:tcPr>
          <w:p>
            <w:pPr>
              <w:spacing w:after="0"/>
              <w:rPr>
                <w:sz w:val="15"/>
                <w:szCs w:val="15"/>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227,500</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113,750</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16,266</w:t>
            </w:r>
          </w:p>
        </w:tc>
        <w:tc>
          <w:tcPr>
            <w:tcW w:w="220" w:type="dxa"/>
            <w:vAlign w:val="bottom"/>
          </w:tcPr>
          <w:p>
            <w:pPr>
              <w:spacing w:after="0"/>
              <w:rPr>
                <w:sz w:val="15"/>
                <w:szCs w:val="15"/>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25,188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707,704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8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8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2015</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188,260</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515,288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Senior Vice President and</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293,269</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141,588</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27,219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462,076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Chief Sales Officer</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275,000</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13,764</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601,914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760" w:hanging="378"/>
        <w:spacing w:after="0" w:line="281" w:lineRule="auto"/>
        <w:tabs>
          <w:tab w:leader="none" w:pos="7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non-performance awards computed in accordance with FASB ASC Topic 718, and not the actual amount paid to or realized by the Named Executive Officers during the applicable fiscal year.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30, 2016.</w:t>
      </w:r>
    </w:p>
    <w:p>
      <w:pPr>
        <w:ind w:left="760" w:right="140" w:hanging="378"/>
        <w:spacing w:after="0" w:line="292" w:lineRule="auto"/>
        <w:tabs>
          <w:tab w:leader="none" w:pos="7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Excluded from the Stock Awards and Option Awards columns are the fair values associated with the grant in fiscal 2013 of performance-based awards computed in accordance with FASB ASC Topic 718. As of January 30, 2016, the achievement of the performance targets were not deemed probable and, therefore, no compensation expense has been recognized through the end of fiscal 2015. As a result, the following fair values, at the highest performance level, associated with the grant of performance-based awards to each of the Named Executive Officers are not reflected in the table above:</w:t>
      </w:r>
    </w:p>
    <w:p>
      <w:pPr>
        <w:spacing w:after="0" w:line="184"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Stock Awards</w:t>
            </w:r>
          </w:p>
        </w:tc>
        <w:tc>
          <w:tcPr>
            <w:tcW w:w="6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Option Awards</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David Levin</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811,200</w:t>
            </w:r>
          </w:p>
        </w:tc>
        <w:tc>
          <w:tcPr>
            <w:tcW w:w="4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center"/>
              <w:ind w:left="149"/>
              <w:spacing w:after="0"/>
              <w:rPr>
                <w:sz w:val="20"/>
                <w:szCs w:val="20"/>
                <w:color w:val="auto"/>
              </w:rPr>
            </w:pPr>
            <w:r>
              <w:rPr>
                <w:rFonts w:ascii="Arial" w:cs="Arial" w:eastAsia="Arial" w:hAnsi="Arial"/>
                <w:sz w:val="14"/>
                <w:szCs w:val="14"/>
                <w:color w:val="auto"/>
                <w:w w:val="90"/>
              </w:rPr>
              <w:t>405,600</w:t>
            </w: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Peter Stratton</w:t>
            </w:r>
          </w:p>
        </w:tc>
        <w:tc>
          <w:tcPr>
            <w:tcW w:w="1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140,000</w:t>
            </w: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tcPr>
          <w:p>
            <w:pPr>
              <w:jc w:val="center"/>
              <w:ind w:left="129"/>
              <w:spacing w:after="0"/>
              <w:rPr>
                <w:sz w:val="20"/>
                <w:szCs w:val="20"/>
                <w:color w:val="auto"/>
              </w:rPr>
            </w:pPr>
            <w:r>
              <w:rPr>
                <w:rFonts w:ascii="Arial" w:cs="Arial" w:eastAsia="Arial" w:hAnsi="Arial"/>
                <w:sz w:val="14"/>
                <w:szCs w:val="14"/>
                <w:color w:val="auto"/>
                <w:w w:val="93"/>
              </w:rPr>
              <w:t>70,000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Kenneth Ederle</w:t>
            </w:r>
          </w:p>
        </w:tc>
        <w:tc>
          <w:tcPr>
            <w:tcW w:w="1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227,500</w:t>
            </w:r>
          </w:p>
        </w:tc>
        <w:tc>
          <w:tcPr>
            <w:tcW w:w="4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center"/>
              <w:ind w:left="149"/>
              <w:spacing w:after="0"/>
              <w:rPr>
                <w:sz w:val="20"/>
                <w:szCs w:val="20"/>
                <w:color w:val="auto"/>
              </w:rPr>
            </w:pPr>
            <w:r>
              <w:rPr>
                <w:rFonts w:ascii="Arial" w:cs="Arial" w:eastAsia="Arial" w:hAnsi="Arial"/>
                <w:sz w:val="14"/>
                <w:szCs w:val="14"/>
                <w:color w:val="auto"/>
                <w:w w:val="90"/>
              </w:rPr>
              <w:t>113,750</w:t>
            </w: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Robert Molloy</w:t>
            </w:r>
          </w:p>
        </w:tc>
        <w:tc>
          <w:tcPr>
            <w:tcW w:w="1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227,500</w:t>
            </w: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tcPr>
          <w:p>
            <w:pPr>
              <w:jc w:val="center"/>
              <w:ind w:left="149"/>
              <w:spacing w:after="0"/>
              <w:rPr>
                <w:sz w:val="20"/>
                <w:szCs w:val="20"/>
                <w:color w:val="auto"/>
              </w:rPr>
            </w:pPr>
            <w:r>
              <w:rPr>
                <w:rFonts w:ascii="Arial" w:cs="Arial" w:eastAsia="Arial" w:hAnsi="Arial"/>
                <w:sz w:val="14"/>
                <w:szCs w:val="14"/>
                <w:color w:val="auto"/>
                <w:w w:val="90"/>
              </w:rPr>
              <w:t>113,750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Brian Reaves</w:t>
            </w:r>
          </w:p>
        </w:tc>
        <w:tc>
          <w:tcPr>
            <w:tcW w:w="1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192,500</w:t>
            </w:r>
          </w:p>
        </w:tc>
        <w:tc>
          <w:tcPr>
            <w:tcW w:w="4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center"/>
              <w:ind w:left="129"/>
              <w:spacing w:after="0"/>
              <w:rPr>
                <w:sz w:val="20"/>
                <w:szCs w:val="20"/>
                <w:color w:val="auto"/>
              </w:rPr>
            </w:pPr>
            <w:r>
              <w:rPr>
                <w:rFonts w:ascii="Arial" w:cs="Arial" w:eastAsia="Arial" w:hAnsi="Arial"/>
                <w:sz w:val="14"/>
                <w:szCs w:val="14"/>
                <w:color w:val="auto"/>
                <w:w w:val="93"/>
              </w:rPr>
              <w:t>96,250</w:t>
            </w: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760" w:right="200" w:hanging="378"/>
        <w:spacing w:after="0" w:line="264"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4"/>
          <w:szCs w:val="14"/>
          <w:color w:val="auto"/>
        </w:rPr>
        <w:t>Repres</w:t>
      </w:r>
      <w:r>
        <w:rPr>
          <w:rFonts w:ascii="Arial" w:cs="Arial" w:eastAsia="Arial" w:hAnsi="Arial"/>
          <w:sz w:val="16"/>
          <w:szCs w:val="16"/>
          <w:color w:val="auto"/>
        </w:rPr>
        <w:t>ents cash awards earned under the AIP and the time-vested portion of the 2013-2016 LTIP. See “</w:t>
      </w:r>
      <w:r>
        <w:rPr>
          <w:rFonts w:ascii="Arial" w:cs="Arial" w:eastAsia="Arial" w:hAnsi="Arial"/>
          <w:sz w:val="16"/>
          <w:szCs w:val="16"/>
          <w:i w:val="1"/>
          <w:iCs w:val="1"/>
          <w:color w:val="auto"/>
        </w:rPr>
        <w:t>2015 Non-Equity (Cash) Incentive Plan Compensation</w:t>
      </w:r>
      <w:r>
        <w:rPr>
          <w:rFonts w:ascii="Arial" w:cs="Arial" w:eastAsia="Arial" w:hAnsi="Arial"/>
          <w:sz w:val="16"/>
          <w:szCs w:val="16"/>
          <w:color w:val="auto"/>
        </w:rPr>
        <w:t>” for</w:t>
      </w:r>
      <w:r>
        <w:rPr>
          <w:rFonts w:ascii="Arial" w:cs="Arial" w:eastAsia="Arial" w:hAnsi="Arial"/>
          <w:sz w:val="14"/>
          <w:szCs w:val="14"/>
          <w:color w:val="auto"/>
        </w:rPr>
        <w:t xml:space="preserve"> </w:t>
      </w:r>
      <w:r>
        <w:rPr>
          <w:rFonts w:ascii="Arial" w:cs="Arial" w:eastAsia="Arial" w:hAnsi="Arial"/>
          <w:sz w:val="16"/>
          <w:szCs w:val="16"/>
          <w:color w:val="auto"/>
        </w:rPr>
        <w:t>detail and the “</w:t>
      </w:r>
      <w:r>
        <w:rPr>
          <w:rFonts w:ascii="Arial" w:cs="Arial" w:eastAsia="Arial" w:hAnsi="Arial"/>
          <w:sz w:val="16"/>
          <w:szCs w:val="16"/>
          <w:i w:val="1"/>
          <w:iCs w:val="1"/>
          <w:color w:val="auto"/>
        </w:rPr>
        <w:t>Grants of Plan-Based Awards</w:t>
      </w:r>
      <w:r>
        <w:rPr>
          <w:rFonts w:ascii="Arial" w:cs="Arial" w:eastAsia="Arial" w:hAnsi="Arial"/>
          <w:sz w:val="16"/>
          <w:szCs w:val="16"/>
          <w:color w:val="auto"/>
        </w:rPr>
        <w:t>” table for the total estimated possible payouts over the term of the 2013-2016 LTIP.</w:t>
      </w:r>
    </w:p>
    <w:p>
      <w:pPr>
        <w:spacing w:after="0" w:line="1"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See table below for a breakdown of “All Other Compensation.”</w:t>
      </w:r>
    </w:p>
    <w:p>
      <w:pPr>
        <w:spacing w:after="0" w:line="16"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Stratton was appointed Senior Vice President, Chief Financial Officer and Treasurer on June 1,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9" w:name="page30"/>
    <w:bookmarkEnd w:id="29"/>
    <w:p>
      <w:pPr>
        <w:ind w:right="120"/>
        <w:spacing w:after="0" w:line="271"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non-equity incentive-based awards earned by each Named Executive Officers in fiscal 2015.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Non-Equity (Cash) Incentive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ind w:left="80"/>
              <w:spacing w:after="0"/>
              <w:rPr>
                <w:sz w:val="20"/>
                <w:szCs w:val="20"/>
                <w:color w:val="auto"/>
              </w:rPr>
            </w:pPr>
            <w:r>
              <w:rPr>
                <w:rFonts w:ascii="Arial" w:cs="Arial" w:eastAsia="Arial" w:hAnsi="Arial"/>
                <w:sz w:val="13"/>
                <w:szCs w:val="13"/>
                <w:b w:val="1"/>
                <w:bCs w:val="1"/>
                <w:color w:val="auto"/>
              </w:rPr>
              <w:t>Annual Incentive Plan</w:t>
            </w:r>
          </w:p>
        </w:tc>
        <w:tc>
          <w:tcPr>
            <w:tcW w:w="1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Totals Non-Equity Incentive</w:t>
            </w:r>
          </w:p>
        </w:tc>
      </w:tr>
      <w:tr>
        <w:trPr>
          <w:trHeight w:val="160"/>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Long-Term Incentive Plan (1)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574"/>
              <w:spacing w:after="0"/>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Plan Compensation</w:t>
            </w:r>
          </w:p>
        </w:tc>
      </w:tr>
      <w:tr>
        <w:trPr>
          <w:trHeight w:val="221"/>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162,240</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1,012,378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1,174,618</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90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28,000</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142,272</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170,272</w:t>
            </w:r>
          </w:p>
        </w:tc>
        <w:tc>
          <w:tcPr>
            <w:tcW w:w="80" w:type="dxa"/>
            <w:vAlign w:val="bottom"/>
          </w:tcPr>
          <w:p>
            <w:pPr>
              <w:spacing w:after="0"/>
              <w:rPr>
                <w:sz w:val="19"/>
                <w:szCs w:val="19"/>
                <w:color w:val="auto"/>
              </w:rPr>
            </w:pPr>
          </w:p>
        </w:tc>
      </w:tr>
      <w:tr>
        <w:trPr>
          <w:trHeight w:val="228"/>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190,848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236,348</w:t>
            </w:r>
          </w:p>
        </w:tc>
        <w:tc>
          <w:tcPr>
            <w:tcW w:w="80" w:type="dxa"/>
            <w:vAlign w:val="bottom"/>
            <w:shd w:val="clear" w:color="auto" w:fill="CFF0FC"/>
          </w:tcPr>
          <w:p>
            <w:pPr>
              <w:spacing w:after="0"/>
              <w:rPr>
                <w:sz w:val="19"/>
                <w:szCs w:val="19"/>
                <w:color w:val="auto"/>
              </w:rPr>
            </w:pPr>
          </w:p>
        </w:tc>
      </w:tr>
      <w:tr>
        <w:trPr>
          <w:trHeight w:val="227"/>
        </w:trPr>
        <w:tc>
          <w:tcPr>
            <w:tcW w:w="590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45,500</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167,232</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212,732</w:t>
            </w:r>
          </w:p>
        </w:tc>
        <w:tc>
          <w:tcPr>
            <w:tcW w:w="80" w:type="dxa"/>
            <w:vAlign w:val="bottom"/>
          </w:tcPr>
          <w:p>
            <w:pPr>
              <w:spacing w:after="0"/>
              <w:rPr>
                <w:sz w:val="19"/>
                <w:szCs w:val="19"/>
                <w:color w:val="auto"/>
              </w:rPr>
            </w:pPr>
          </w:p>
        </w:tc>
      </w:tr>
      <w:tr>
        <w:trPr>
          <w:trHeight w:val="228"/>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188,260</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Named Executive Officer earned 40% of the time-based portion of the cash award under the 2013-2016 LTIP in fiscal 2015.</w:t>
      </w:r>
    </w:p>
    <w:p>
      <w:pPr>
        <w:spacing w:after="0" w:line="12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Named Executive Officer earned a cash bonus, with a payout of 124.8% of performance targets.</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sets forth the components of All Other Compensation listed above in the 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15"/>
              <w:spacing w:after="0"/>
              <w:rPr>
                <w:sz w:val="20"/>
                <w:szCs w:val="20"/>
                <w:color w:val="auto"/>
              </w:rPr>
            </w:pPr>
            <w:r>
              <w:rPr>
                <w:rFonts w:ascii="Arial" w:cs="Arial" w:eastAsia="Arial" w:hAnsi="Arial"/>
                <w:sz w:val="13"/>
                <w:szCs w:val="13"/>
                <w:b w:val="1"/>
                <w:bCs w:val="1"/>
                <w:color w:val="auto"/>
              </w:rPr>
              <w:t>Life</w:t>
            </w:r>
          </w:p>
        </w:tc>
        <w:tc>
          <w:tcPr>
            <w:tcW w:w="200" w:type="dxa"/>
            <w:vAlign w:val="bottom"/>
          </w:tcPr>
          <w:p>
            <w:pPr>
              <w:spacing w:after="0"/>
              <w:rPr>
                <w:sz w:val="13"/>
                <w:szCs w:val="13"/>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Long-Term</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1"/>
              </w:rPr>
              <w:t>Supplemental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r>
      <w:tr>
        <w:trPr>
          <w:trHeight w:val="147"/>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8" w:lineRule="exact"/>
              <w:rPr>
                <w:sz w:val="20"/>
                <w:szCs w:val="20"/>
                <w:color w:val="auto"/>
              </w:rPr>
            </w:pPr>
            <w:r>
              <w:rPr>
                <w:rFonts w:ascii="Arial" w:cs="Arial" w:eastAsia="Arial" w:hAnsi="Arial"/>
                <w:sz w:val="13"/>
                <w:szCs w:val="13"/>
                <w:b w:val="1"/>
                <w:bCs w:val="1"/>
                <w:color w:val="auto"/>
              </w:rPr>
              <w:t>Auto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line="148" w:lineRule="exact"/>
              <w:rPr>
                <w:sz w:val="20"/>
                <w:szCs w:val="20"/>
                <w:color w:val="auto"/>
              </w:rPr>
            </w:pPr>
            <w:r>
              <w:rPr>
                <w:rFonts w:ascii="Arial" w:cs="Arial" w:eastAsia="Arial" w:hAnsi="Arial"/>
                <w:sz w:val="13"/>
                <w:szCs w:val="13"/>
                <w:b w:val="1"/>
                <w:bCs w:val="1"/>
                <w:color w:val="auto"/>
              </w:rPr>
              <w:t>401(k)</w:t>
            </w:r>
          </w:p>
        </w:tc>
        <w:tc>
          <w:tcPr>
            <w:tcW w:w="100" w:type="dxa"/>
            <w:vAlign w:val="bottom"/>
          </w:tcPr>
          <w:p>
            <w:pPr>
              <w:spacing w:after="0"/>
              <w:rPr>
                <w:sz w:val="12"/>
                <w:szCs w:val="12"/>
                <w:color w:val="auto"/>
              </w:rPr>
            </w:pPr>
          </w:p>
        </w:tc>
        <w:tc>
          <w:tcPr>
            <w:tcW w:w="720" w:type="dxa"/>
            <w:vAlign w:val="bottom"/>
          </w:tcPr>
          <w:p>
            <w:pPr>
              <w:jc w:val="right"/>
              <w:ind w:right="35"/>
              <w:spacing w:after="0" w:line="148" w:lineRule="exact"/>
              <w:rPr>
                <w:sz w:val="20"/>
                <w:szCs w:val="20"/>
                <w:color w:val="auto"/>
              </w:rPr>
            </w:pPr>
            <w:r>
              <w:rPr>
                <w:rFonts w:ascii="Arial" w:cs="Arial" w:eastAsia="Arial" w:hAnsi="Arial"/>
                <w:sz w:val="13"/>
                <w:szCs w:val="13"/>
                <w:b w:val="1"/>
                <w:bCs w:val="1"/>
                <w:color w:val="auto"/>
                <w:w w:val="94"/>
              </w:rPr>
              <w:t>Insurance</w:t>
            </w:r>
          </w:p>
        </w:tc>
        <w:tc>
          <w:tcPr>
            <w:tcW w:w="200" w:type="dxa"/>
            <w:vAlign w:val="bottom"/>
          </w:tcPr>
          <w:p>
            <w:pPr>
              <w:spacing w:after="0"/>
              <w:rPr>
                <w:sz w:val="12"/>
                <w:szCs w:val="12"/>
                <w:color w:val="auto"/>
              </w:rPr>
            </w:pPr>
          </w:p>
        </w:tc>
        <w:tc>
          <w:tcPr>
            <w:tcW w:w="102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Healthcare</w:t>
            </w:r>
          </w:p>
        </w:tc>
        <w:tc>
          <w:tcPr>
            <w:tcW w:w="100" w:type="dxa"/>
            <w:vAlign w:val="bottom"/>
          </w:tcPr>
          <w:p>
            <w:pPr>
              <w:spacing w:after="0"/>
              <w:rPr>
                <w:sz w:val="12"/>
                <w:szCs w:val="12"/>
                <w:color w:val="auto"/>
              </w:rPr>
            </w:pPr>
          </w:p>
        </w:tc>
        <w:tc>
          <w:tcPr>
            <w:tcW w:w="700" w:type="dxa"/>
            <w:vAlign w:val="bottom"/>
          </w:tcPr>
          <w:p>
            <w:pPr>
              <w:jc w:val="right"/>
              <w:ind w:right="34"/>
              <w:spacing w:after="0" w:line="148" w:lineRule="exact"/>
              <w:rPr>
                <w:sz w:val="20"/>
                <w:szCs w:val="20"/>
                <w:color w:val="auto"/>
              </w:rPr>
            </w:pPr>
            <w:r>
              <w:rPr>
                <w:rFonts w:ascii="Arial" w:cs="Arial" w:eastAsia="Arial" w:hAnsi="Arial"/>
                <w:sz w:val="13"/>
                <w:szCs w:val="13"/>
                <w:b w:val="1"/>
                <w:bCs w:val="1"/>
                <w:color w:val="auto"/>
                <w:w w:val="96"/>
              </w:rPr>
              <w:t>Disability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7"/>
              </w:rPr>
              <w:t>Other</w:t>
            </w:r>
          </w:p>
        </w:tc>
      </w:tr>
      <w:tr>
        <w:trPr>
          <w:trHeight w:val="160"/>
        </w:trPr>
        <w:tc>
          <w:tcPr>
            <w:tcW w:w="4100" w:type="dxa"/>
            <w:vAlign w:val="bottom"/>
          </w:tcPr>
          <w:p>
            <w:pPr>
              <w:ind w:left="188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3"/>
                <w:szCs w:val="13"/>
                <w:color w:val="auto"/>
              </w:rPr>
            </w:pPr>
          </w:p>
        </w:tc>
        <w:tc>
          <w:tcPr>
            <w:tcW w:w="700" w:type="dxa"/>
            <w:vAlign w:val="bottom"/>
          </w:tcPr>
          <w:p>
            <w:pPr>
              <w:jc w:val="right"/>
              <w:ind w:right="14"/>
              <w:spacing w:after="0"/>
              <w:rPr>
                <w:sz w:val="20"/>
                <w:szCs w:val="20"/>
                <w:color w:val="auto"/>
              </w:rPr>
            </w:pPr>
            <w:r>
              <w:rPr>
                <w:rFonts w:ascii="Arial" w:cs="Arial" w:eastAsia="Arial" w:hAnsi="Arial"/>
                <w:sz w:val="13"/>
                <w:szCs w:val="13"/>
                <w:b w:val="1"/>
                <w:bCs w:val="1"/>
                <w:color w:val="auto"/>
                <w:w w:val="90"/>
              </w:rPr>
              <w:t>Allowance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Match</w:t>
            </w:r>
          </w:p>
        </w:tc>
        <w:tc>
          <w:tcPr>
            <w:tcW w:w="100" w:type="dxa"/>
            <w:vAlign w:val="bottom"/>
          </w:tcPr>
          <w:p>
            <w:pPr>
              <w:spacing w:after="0"/>
              <w:rPr>
                <w:sz w:val="13"/>
                <w:szCs w:val="13"/>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b w:val="1"/>
                <w:bCs w:val="1"/>
                <w:color w:val="auto"/>
                <w:w w:val="92"/>
              </w:rPr>
              <w:t>Premiums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Premiums</w:t>
            </w:r>
          </w:p>
        </w:tc>
        <w:tc>
          <w:tcPr>
            <w:tcW w:w="10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b w:val="1"/>
                <w:bCs w:val="1"/>
                <w:color w:val="auto"/>
                <w:w w:val="91"/>
              </w:rPr>
              <w:t>Insurance</w:t>
            </w:r>
          </w:p>
        </w:tc>
        <w:tc>
          <w:tcPr>
            <w:tcW w:w="1120" w:type="dxa"/>
            <w:vAlign w:val="bottom"/>
            <w:gridSpan w:val="4"/>
          </w:tcPr>
          <w:p>
            <w:pPr>
              <w:ind w:left="220"/>
              <w:spacing w:after="0"/>
              <w:rPr>
                <w:sz w:val="20"/>
                <w:szCs w:val="20"/>
                <w:color w:val="auto"/>
              </w:rPr>
            </w:pPr>
            <w:r>
              <w:rPr>
                <w:rFonts w:ascii="Arial" w:cs="Arial" w:eastAsia="Arial" w:hAnsi="Arial"/>
                <w:sz w:val="13"/>
                <w:szCs w:val="13"/>
                <w:b w:val="1"/>
                <w:bCs w:val="1"/>
                <w:color w:val="auto"/>
                <w:w w:val="97"/>
              </w:rPr>
              <w:t>Compensation</w:t>
            </w:r>
          </w:p>
        </w:tc>
      </w:tr>
      <w:tr>
        <w:trPr>
          <w:trHeight w:val="221"/>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40,472</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4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11,579</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40,470</w:t>
            </w:r>
          </w:p>
        </w:tc>
        <w:tc>
          <w:tcPr>
            <w:tcW w:w="60" w:type="dxa"/>
            <w:vAlign w:val="bottom"/>
            <w:shd w:val="clear" w:color="auto" w:fill="CFF0FC"/>
          </w:tcPr>
          <w:p>
            <w:pPr>
              <w:spacing w:after="0"/>
              <w:rPr>
                <w:sz w:val="19"/>
                <w:szCs w:val="19"/>
                <w:color w:val="auto"/>
              </w:rPr>
            </w:pPr>
          </w:p>
        </w:tc>
      </w:tr>
      <w:tr>
        <w:trPr>
          <w:trHeight w:val="229"/>
        </w:trPr>
        <w:tc>
          <w:tcPr>
            <w:tcW w:w="4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11,549</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38,460</w:t>
            </w:r>
          </w:p>
        </w:tc>
        <w:tc>
          <w:tcPr>
            <w:tcW w:w="60" w:type="dxa"/>
            <w:vAlign w:val="bottom"/>
            <w:shd w:val="clear" w:color="auto" w:fill="CFF0FC"/>
          </w:tcPr>
          <w:p>
            <w:pPr>
              <w:spacing w:after="0"/>
              <w:rPr>
                <w:sz w:val="19"/>
                <w:szCs w:val="19"/>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8"/>
                <w:szCs w:val="18"/>
                <w:color w:val="auto"/>
              </w:rPr>
              <w:t>Peter H. Stratton, Jr.</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4,034</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2,856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24,565</w:t>
            </w:r>
          </w:p>
        </w:tc>
        <w:tc>
          <w:tcPr>
            <w:tcW w:w="60" w:type="dxa"/>
            <w:vAlign w:val="bottom"/>
          </w:tcPr>
          <w:p>
            <w:pPr>
              <w:spacing w:after="0"/>
              <w:rPr>
                <w:sz w:val="19"/>
                <w:szCs w:val="19"/>
                <w:color w:val="auto"/>
              </w:rPr>
            </w:pPr>
          </w:p>
        </w:tc>
      </w:tr>
      <w:tr>
        <w:trPr>
          <w:trHeight w:val="227"/>
        </w:trPr>
        <w:tc>
          <w:tcPr>
            <w:tcW w:w="410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9,100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4,370</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2,477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24,347</w:t>
            </w:r>
          </w:p>
        </w:tc>
        <w:tc>
          <w:tcPr>
            <w:tcW w:w="60" w:type="dxa"/>
            <w:vAlign w:val="bottom"/>
          </w:tcPr>
          <w:p>
            <w:pPr>
              <w:spacing w:after="0"/>
              <w:rPr>
                <w:sz w:val="19"/>
                <w:szCs w:val="19"/>
                <w:color w:val="auto"/>
              </w:rPr>
            </w:pPr>
          </w:p>
        </w:tc>
      </w:tr>
      <w:tr>
        <w:trPr>
          <w:trHeight w:val="229"/>
        </w:trPr>
        <w:tc>
          <w:tcPr>
            <w:tcW w:w="4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21,850</w:t>
            </w:r>
          </w:p>
        </w:tc>
        <w:tc>
          <w:tcPr>
            <w:tcW w:w="60" w:type="dxa"/>
            <w:vAlign w:val="bottom"/>
            <w:shd w:val="clear" w:color="auto" w:fill="CFF0FC"/>
          </w:tcPr>
          <w:p>
            <w:pPr>
              <w:spacing w:after="0"/>
              <w:rPr>
                <w:sz w:val="19"/>
                <w:szCs w:val="19"/>
                <w:color w:val="auto"/>
              </w:rPr>
            </w:pPr>
          </w:p>
        </w:tc>
      </w:tr>
      <w:tr>
        <w:trPr>
          <w:trHeight w:val="227"/>
        </w:trPr>
        <w:tc>
          <w:tcPr>
            <w:tcW w:w="4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60" w:type="dxa"/>
            <w:vAlign w:val="bottom"/>
            <w:shd w:val="clear" w:color="auto" w:fill="CFF0FC"/>
          </w:tcPr>
          <w:p>
            <w:pPr>
              <w:spacing w:after="0"/>
              <w:rPr>
                <w:sz w:val="19"/>
                <w:szCs w:val="19"/>
                <w:color w:val="auto"/>
              </w:rPr>
            </w:pPr>
          </w:p>
        </w:tc>
      </w:tr>
      <w:tr>
        <w:trPr>
          <w:trHeight w:val="229"/>
        </w:trPr>
        <w:tc>
          <w:tcPr>
            <w:tcW w:w="4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21,473</w:t>
            </w:r>
          </w:p>
        </w:tc>
        <w:tc>
          <w:tcPr>
            <w:tcW w:w="60" w:type="dxa"/>
            <w:vAlign w:val="bottom"/>
            <w:shd w:val="clear" w:color="auto" w:fill="CFF0FC"/>
          </w:tcPr>
          <w:p>
            <w:pPr>
              <w:spacing w:after="0"/>
              <w:rPr>
                <w:sz w:val="19"/>
                <w:szCs w:val="19"/>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8"/>
                <w:szCs w:val="18"/>
                <w:color w:val="auto"/>
              </w:rPr>
              <w:t>Robert S. Molloy</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4,821</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4,763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27,259</w:t>
            </w:r>
          </w:p>
        </w:tc>
        <w:tc>
          <w:tcPr>
            <w:tcW w:w="60" w:type="dxa"/>
            <w:vAlign w:val="bottom"/>
          </w:tcPr>
          <w:p>
            <w:pPr>
              <w:spacing w:after="0"/>
              <w:rPr>
                <w:sz w:val="19"/>
                <w:szCs w:val="19"/>
                <w:color w:val="auto"/>
              </w:rPr>
            </w:pPr>
          </w:p>
        </w:tc>
      </w:tr>
      <w:tr>
        <w:trPr>
          <w:trHeight w:val="227"/>
        </w:trPr>
        <w:tc>
          <w:tcPr>
            <w:tcW w:w="410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9,100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5,223</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4,763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27,486</w:t>
            </w:r>
          </w:p>
        </w:tc>
        <w:tc>
          <w:tcPr>
            <w:tcW w:w="60" w:type="dxa"/>
            <w:vAlign w:val="bottom"/>
          </w:tcPr>
          <w:p>
            <w:pPr>
              <w:spacing w:after="0"/>
              <w:rPr>
                <w:sz w:val="19"/>
                <w:szCs w:val="19"/>
                <w:color w:val="auto"/>
              </w:rPr>
            </w:pPr>
          </w:p>
        </w:tc>
      </w:tr>
      <w:tr>
        <w:trPr>
          <w:trHeight w:val="229"/>
        </w:trPr>
        <w:tc>
          <w:tcPr>
            <w:tcW w:w="410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8,925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4,763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25,188</w:t>
            </w:r>
          </w:p>
        </w:tc>
        <w:tc>
          <w:tcPr>
            <w:tcW w:w="60" w:type="dxa"/>
            <w:vAlign w:val="bottom"/>
          </w:tcPr>
          <w:p>
            <w:pPr>
              <w:spacing w:after="0"/>
              <w:rPr>
                <w:sz w:val="19"/>
                <w:szCs w:val="19"/>
                <w:color w:val="auto"/>
              </w:rPr>
            </w:pPr>
          </w:p>
        </w:tc>
      </w:tr>
      <w:tr>
        <w:trPr>
          <w:trHeight w:val="228"/>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60" w:type="dxa"/>
            <w:vAlign w:val="bottom"/>
            <w:shd w:val="clear" w:color="auto" w:fill="CFF0FC"/>
          </w:tcPr>
          <w:p>
            <w:pPr>
              <w:spacing w:after="0"/>
              <w:rPr>
                <w:sz w:val="19"/>
                <w:szCs w:val="19"/>
                <w:color w:val="auto"/>
              </w:rPr>
            </w:pPr>
          </w:p>
        </w:tc>
      </w:tr>
      <w:tr>
        <w:trPr>
          <w:trHeight w:val="227"/>
        </w:trPr>
        <w:tc>
          <w:tcPr>
            <w:tcW w:w="4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27,219</w:t>
            </w:r>
          </w:p>
        </w:tc>
        <w:tc>
          <w:tcPr>
            <w:tcW w:w="60" w:type="dxa"/>
            <w:vAlign w:val="bottom"/>
            <w:shd w:val="clear" w:color="auto" w:fill="CFF0FC"/>
          </w:tcPr>
          <w:p>
            <w:pPr>
              <w:spacing w:after="0"/>
              <w:rPr>
                <w:sz w:val="19"/>
                <w:szCs w:val="19"/>
                <w:color w:val="auto"/>
              </w:rPr>
            </w:pPr>
          </w:p>
        </w:tc>
      </w:tr>
      <w:tr>
        <w:trPr>
          <w:trHeight w:val="229"/>
        </w:trPr>
        <w:tc>
          <w:tcPr>
            <w:tcW w:w="4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24,400</w:t>
            </w:r>
          </w:p>
        </w:tc>
        <w:tc>
          <w:tcPr>
            <w:tcW w:w="60" w:type="dxa"/>
            <w:vAlign w:val="bottom"/>
            <w:shd w:val="clear" w:color="auto" w:fill="CFF0FC"/>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have an employment agreement with Mr. Levin, which was revised and restated as of November 5, 2009. The initial three-year term of Mr. Levin’s employment agreement (the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w:t>
      </w:r>
    </w:p>
    <w:p>
      <w:pPr>
        <w:spacing w:after="0" w:line="189" w:lineRule="exact"/>
        <w:rPr>
          <w:sz w:val="20"/>
          <w:szCs w:val="20"/>
          <w:color w:val="auto"/>
        </w:rPr>
      </w:pPr>
    </w:p>
    <w:p>
      <w:pPr>
        <w:ind w:right="380"/>
        <w:spacing w:after="0" w:line="335" w:lineRule="auto"/>
        <w:rPr>
          <w:sz w:val="20"/>
          <w:szCs w:val="20"/>
          <w:color w:val="auto"/>
        </w:rPr>
      </w:pPr>
      <w:r>
        <w:rPr>
          <w:rFonts w:ascii="Arial" w:cs="Arial" w:eastAsia="Arial" w:hAnsi="Arial"/>
          <w:sz w:val="16"/>
          <w:szCs w:val="16"/>
          <w:color w:val="auto"/>
        </w:rPr>
        <w:t>The Employment Agreement requires Mr. Levin to devote substantially all of his time and attention to our business as necessary to fulfill his duties. The Employment Agreement provides that Mr. Levin would be paid a base salary at annual rate of $811,200, with an annual automobile allowance of $10,000.</w:t>
      </w:r>
    </w:p>
    <w:p>
      <w:pPr>
        <w:spacing w:after="0" w:line="129"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Mr. Levin is eligible to participate in our AIP at a target rate of 100% of his actual annual base salary, as defined in that plan, and in our LTIP at a target incentive rate of 100% of his combined actual annual base earnings for the incentive period. The Employment Agreement also provides for the payment of discretionary bonuses in such amounts as may be determined by the Compensation Committee or Board of Directors.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0" w:name="page31"/>
    <w:bookmarkEnd w:id="30"/>
    <w:p>
      <w:pPr>
        <w:ind w:right="360"/>
        <w:spacing w:after="0" w:line="260" w:lineRule="auto"/>
        <w:rPr>
          <w:sz w:val="20"/>
          <w:szCs w:val="20"/>
          <w:color w:val="auto"/>
        </w:rPr>
      </w:pPr>
      <w:r>
        <w:rPr>
          <w:rFonts w:ascii="Arial" w:cs="Arial" w:eastAsia="Arial" w:hAnsi="Arial"/>
          <w:sz w:val="18"/>
          <w:szCs w:val="18"/>
          <w:color w:val="auto"/>
        </w:rPr>
        <w:t>The Employment Agreement provides that in the event Mr. Levin’s employment is terminated by the Company at any time for any reason other than “justifiable cause” (as defined in the Employment Agreements), disability or death, or in the event Mr. Levin resigns with “good reason” (as defined in the Employment Agreement), we are required to pay Mr. Levin the following:</w:t>
      </w:r>
    </w:p>
    <w:p>
      <w:pPr>
        <w:spacing w:after="0" w:line="77" w:lineRule="exact"/>
        <w:rPr>
          <w:sz w:val="20"/>
          <w:szCs w:val="20"/>
          <w:color w:val="auto"/>
        </w:rPr>
      </w:pPr>
    </w:p>
    <w:p>
      <w:pPr>
        <w:ind w:left="780" w:hanging="264"/>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 rata bonus under the AIP;</w:t>
      </w:r>
    </w:p>
    <w:p>
      <w:pPr>
        <w:spacing w:after="0" w:line="114" w:lineRule="exact"/>
        <w:rPr>
          <w:rFonts w:ascii="Arial" w:cs="Arial" w:eastAsia="Arial" w:hAnsi="Arial"/>
          <w:sz w:val="18"/>
          <w:szCs w:val="18"/>
          <w:color w:val="auto"/>
        </w:rPr>
      </w:pPr>
    </w:p>
    <w:p>
      <w:pPr>
        <w:ind w:left="780" w:hanging="264"/>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pro-rata vesting of LTIP awards; and</w:t>
      </w:r>
    </w:p>
    <w:p>
      <w:pPr>
        <w:spacing w:after="0" w:line="114" w:lineRule="exact"/>
        <w:rPr>
          <w:rFonts w:ascii="Arial" w:cs="Arial" w:eastAsia="Arial" w:hAnsi="Arial"/>
          <w:sz w:val="18"/>
          <w:szCs w:val="18"/>
          <w:color w:val="auto"/>
        </w:rPr>
      </w:pPr>
    </w:p>
    <w:p>
      <w:pPr>
        <w:ind w:left="780" w:right="80" w:hanging="264"/>
        <w:spacing w:after="0" w:line="298"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15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above-listed payments are not made if Mr. Levin is terminated with “justifiable cause,” if Mr. Levin resigns and such resignation is not for “good reason”, or Mr. Levin dies or becomes disabled; provided, however, that if Mr. Levin’s employment terminates by reason of death, disability or retirement on or after age 65, Mr. Levin shall be entitled to a pro-rata bonus under the AIP.</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event Mr. Levin’s employment is terminated at any time within one year following a Change of Control (as defined in the Employment Agreement) other than for "justifiable cause," or if Mr. Levin resigns for “good reason”, Mr. Levin is entitled to receive a lump sum payment equal to the sum of two times his base salary, and two times his target annual incentive bonus under the AIP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Mr. Levin’s execution of a general release.</w:t>
      </w:r>
    </w:p>
    <w:p>
      <w:pPr>
        <w:spacing w:after="0" w:line="16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Employment Agreement contains confidentiality provisions pursuant to which Mr. Levin agrees not to disclose confidential information regarding our Company. The Employment Agreement also contains covenants pursuant to which he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5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We also have employment agreements with each of our Senior Executives (the “Sr. Exec. Employment Agreements”). The term of each employment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begins on the respective effective date and continues until terminated by either party. Our Senior Executives are eligible to participate in our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AIP. During fiscal 2015, they participated at a target rate of 40% of their respective average base salaries. Senior Executives are also eligible to participate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our LTIPs at 70% of their respective average base salaries, as defined in the plan, depending on our performance (based on long-term performance goals). Each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executive is entitled to vacation and to participate in and receive any other benefits customarily provided by us to our senior executives.</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1" w:name="page32"/>
    <w:bookmarkEnd w:id="31"/>
    <w:p>
      <w:pPr>
        <w:ind w:right="20"/>
        <w:spacing w:after="0" w:line="254"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Provision</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employment agreements contain a “claw-back” provision which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 In addition, under the Sarbanes-Oxley Act, our CEO and CFO are required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7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GRANTS OF PLAN-BASED AWARDS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Grant</w:t>
            </w:r>
          </w:p>
        </w:tc>
      </w:tr>
      <w:tr>
        <w:trPr>
          <w:trHeight w:val="147"/>
        </w:trPr>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2"/>
              </w:rPr>
              <w:t>Date</w:t>
            </w:r>
          </w:p>
        </w:tc>
      </w:tr>
      <w:tr>
        <w:trPr>
          <w:trHeight w:val="147"/>
        </w:trPr>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left="133"/>
              <w:spacing w:after="0" w:line="148" w:lineRule="exact"/>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2"/>
                <w:szCs w:val="12"/>
                <w:color w:val="auto"/>
              </w:rPr>
            </w:pPr>
          </w:p>
        </w:tc>
        <w:tc>
          <w:tcPr>
            <w:tcW w:w="86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8"/>
              </w:rPr>
              <w:t>All Other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rPr>
              <w:t>Fair</w:t>
            </w:r>
          </w:p>
        </w:tc>
      </w:tr>
      <w:tr>
        <w:trPr>
          <w:trHeight w:val="147"/>
        </w:trPr>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5"/>
              </w:rPr>
              <w:t>Option</w:t>
            </w: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Exercise</w:t>
            </w:r>
          </w:p>
        </w:tc>
        <w:tc>
          <w:tcPr>
            <w:tcW w:w="54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2"/>
              </w:rPr>
              <w:t>Value</w:t>
            </w:r>
          </w:p>
        </w:tc>
      </w:tr>
      <w:tr>
        <w:trPr>
          <w:trHeight w:val="147"/>
        </w:trPr>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Awards:</w:t>
            </w: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87"/>
              </w:rPr>
              <w:t>or Base</w:t>
            </w:r>
          </w:p>
        </w:tc>
        <w:tc>
          <w:tcPr>
            <w:tcW w:w="54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81"/>
              </w:rPr>
              <w:t>of</w:t>
            </w:r>
          </w:p>
        </w:tc>
      </w:tr>
      <w:tr>
        <w:trPr>
          <w:trHeight w:val="147"/>
        </w:trPr>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tcPr>
          <w:p>
            <w:pPr>
              <w:jc w:val="center"/>
              <w:ind w:right="37"/>
              <w:spacing w:after="0" w:line="148" w:lineRule="exact"/>
              <w:rPr>
                <w:sz w:val="20"/>
                <w:szCs w:val="20"/>
                <w:color w:val="auto"/>
              </w:rPr>
            </w:pPr>
            <w:r>
              <w:rPr>
                <w:rFonts w:ascii="Arial" w:cs="Arial" w:eastAsia="Arial" w:hAnsi="Arial"/>
                <w:sz w:val="13"/>
                <w:szCs w:val="13"/>
                <w:b w:val="1"/>
                <w:bCs w:val="1"/>
                <w:color w:val="auto"/>
                <w:w w:val="89"/>
              </w:rPr>
              <w:t>Estimated Possible Payouts</w:t>
            </w:r>
          </w:p>
        </w:tc>
        <w:tc>
          <w:tcPr>
            <w:tcW w:w="200" w:type="dxa"/>
            <w:vAlign w:val="bottom"/>
          </w:tcPr>
          <w:p>
            <w:pPr>
              <w:spacing w:after="0"/>
              <w:rPr>
                <w:sz w:val="12"/>
                <w:szCs w:val="12"/>
                <w:color w:val="auto"/>
              </w:rPr>
            </w:pPr>
          </w:p>
        </w:tc>
        <w:tc>
          <w:tcPr>
            <w:tcW w:w="2160" w:type="dxa"/>
            <w:vAlign w:val="bottom"/>
            <w:gridSpan w:val="6"/>
          </w:tcPr>
          <w:p>
            <w:pPr>
              <w:jc w:val="center"/>
              <w:spacing w:after="0" w:line="148" w:lineRule="exact"/>
              <w:rPr>
                <w:sz w:val="20"/>
                <w:szCs w:val="20"/>
                <w:color w:val="auto"/>
              </w:rPr>
            </w:pPr>
            <w:r>
              <w:rPr>
                <w:rFonts w:ascii="Arial" w:cs="Arial" w:eastAsia="Arial" w:hAnsi="Arial"/>
                <w:sz w:val="13"/>
                <w:szCs w:val="13"/>
                <w:b w:val="1"/>
                <w:bCs w:val="1"/>
                <w:color w:val="auto"/>
                <w:w w:val="89"/>
              </w:rPr>
              <w:t>Estimated Possible Payouts</w:t>
            </w:r>
          </w:p>
        </w:tc>
        <w:tc>
          <w:tcPr>
            <w:tcW w:w="2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Number</w:t>
            </w:r>
          </w:p>
        </w:tc>
        <w:tc>
          <w:tcPr>
            <w:tcW w:w="220" w:type="dxa"/>
            <w:vAlign w:val="bottom"/>
          </w:tcPr>
          <w:p>
            <w:pPr>
              <w:spacing w:after="0"/>
              <w:rPr>
                <w:sz w:val="12"/>
                <w:szCs w:val="12"/>
                <w:color w:val="auto"/>
              </w:rPr>
            </w:pPr>
          </w:p>
        </w:tc>
        <w:tc>
          <w:tcPr>
            <w:tcW w:w="86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5"/>
              </w:rPr>
              <w:t>Number of</w:t>
            </w: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4"/>
              </w:rPr>
              <w:t>Price</w:t>
            </w:r>
          </w:p>
        </w:tc>
        <w:tc>
          <w:tcPr>
            <w:tcW w:w="54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0"/>
              </w:rPr>
              <w:t>Stock</w:t>
            </w:r>
          </w:p>
        </w:tc>
      </w:tr>
      <w:tr>
        <w:trPr>
          <w:trHeight w:val="147"/>
        </w:trPr>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w w:val="97"/>
              </w:rPr>
              <w:t>Under Non-Equity</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6"/>
              </w:rPr>
              <w:t>Under Equity</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7"/>
              </w:rPr>
              <w:t>of Shares</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0"/>
              </w:rPr>
              <w:t>Securities</w:t>
            </w: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81"/>
              </w:rPr>
              <w:t>of</w:t>
            </w:r>
          </w:p>
        </w:tc>
        <w:tc>
          <w:tcPr>
            <w:tcW w:w="54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4"/>
              </w:rPr>
              <w:t>and</w:t>
            </w:r>
          </w:p>
        </w:tc>
      </w:tr>
      <w:tr>
        <w:trPr>
          <w:trHeight w:val="160"/>
        </w:trPr>
        <w:tc>
          <w:tcPr>
            <w:tcW w:w="2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jc w:val="center"/>
              <w:ind w:right="37"/>
              <w:spacing w:after="0"/>
              <w:rPr>
                <w:sz w:val="20"/>
                <w:szCs w:val="20"/>
                <w:color w:val="auto"/>
              </w:rPr>
            </w:pPr>
            <w:r>
              <w:rPr>
                <w:rFonts w:ascii="Arial" w:cs="Arial" w:eastAsia="Arial" w:hAnsi="Arial"/>
                <w:sz w:val="13"/>
                <w:szCs w:val="13"/>
                <w:b w:val="1"/>
                <w:bCs w:val="1"/>
                <w:color w:val="auto"/>
                <w:w w:val="93"/>
              </w:rPr>
              <w:t>Incentive Plan Awards (1)</w:t>
            </w:r>
          </w:p>
        </w:tc>
        <w:tc>
          <w:tcPr>
            <w:tcW w:w="200" w:type="dxa"/>
            <w:vAlign w:val="bottom"/>
          </w:tcPr>
          <w:p>
            <w:pPr>
              <w:spacing w:after="0"/>
              <w:rPr>
                <w:sz w:val="13"/>
                <w:szCs w:val="13"/>
                <w:color w:val="auto"/>
              </w:rPr>
            </w:pPr>
          </w:p>
        </w:tc>
        <w:tc>
          <w:tcPr>
            <w:tcW w:w="216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2"/>
              </w:rPr>
              <w:t>Incentive Plan Awards</w:t>
            </w:r>
          </w:p>
        </w:tc>
        <w:tc>
          <w:tcPr>
            <w:tcW w:w="2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of Stock</w:t>
            </w:r>
          </w:p>
        </w:tc>
        <w:tc>
          <w:tcPr>
            <w:tcW w:w="1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5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Option</w:t>
            </w:r>
          </w:p>
        </w:tc>
      </w:tr>
      <w:tr>
        <w:trPr>
          <w:trHeight w:val="155"/>
        </w:trPr>
        <w:tc>
          <w:tcPr>
            <w:tcW w:w="23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Approval</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Threshold</w:t>
            </w:r>
          </w:p>
        </w:tc>
        <w:tc>
          <w:tcPr>
            <w:tcW w:w="2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Maximum</w:t>
            </w:r>
          </w:p>
        </w:tc>
        <w:tc>
          <w:tcPr>
            <w:tcW w:w="80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w w:val="95"/>
              </w:rPr>
              <w:t>Threshold</w:t>
            </w:r>
          </w:p>
        </w:tc>
        <w:tc>
          <w:tcPr>
            <w:tcW w:w="22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Target</w:t>
            </w: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Maximum</w:t>
            </w:r>
          </w:p>
        </w:tc>
        <w:tc>
          <w:tcPr>
            <w:tcW w:w="2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3"/>
              </w:rPr>
              <w:t>or Units</w:t>
            </w:r>
          </w:p>
        </w:tc>
        <w:tc>
          <w:tcPr>
            <w:tcW w:w="2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Options</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Awards</w:t>
            </w:r>
          </w:p>
        </w:tc>
        <w:tc>
          <w:tcPr>
            <w:tcW w:w="5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Awards</w:t>
            </w:r>
          </w:p>
        </w:tc>
      </w:tr>
      <w:tr>
        <w:trPr>
          <w:trHeight w:val="160"/>
        </w:trPr>
        <w:tc>
          <w:tcPr>
            <w:tcW w:w="23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19"/>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center"/>
              <w:ind w:left="11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51"/>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 / Sh)</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r>
      <w:tr>
        <w:trPr>
          <w:trHeight w:val="221"/>
        </w:trPr>
        <w:tc>
          <w:tcPr>
            <w:tcW w:w="23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3/18/2015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466,440</w:t>
            </w:r>
          </w:p>
        </w:tc>
        <w:tc>
          <w:tcPr>
            <w:tcW w:w="920" w:type="dxa"/>
            <w:vAlign w:val="bottom"/>
            <w:gridSpan w:val="2"/>
            <w:shd w:val="clear" w:color="auto" w:fill="CFF0FC"/>
          </w:tcPr>
          <w:p>
            <w:pPr>
              <w:jc w:val="center"/>
              <w:ind w:left="97"/>
              <w:spacing w:after="0"/>
              <w:rPr>
                <w:sz w:val="20"/>
                <w:szCs w:val="20"/>
                <w:color w:val="auto"/>
              </w:rPr>
            </w:pPr>
            <w:r>
              <w:rPr>
                <w:rFonts w:ascii="Arial" w:cs="Arial" w:eastAsia="Arial" w:hAnsi="Arial"/>
                <w:sz w:val="18"/>
                <w:szCs w:val="18"/>
                <w:color w:val="auto"/>
                <w:w w:val="87"/>
              </w:rPr>
              <w:t>$ 811,200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1,216,800</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r>
        <w:trPr>
          <w:trHeight w:val="227"/>
        </w:trPr>
        <w:tc>
          <w:tcPr>
            <w:tcW w:w="2360" w:type="dxa"/>
            <w:vAlign w:val="bottom"/>
          </w:tcPr>
          <w:p>
            <w:pPr>
              <w:spacing w:after="0"/>
              <w:rPr>
                <w:sz w:val="20"/>
                <w:szCs w:val="20"/>
                <w:color w:val="auto"/>
              </w:rPr>
            </w:pPr>
            <w:r>
              <w:rPr>
                <w:rFonts w:ascii="Arial" w:cs="Arial" w:eastAsia="Arial" w:hAnsi="Arial"/>
                <w:sz w:val="18"/>
                <w:szCs w:val="18"/>
                <w:color w:val="auto"/>
              </w:rPr>
              <w:t>Peter H. Stratton, Jr.</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3/18/2015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65,550</w:t>
            </w:r>
          </w:p>
        </w:tc>
        <w:tc>
          <w:tcPr>
            <w:tcW w:w="920" w:type="dxa"/>
            <w:vAlign w:val="bottom"/>
            <w:gridSpan w:val="2"/>
          </w:tcPr>
          <w:p>
            <w:pPr>
              <w:jc w:val="center"/>
              <w:ind w:left="97"/>
              <w:spacing w:after="0"/>
              <w:rPr>
                <w:sz w:val="20"/>
                <w:szCs w:val="20"/>
                <w:color w:val="auto"/>
              </w:rPr>
            </w:pPr>
            <w:r>
              <w:rPr>
                <w:rFonts w:ascii="Arial" w:cs="Arial" w:eastAsia="Arial" w:hAnsi="Arial"/>
                <w:sz w:val="18"/>
                <w:szCs w:val="18"/>
                <w:color w:val="auto"/>
                <w:w w:val="87"/>
              </w:rPr>
              <w:t>$ 114,000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171,000</w:t>
            </w:r>
          </w:p>
        </w:tc>
        <w:tc>
          <w:tcPr>
            <w:tcW w:w="20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8"/>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3/18/2015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89,700</w:t>
            </w:r>
          </w:p>
        </w:tc>
        <w:tc>
          <w:tcPr>
            <w:tcW w:w="920" w:type="dxa"/>
            <w:vAlign w:val="bottom"/>
            <w:gridSpan w:val="2"/>
            <w:shd w:val="clear" w:color="auto" w:fill="CFF0FC"/>
          </w:tcPr>
          <w:p>
            <w:pPr>
              <w:jc w:val="center"/>
              <w:ind w:left="97"/>
              <w:spacing w:after="0"/>
              <w:rPr>
                <w:sz w:val="20"/>
                <w:szCs w:val="20"/>
                <w:color w:val="auto"/>
              </w:rPr>
            </w:pPr>
            <w:r>
              <w:rPr>
                <w:rFonts w:ascii="Arial" w:cs="Arial" w:eastAsia="Arial" w:hAnsi="Arial"/>
                <w:sz w:val="18"/>
                <w:szCs w:val="18"/>
                <w:color w:val="auto"/>
                <w:w w:val="87"/>
              </w:rPr>
              <w:t>$ 156,000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234,000</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r>
        <w:trPr>
          <w:trHeight w:val="227"/>
        </w:trPr>
        <w:tc>
          <w:tcPr>
            <w:tcW w:w="2360" w:type="dxa"/>
            <w:vAlign w:val="bottom"/>
          </w:tcPr>
          <w:p>
            <w:pPr>
              <w:spacing w:after="0"/>
              <w:rPr>
                <w:sz w:val="20"/>
                <w:szCs w:val="20"/>
                <w:color w:val="auto"/>
              </w:rPr>
            </w:pPr>
            <w:r>
              <w:rPr>
                <w:rFonts w:ascii="Arial" w:cs="Arial" w:eastAsia="Arial" w:hAnsi="Arial"/>
                <w:sz w:val="18"/>
                <w:szCs w:val="18"/>
                <w:color w:val="auto"/>
              </w:rPr>
              <w:t>Robert S. Molloy</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3/18/2015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77,050</w:t>
            </w:r>
          </w:p>
        </w:tc>
        <w:tc>
          <w:tcPr>
            <w:tcW w:w="920" w:type="dxa"/>
            <w:vAlign w:val="bottom"/>
            <w:gridSpan w:val="2"/>
          </w:tcPr>
          <w:p>
            <w:pPr>
              <w:jc w:val="center"/>
              <w:ind w:left="97"/>
              <w:spacing w:after="0"/>
              <w:rPr>
                <w:sz w:val="20"/>
                <w:szCs w:val="20"/>
                <w:color w:val="auto"/>
              </w:rPr>
            </w:pPr>
            <w:r>
              <w:rPr>
                <w:rFonts w:ascii="Arial" w:cs="Arial" w:eastAsia="Arial" w:hAnsi="Arial"/>
                <w:sz w:val="18"/>
                <w:szCs w:val="18"/>
                <w:color w:val="auto"/>
                <w:w w:val="87"/>
              </w:rPr>
              <w:t>$ 134,000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201,000</w:t>
            </w:r>
          </w:p>
        </w:tc>
        <w:tc>
          <w:tcPr>
            <w:tcW w:w="20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8"/>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3/18/2015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69,000</w:t>
            </w:r>
          </w:p>
        </w:tc>
        <w:tc>
          <w:tcPr>
            <w:tcW w:w="920" w:type="dxa"/>
            <w:vAlign w:val="bottom"/>
            <w:gridSpan w:val="2"/>
            <w:shd w:val="clear" w:color="auto" w:fill="CFF0FC"/>
          </w:tcPr>
          <w:p>
            <w:pPr>
              <w:jc w:val="center"/>
              <w:ind w:left="97"/>
              <w:spacing w:after="0"/>
              <w:rPr>
                <w:sz w:val="20"/>
                <w:szCs w:val="20"/>
                <w:color w:val="auto"/>
              </w:rPr>
            </w:pPr>
            <w:r>
              <w:rPr>
                <w:rFonts w:ascii="Arial" w:cs="Arial" w:eastAsia="Arial" w:hAnsi="Arial"/>
                <w:sz w:val="18"/>
                <w:szCs w:val="18"/>
                <w:color w:val="auto"/>
                <w:w w:val="87"/>
              </w:rPr>
              <w:t>$ 120,000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bl>
    <w:p>
      <w:pPr>
        <w:spacing w:after="0" w:line="307" w:lineRule="exact"/>
        <w:rPr>
          <w:sz w:val="20"/>
          <w:szCs w:val="20"/>
          <w:color w:val="auto"/>
        </w:rPr>
      </w:pPr>
    </w:p>
    <w:p>
      <w:pPr>
        <w:ind w:left="760" w:right="100" w:hanging="378"/>
        <w:spacing w:after="0" w:line="282"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March 18, 2015, the Compensation Committee approved the annual targets pursuant to our 2015 AIP. The threshold, target and maximum payouts for each executive was estimated based on achieving 50%, 100% and 150% of the payout targets set by the Compensation Committee. See “</w:t>
      </w:r>
      <w:r>
        <w:rPr>
          <w:rFonts w:ascii="Arial" w:cs="Arial" w:eastAsia="Arial" w:hAnsi="Arial"/>
          <w:sz w:val="16"/>
          <w:szCs w:val="16"/>
          <w:i w:val="1"/>
          <w:iCs w:val="1"/>
          <w:color w:val="auto"/>
        </w:rPr>
        <w:t>Compensation Components, Fiscal 2015 Compensation Decisions, 2016 Annual Incentive Plan Targets and Long-Term Incentive Program –</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Performance-based annual cash incentive plan (AIP) –2015 AIP</w:t>
      </w:r>
      <w:r>
        <w:rPr>
          <w:rFonts w:ascii="Arial" w:cs="Arial" w:eastAsia="Arial" w:hAnsi="Arial"/>
          <w:sz w:val="16"/>
          <w:szCs w:val="16"/>
          <w:color w:val="auto"/>
        </w:rPr>
        <w:t>” above for more information on the targets set under the 2015 AIP. On March 15,</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Compensation Committee determined that the performance targets under the 2015 AIP were achieved and approved a payout of</w:t>
      </w:r>
    </w:p>
    <w:p>
      <w:pPr>
        <w:spacing w:after="0" w:line="3" w:lineRule="exact"/>
        <w:rPr>
          <w:rFonts w:ascii="Arial" w:cs="Arial" w:eastAsia="Arial" w:hAnsi="Arial"/>
          <w:sz w:val="16"/>
          <w:szCs w:val="16"/>
          <w:color w:val="auto"/>
        </w:rPr>
      </w:pPr>
    </w:p>
    <w:p>
      <w:pPr>
        <w:ind w:left="760" w:right="800"/>
        <w:spacing w:after="0" w:line="257" w:lineRule="auto"/>
        <w:rPr>
          <w:rFonts w:ascii="Arial" w:cs="Arial" w:eastAsia="Arial" w:hAnsi="Arial"/>
          <w:sz w:val="16"/>
          <w:szCs w:val="16"/>
          <w:color w:val="auto"/>
        </w:rPr>
      </w:pPr>
      <w:r>
        <w:rPr>
          <w:rFonts w:ascii="Arial" w:cs="Arial" w:eastAsia="Arial" w:hAnsi="Arial"/>
          <w:sz w:val="18"/>
          <w:szCs w:val="18"/>
          <w:color w:val="auto"/>
        </w:rPr>
        <w:t>124.8%. The respective cash payment to each of the Named Executive Officers is included in the Summary Compensation Table (and the supplemental 2015 Non-Equity (Cash) Incentive Plan Compensation Table) for fiscal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2" w:name="page33"/>
    <w:bookmarkEnd w:id="32"/>
    <w:p>
      <w:pPr>
        <w:ind w:right="540"/>
        <w:spacing w:after="0" w:line="271"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2015.</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2015 OUTSTANDING EQUITY AWARDS AT FISCAL YEAR-END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Option Awards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1"/>
              </w:rPr>
              <w:t>Value of</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 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or Units</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Shares,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vMerge w:val="continue"/>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Units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of Stock</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Units or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6"/>
              </w:rPr>
              <w:t>Securities</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That</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That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Have</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Rights That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gridSpan w:val="2"/>
            <w:vMerge w:val="continue"/>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Have Not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Not</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Have Not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Expiration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Vested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4"/>
        </w:trPr>
        <w:tc>
          <w:tcPr>
            <w:tcW w:w="29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89"/>
              </w:rPr>
              <w:t>Exercisable</w:t>
            </w:r>
          </w:p>
        </w:tc>
        <w:tc>
          <w:tcPr>
            <w:tcW w:w="1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0"/>
              </w:rPr>
              <w:t>Unexercisable</w:t>
            </w:r>
          </w:p>
        </w:tc>
        <w:tc>
          <w:tcPr>
            <w:tcW w:w="1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9"/>
              <w:spacing w:after="0" w:line="154"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2"/>
              </w:rPr>
              <w:t>Date</w:t>
            </w:r>
          </w:p>
        </w:tc>
        <w:tc>
          <w:tcPr>
            <w:tcW w:w="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9"/>
              <w:spacing w:after="0" w:line="154" w:lineRule="exact"/>
              <w:rPr>
                <w:sz w:val="20"/>
                <w:szCs w:val="20"/>
                <w:color w:val="auto"/>
              </w:rPr>
            </w:pPr>
            <w:r>
              <w:rPr>
                <w:rFonts w:ascii="Arial" w:cs="Arial" w:eastAsia="Arial" w:hAnsi="Arial"/>
                <w:sz w:val="14"/>
                <w:szCs w:val="14"/>
                <w:b w:val="1"/>
                <w:bCs w:val="1"/>
                <w:color w:val="auto"/>
                <w:w w:val="99"/>
              </w:rPr>
              <w:t>($)(1)</w:t>
            </w:r>
          </w:p>
        </w:tc>
        <w:tc>
          <w:tcPr>
            <w:tcW w:w="1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40"/>
              <w:spacing w:after="0" w:line="154"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54"/>
        </w:trPr>
        <w:tc>
          <w:tcPr>
            <w:tcW w:w="2980" w:type="dxa"/>
            <w:vAlign w:val="bottom"/>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David A. Levin</w:t>
            </w: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117,565</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78,377</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195,942</w:t>
            </w:r>
          </w:p>
        </w:tc>
        <w:tc>
          <w:tcPr>
            <w:tcW w:w="32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(3)</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5.04</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line="154" w:lineRule="exact"/>
              <w:rPr>
                <w:sz w:val="20"/>
                <w:szCs w:val="20"/>
                <w:color w:val="auto"/>
              </w:rPr>
            </w:pPr>
            <w:r>
              <w:rPr>
                <w:rFonts w:ascii="Arial" w:cs="Arial" w:eastAsia="Arial" w:hAnsi="Arial"/>
                <w:sz w:val="14"/>
                <w:szCs w:val="14"/>
                <w:color w:val="auto"/>
                <w:w w:val="93"/>
              </w:rPr>
              <w:t>5/28/2023</w:t>
            </w:r>
          </w:p>
        </w:tc>
        <w:tc>
          <w:tcPr>
            <w:tcW w:w="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64,381</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6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$ 276,838</w:t>
            </w:r>
          </w:p>
        </w:tc>
        <w:tc>
          <w:tcPr>
            <w:tcW w:w="10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center"/>
              <w:ind w:left="49"/>
              <w:spacing w:after="0"/>
              <w:rPr>
                <w:sz w:val="20"/>
                <w:szCs w:val="20"/>
                <w:color w:val="auto"/>
              </w:rPr>
            </w:pPr>
            <w:r>
              <w:rPr>
                <w:rFonts w:ascii="Arial" w:cs="Arial" w:eastAsia="Arial" w:hAnsi="Arial"/>
                <w:sz w:val="14"/>
                <w:szCs w:val="14"/>
                <w:color w:val="auto"/>
                <w:w w:val="90"/>
              </w:rPr>
              <w:t>160,952</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FF0FC"/>
          </w:tcPr>
          <w:p>
            <w:pPr>
              <w:ind w:left="140"/>
              <w:spacing w:after="0"/>
              <w:rPr>
                <w:sz w:val="20"/>
                <w:szCs w:val="20"/>
                <w:color w:val="auto"/>
              </w:rPr>
            </w:pPr>
            <w:r>
              <w:rPr>
                <w:rFonts w:ascii="Arial" w:cs="Arial" w:eastAsia="Arial" w:hAnsi="Arial"/>
                <w:sz w:val="14"/>
                <w:szCs w:val="14"/>
                <w:color w:val="auto"/>
                <w:w w:val="98"/>
              </w:rPr>
              <w:t>692,094</w:t>
            </w:r>
          </w:p>
        </w:tc>
        <w:tc>
          <w:tcPr>
            <w:tcW w:w="0" w:type="dxa"/>
            <w:vAlign w:val="bottom"/>
          </w:tcPr>
          <w:p>
            <w:pPr>
              <w:spacing w:after="0"/>
              <w:rPr>
                <w:sz w:val="1"/>
                <w:szCs w:val="1"/>
                <w:color w:val="auto"/>
              </w:rPr>
            </w:pPr>
          </w:p>
        </w:tc>
      </w:tr>
      <w:tr>
        <w:trPr>
          <w:trHeight w:val="161"/>
        </w:trPr>
        <w:tc>
          <w:tcPr>
            <w:tcW w:w="2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00" w:type="dxa"/>
            <w:vAlign w:val="bottom"/>
            <w:gridSpan w:val="2"/>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line="155" w:lineRule="exact"/>
              <w:rPr>
                <w:sz w:val="20"/>
                <w:szCs w:val="20"/>
                <w:color w:val="auto"/>
              </w:rPr>
            </w:pPr>
            <w:r>
              <w:rPr>
                <w:rFonts w:ascii="Arial" w:cs="Arial" w:eastAsia="Arial" w:hAnsi="Arial"/>
                <w:sz w:val="14"/>
                <w:szCs w:val="14"/>
                <w:b w:val="1"/>
                <w:bCs w:val="1"/>
                <w:color w:val="auto"/>
              </w:rPr>
              <w:t>Peter H. Stratton, Jr.</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8,587</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4.19</w:t>
            </w:r>
          </w:p>
        </w:tc>
        <w:tc>
          <w:tcPr>
            <w:tcW w:w="12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93"/>
              </w:rPr>
              <w:t>3/16/2021</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20,289</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13,527</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33,816</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11,111</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ind w:right="29"/>
              <w:spacing w:after="0"/>
              <w:rPr>
                <w:sz w:val="20"/>
                <w:szCs w:val="20"/>
                <w:color w:val="auto"/>
              </w:rPr>
            </w:pPr>
            <w:r>
              <w:rPr>
                <w:rFonts w:ascii="Arial" w:cs="Arial" w:eastAsia="Arial" w:hAnsi="Arial"/>
                <w:sz w:val="14"/>
                <w:szCs w:val="14"/>
                <w:color w:val="auto"/>
              </w:rPr>
              <w:t>47,777</w:t>
            </w:r>
          </w:p>
        </w:tc>
        <w:tc>
          <w:tcPr>
            <w:tcW w:w="100" w:type="dxa"/>
            <w:vAlign w:val="bottom"/>
          </w:tcPr>
          <w:p>
            <w:pPr>
              <w:spacing w:after="0"/>
              <w:rPr>
                <w:sz w:val="15"/>
                <w:szCs w:val="15"/>
                <w:color w:val="auto"/>
              </w:rPr>
            </w:pPr>
          </w:p>
        </w:tc>
        <w:tc>
          <w:tcPr>
            <w:tcW w:w="780" w:type="dxa"/>
            <w:vAlign w:val="bottom"/>
            <w:vMerge w:val="restart"/>
          </w:tcPr>
          <w:p>
            <w:pPr>
              <w:jc w:val="center"/>
              <w:ind w:left="49"/>
              <w:spacing w:after="0"/>
              <w:rPr>
                <w:sz w:val="20"/>
                <w:szCs w:val="20"/>
                <w:color w:val="auto"/>
              </w:rPr>
            </w:pPr>
            <w:r>
              <w:rPr>
                <w:rFonts w:ascii="Arial" w:cs="Arial" w:eastAsia="Arial" w:hAnsi="Arial"/>
                <w:sz w:val="14"/>
                <w:szCs w:val="14"/>
                <w:color w:val="auto"/>
                <w:w w:val="88"/>
              </w:rPr>
              <w:t>27,777</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ind w:left="140"/>
              <w:spacing w:after="0"/>
              <w:rPr>
                <w:sz w:val="20"/>
                <w:szCs w:val="20"/>
                <w:color w:val="auto"/>
              </w:rPr>
            </w:pPr>
            <w:r>
              <w:rPr>
                <w:rFonts w:ascii="Arial" w:cs="Arial" w:eastAsia="Arial" w:hAnsi="Arial"/>
                <w:sz w:val="14"/>
                <w:szCs w:val="14"/>
                <w:color w:val="auto"/>
                <w:w w:val="98"/>
              </w:rPr>
              <w:t>119,441</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Kenneth M. Ederle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10/22/2017</w:t>
            </w: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32,970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21,981</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54,951</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18,056</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shd w:val="clear" w:color="auto" w:fill="CFF0FC"/>
          </w:tcPr>
          <w:p>
            <w:pPr>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FF0FC"/>
          </w:tcPr>
          <w:p>
            <w:pPr>
              <w:jc w:val="right"/>
              <w:ind w:right="29"/>
              <w:spacing w:after="0"/>
              <w:rPr>
                <w:sz w:val="20"/>
                <w:szCs w:val="20"/>
                <w:color w:val="auto"/>
              </w:rPr>
            </w:pPr>
            <w:r>
              <w:rPr>
                <w:rFonts w:ascii="Arial" w:cs="Arial" w:eastAsia="Arial" w:hAnsi="Arial"/>
                <w:sz w:val="14"/>
                <w:szCs w:val="14"/>
                <w:color w:val="auto"/>
              </w:rPr>
              <w:t>77,641</w:t>
            </w:r>
          </w:p>
        </w:tc>
        <w:tc>
          <w:tcPr>
            <w:tcW w:w="10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center"/>
              <w:ind w:left="49"/>
              <w:spacing w:after="0"/>
              <w:rPr>
                <w:sz w:val="20"/>
                <w:szCs w:val="20"/>
                <w:color w:val="auto"/>
              </w:rPr>
            </w:pPr>
            <w:r>
              <w:rPr>
                <w:rFonts w:ascii="Arial" w:cs="Arial" w:eastAsia="Arial" w:hAnsi="Arial"/>
                <w:sz w:val="14"/>
                <w:szCs w:val="14"/>
                <w:color w:val="auto"/>
                <w:w w:val="88"/>
              </w:rPr>
              <w:t>45,138</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FF0FC"/>
          </w:tcPr>
          <w:p>
            <w:pPr>
              <w:ind w:left="140"/>
              <w:spacing w:after="0"/>
              <w:rPr>
                <w:sz w:val="20"/>
                <w:szCs w:val="20"/>
                <w:color w:val="auto"/>
              </w:rPr>
            </w:pPr>
            <w:r>
              <w:rPr>
                <w:rFonts w:ascii="Arial" w:cs="Arial" w:eastAsia="Arial" w:hAnsi="Arial"/>
                <w:sz w:val="14"/>
                <w:szCs w:val="14"/>
                <w:color w:val="auto"/>
                <w:w w:val="98"/>
              </w:rPr>
              <w:t>194,093</w:t>
            </w:r>
          </w:p>
        </w:tc>
        <w:tc>
          <w:tcPr>
            <w:tcW w:w="0" w:type="dxa"/>
            <w:vAlign w:val="bottom"/>
          </w:tcPr>
          <w:p>
            <w:pPr>
              <w:spacing w:after="0"/>
              <w:rPr>
                <w:sz w:val="1"/>
                <w:szCs w:val="1"/>
                <w:color w:val="auto"/>
              </w:rPr>
            </w:pPr>
          </w:p>
        </w:tc>
      </w:tr>
      <w:tr>
        <w:trPr>
          <w:trHeight w:val="161"/>
        </w:trPr>
        <w:tc>
          <w:tcPr>
            <w:tcW w:w="2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00" w:type="dxa"/>
            <w:vAlign w:val="bottom"/>
            <w:gridSpan w:val="2"/>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line="155" w:lineRule="exact"/>
              <w:rPr>
                <w:sz w:val="20"/>
                <w:szCs w:val="20"/>
                <w:color w:val="auto"/>
              </w:rPr>
            </w:pPr>
            <w:r>
              <w:rPr>
                <w:rFonts w:ascii="Arial" w:cs="Arial" w:eastAsia="Arial" w:hAnsi="Arial"/>
                <w:sz w:val="14"/>
                <w:szCs w:val="14"/>
                <w:b w:val="1"/>
                <w:bCs w:val="1"/>
                <w:color w:val="auto"/>
              </w:rPr>
              <w:t>Robert S. Molloy</w:t>
            </w:r>
          </w:p>
        </w:tc>
        <w:tc>
          <w:tcPr>
            <w:tcW w:w="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20,606</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3.20</w:t>
            </w:r>
          </w:p>
        </w:tc>
        <w:tc>
          <w:tcPr>
            <w:tcW w:w="12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93"/>
              </w:rPr>
              <w:t>3/19/2020</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13,955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3/16/2021</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32,970</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21,981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54,951</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18,056</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ind w:right="29"/>
              <w:spacing w:after="0"/>
              <w:rPr>
                <w:sz w:val="20"/>
                <w:szCs w:val="20"/>
                <w:color w:val="auto"/>
              </w:rPr>
            </w:pPr>
            <w:r>
              <w:rPr>
                <w:rFonts w:ascii="Arial" w:cs="Arial" w:eastAsia="Arial" w:hAnsi="Arial"/>
                <w:sz w:val="14"/>
                <w:szCs w:val="14"/>
                <w:color w:val="auto"/>
              </w:rPr>
              <w:t>77,641</w:t>
            </w:r>
          </w:p>
        </w:tc>
        <w:tc>
          <w:tcPr>
            <w:tcW w:w="100" w:type="dxa"/>
            <w:vAlign w:val="bottom"/>
          </w:tcPr>
          <w:p>
            <w:pPr>
              <w:spacing w:after="0"/>
              <w:rPr>
                <w:sz w:val="15"/>
                <w:szCs w:val="15"/>
                <w:color w:val="auto"/>
              </w:rPr>
            </w:pPr>
          </w:p>
        </w:tc>
        <w:tc>
          <w:tcPr>
            <w:tcW w:w="780" w:type="dxa"/>
            <w:vAlign w:val="bottom"/>
            <w:vMerge w:val="restart"/>
          </w:tcPr>
          <w:p>
            <w:pPr>
              <w:jc w:val="center"/>
              <w:ind w:left="49"/>
              <w:spacing w:after="0"/>
              <w:rPr>
                <w:sz w:val="20"/>
                <w:szCs w:val="20"/>
                <w:color w:val="auto"/>
              </w:rPr>
            </w:pPr>
            <w:r>
              <w:rPr>
                <w:rFonts w:ascii="Arial" w:cs="Arial" w:eastAsia="Arial" w:hAnsi="Arial"/>
                <w:sz w:val="14"/>
                <w:szCs w:val="14"/>
                <w:color w:val="auto"/>
                <w:w w:val="88"/>
              </w:rPr>
              <w:t>45,138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ind w:left="140"/>
              <w:spacing w:after="0"/>
              <w:rPr>
                <w:sz w:val="20"/>
                <w:szCs w:val="20"/>
                <w:color w:val="auto"/>
              </w:rPr>
            </w:pPr>
            <w:r>
              <w:rPr>
                <w:rFonts w:ascii="Arial" w:cs="Arial" w:eastAsia="Arial" w:hAnsi="Arial"/>
                <w:sz w:val="14"/>
                <w:szCs w:val="14"/>
                <w:color w:val="auto"/>
                <w:w w:val="98"/>
              </w:rPr>
              <w:t>194,093</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Brian S. Reaves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17,183</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3/16/2021</w:t>
            </w: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18,600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46,496</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15,278</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shd w:val="clear" w:color="auto" w:fill="CFF0FC"/>
          </w:tcPr>
          <w:p>
            <w:pPr>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FF0FC"/>
          </w:tcPr>
          <w:p>
            <w:pPr>
              <w:jc w:val="right"/>
              <w:ind w:right="29"/>
              <w:spacing w:after="0"/>
              <w:rPr>
                <w:sz w:val="20"/>
                <w:szCs w:val="20"/>
                <w:color w:val="auto"/>
              </w:rPr>
            </w:pPr>
            <w:r>
              <w:rPr>
                <w:rFonts w:ascii="Arial" w:cs="Arial" w:eastAsia="Arial" w:hAnsi="Arial"/>
                <w:sz w:val="14"/>
                <w:szCs w:val="14"/>
                <w:color w:val="auto"/>
              </w:rPr>
              <w:t>65,695</w:t>
            </w:r>
          </w:p>
        </w:tc>
        <w:tc>
          <w:tcPr>
            <w:tcW w:w="10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center"/>
              <w:ind w:left="49"/>
              <w:spacing w:after="0"/>
              <w:rPr>
                <w:sz w:val="20"/>
                <w:szCs w:val="20"/>
                <w:color w:val="auto"/>
              </w:rPr>
            </w:pPr>
            <w:r>
              <w:rPr>
                <w:rFonts w:ascii="Arial" w:cs="Arial" w:eastAsia="Arial" w:hAnsi="Arial"/>
                <w:sz w:val="14"/>
                <w:szCs w:val="14"/>
                <w:color w:val="auto"/>
                <w:w w:val="88"/>
              </w:rPr>
              <w:t>38,194</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FF0FC"/>
          </w:tcPr>
          <w:p>
            <w:pPr>
              <w:ind w:left="140"/>
              <w:spacing w:after="0"/>
              <w:rPr>
                <w:sz w:val="20"/>
                <w:szCs w:val="20"/>
                <w:color w:val="auto"/>
              </w:rPr>
            </w:pPr>
            <w:r>
              <w:rPr>
                <w:rFonts w:ascii="Arial" w:cs="Arial" w:eastAsia="Arial" w:hAnsi="Arial"/>
                <w:sz w:val="14"/>
                <w:szCs w:val="14"/>
                <w:color w:val="auto"/>
                <w:w w:val="98"/>
              </w:rPr>
              <w:t>164,234</w:t>
            </w:r>
          </w:p>
        </w:tc>
        <w:tc>
          <w:tcPr>
            <w:tcW w:w="0" w:type="dxa"/>
            <w:vAlign w:val="bottom"/>
          </w:tcPr>
          <w:p>
            <w:pPr>
              <w:spacing w:after="0"/>
              <w:rPr>
                <w:sz w:val="1"/>
                <w:szCs w:val="1"/>
                <w:color w:val="auto"/>
              </w:rPr>
            </w:pPr>
          </w:p>
        </w:tc>
      </w:tr>
      <w:tr>
        <w:trPr>
          <w:trHeight w:val="161"/>
        </w:trPr>
        <w:tc>
          <w:tcPr>
            <w:tcW w:w="2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00" w:type="dxa"/>
            <w:vAlign w:val="bottom"/>
            <w:gridSpan w:val="2"/>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$4.30 on January 30, 2016.</w:t>
      </w:r>
    </w:p>
    <w:p>
      <w:pPr>
        <w:spacing w:after="0" w:line="47" w:lineRule="exact"/>
        <w:rPr>
          <w:rFonts w:ascii="Arial" w:cs="Arial" w:eastAsia="Arial" w:hAnsi="Arial"/>
          <w:sz w:val="18"/>
          <w:szCs w:val="18"/>
          <w:color w:val="auto"/>
        </w:rPr>
      </w:pPr>
    </w:p>
    <w:p>
      <w:pPr>
        <w:ind w:left="760" w:right="360" w:hanging="378"/>
        <w:spacing w:after="0" w:line="27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May 28, 2013 in connection with our 2013-2016 LTIP and represent the unvested portion of the time-based awards.</w:t>
      </w:r>
    </w:p>
    <w:p>
      <w:pPr>
        <w:spacing w:after="0" w:line="1" w:lineRule="exact"/>
        <w:rPr>
          <w:rFonts w:ascii="Arial" w:cs="Arial" w:eastAsia="Arial" w:hAnsi="Arial"/>
          <w:sz w:val="18"/>
          <w:szCs w:val="18"/>
          <w:color w:val="auto"/>
        </w:rPr>
      </w:pPr>
    </w:p>
    <w:p>
      <w:pPr>
        <w:ind w:left="760" w:right="160" w:hanging="378"/>
        <w:spacing w:after="0" w:line="282"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equity awards represent awards granted on May 28, 2013 in connection with our 2013-2016 LTIP and represent unearned and unvested performance-based awards. See “</w:t>
      </w:r>
      <w:r>
        <w:rPr>
          <w:rFonts w:ascii="Arial" w:cs="Arial" w:eastAsia="Arial" w:hAnsi="Arial"/>
          <w:sz w:val="17"/>
          <w:szCs w:val="17"/>
          <w:i w:val="1"/>
          <w:iCs w:val="1"/>
          <w:color w:val="auto"/>
        </w:rPr>
        <w:t>Compensation Components, Fiscal 2015 Compensation Decisions, 2016 Annual Incentive Plan Targets and Long-Term Incentive Program –Long-Term Incentive Plans –2013-2016 Long-Term Incentive Plan</w:t>
      </w:r>
      <w:r>
        <w:rPr>
          <w:rFonts w:ascii="Arial" w:cs="Arial" w:eastAsia="Arial" w:hAnsi="Arial"/>
          <w:sz w:val="17"/>
          <w:szCs w:val="17"/>
          <w:color w:val="auto"/>
        </w:rPr>
        <w:t>” above for more information.</w:t>
      </w: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554" w:right="139" w:bottom="1440" w:gutter="0" w:footer="0" w:header="0"/>
        </w:sectPr>
      </w:pPr>
    </w:p>
    <w:bookmarkStart w:id="33" w:name="page34"/>
    <w:bookmarkEnd w:id="33"/>
    <w:p>
      <w:pPr>
        <w:ind w:left="260" w:right="140" w:hanging="252"/>
        <w:spacing w:after="0" w:line="271" w:lineRule="auto"/>
        <w:rPr>
          <w:sz w:val="20"/>
          <w:szCs w:val="20"/>
          <w:color w:val="auto"/>
        </w:rPr>
      </w:pPr>
      <w:r>
        <w:rPr>
          <w:rFonts w:ascii="Arial" w:cs="Arial" w:eastAsia="Arial" w:hAnsi="Arial"/>
          <w:sz w:val="18"/>
          <w:szCs w:val="18"/>
          <w:b w:val="1"/>
          <w:bCs w:val="1"/>
          <w:i w:val="1"/>
          <w:iCs w:val="1"/>
          <w:color w:val="auto"/>
        </w:rPr>
        <w:t xml:space="preserve">Option Exercises and Stock Vested Table.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OPTION EXERCISES AND STOCK VESTED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bottom w:val="single" w:sz="8" w:color="auto"/>
            </w:tcBorders>
            <w:gridSpan w:val="4"/>
          </w:tcPr>
          <w:p>
            <w:pPr>
              <w:ind w:left="760"/>
              <w:spacing w:after="0"/>
              <w:rPr>
                <w:sz w:val="20"/>
                <w:szCs w:val="20"/>
                <w:color w:val="auto"/>
              </w:rPr>
            </w:pPr>
            <w:r>
              <w:rPr>
                <w:rFonts w:ascii="Arial" w:cs="Arial" w:eastAsia="Arial" w:hAnsi="Arial"/>
                <w:sz w:val="16"/>
                <w:szCs w:val="16"/>
                <w:b w:val="1"/>
                <w:bCs w:val="1"/>
                <w:color w:val="auto"/>
              </w:rPr>
              <w:t>Option Awards</w:t>
            </w:r>
          </w:p>
        </w:tc>
        <w:tc>
          <w:tcPr>
            <w:tcW w:w="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6"/>
                <w:szCs w:val="16"/>
                <w:b w:val="1"/>
                <w:bCs w:val="1"/>
                <w:color w:val="auto"/>
              </w:rPr>
              <w:t>Stock Awards</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left="40"/>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left="40"/>
              <w:spacing w:after="0"/>
              <w:rPr>
                <w:sz w:val="20"/>
                <w:szCs w:val="20"/>
                <w:color w:val="auto"/>
              </w:rPr>
            </w:pPr>
            <w:r>
              <w:rPr>
                <w:rFonts w:ascii="Arial" w:cs="Arial" w:eastAsia="Arial" w:hAnsi="Arial"/>
                <w:sz w:val="16"/>
                <w:szCs w:val="16"/>
                <w:b w:val="1"/>
                <w:bCs w:val="1"/>
                <w:color w:val="auto"/>
                <w:w w:val="85"/>
              </w:rPr>
              <w:t>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Number of</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left="40"/>
              <w:spacing w:after="0"/>
              <w:rPr>
                <w:sz w:val="20"/>
                <w:szCs w:val="20"/>
                <w:color w:val="auto"/>
              </w:rPr>
            </w:pPr>
            <w:r>
              <w:rPr>
                <w:rFonts w:ascii="Arial" w:cs="Arial" w:eastAsia="Arial" w:hAnsi="Arial"/>
                <w:sz w:val="16"/>
                <w:szCs w:val="16"/>
                <w:b w:val="1"/>
                <w:bCs w:val="1"/>
                <w:color w:val="auto"/>
                <w:w w:val="92"/>
              </w:rPr>
              <w:t>Acquired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Value Realized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shares</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Value Realized</w:t>
            </w:r>
          </w:p>
        </w:tc>
      </w:tr>
      <w:tr>
        <w:trPr>
          <w:trHeight w:val="201"/>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left="40"/>
              <w:spacing w:after="0"/>
              <w:rPr>
                <w:sz w:val="20"/>
                <w:szCs w:val="20"/>
                <w:color w:val="auto"/>
              </w:rPr>
            </w:pPr>
            <w:r>
              <w:rPr>
                <w:rFonts w:ascii="Arial" w:cs="Arial" w:eastAsia="Arial" w:hAnsi="Arial"/>
                <w:sz w:val="16"/>
                <w:szCs w:val="16"/>
                <w:b w:val="1"/>
                <w:bCs w:val="1"/>
                <w:color w:val="auto"/>
                <w:w w:val="89"/>
              </w:rPr>
              <w:t>on Exercise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6"/>
              </w:rPr>
              <w:t>on Exercise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Vested</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5"/>
              </w:rPr>
              <w:t>on Vesting</w:t>
            </w:r>
          </w:p>
        </w:tc>
      </w:tr>
      <w:tr>
        <w:trPr>
          <w:trHeight w:val="212"/>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4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8"/>
              </w:rPr>
              <w:t>)(1)</w:t>
            </w:r>
          </w:p>
        </w:tc>
        <w:tc>
          <w:tcPr>
            <w:tcW w:w="120" w:type="dxa"/>
            <w:vAlign w:val="bottom"/>
            <w:tcBorders>
              <w:bottom w:val="single" w:sz="8" w:color="CFF0FC"/>
            </w:tcBorders>
          </w:tcPr>
          <w:p>
            <w:pPr>
              <w:spacing w:after="0"/>
              <w:rPr>
                <w:sz w:val="18"/>
                <w:szCs w:val="18"/>
                <w:color w:val="auto"/>
              </w:rPr>
            </w:pPr>
          </w:p>
        </w:tc>
      </w:tr>
      <w:tr>
        <w:trPr>
          <w:trHeight w:val="211"/>
        </w:trPr>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David A. Levin</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64,381</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276,838</w:t>
            </w:r>
          </w:p>
        </w:tc>
        <w:tc>
          <w:tcPr>
            <w:tcW w:w="120" w:type="dxa"/>
            <w:vAlign w:val="bottom"/>
            <w:shd w:val="clear" w:color="auto" w:fill="CFF0FC"/>
          </w:tcPr>
          <w:p>
            <w:pPr>
              <w:spacing w:after="0"/>
              <w:rPr>
                <w:sz w:val="18"/>
                <w:szCs w:val="18"/>
                <w:color w:val="auto"/>
              </w:rPr>
            </w:pPr>
          </w:p>
        </w:tc>
      </w:tr>
      <w:tr>
        <w:trPr>
          <w:trHeight w:val="212"/>
        </w:trPr>
        <w:tc>
          <w:tcPr>
            <w:tcW w:w="5920" w:type="dxa"/>
            <w:vAlign w:val="bottom"/>
            <w:gridSpan w:val="2"/>
          </w:tcPr>
          <w:p>
            <w:pPr>
              <w:spacing w:after="0"/>
              <w:rPr>
                <w:sz w:val="20"/>
                <w:szCs w:val="20"/>
                <w:color w:val="auto"/>
              </w:rPr>
            </w:pPr>
            <w:r>
              <w:rPr>
                <w:rFonts w:ascii="Arial" w:cs="Arial" w:eastAsia="Arial" w:hAnsi="Arial"/>
                <w:sz w:val="16"/>
                <w:szCs w:val="16"/>
                <w:color w:val="auto"/>
              </w:rPr>
              <w:t>Peter H. Stratton, Jr.</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11,111</w:t>
            </w:r>
          </w:p>
        </w:tc>
        <w:tc>
          <w:tcPr>
            <w:tcW w:w="240" w:type="dxa"/>
            <w:vAlign w:val="bottom"/>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47,777</w:t>
            </w:r>
          </w:p>
        </w:tc>
        <w:tc>
          <w:tcPr>
            <w:tcW w:w="120" w:type="dxa"/>
            <w:vAlign w:val="bottom"/>
          </w:tcPr>
          <w:p>
            <w:pPr>
              <w:spacing w:after="0"/>
              <w:rPr>
                <w:sz w:val="18"/>
                <w:szCs w:val="18"/>
                <w:color w:val="auto"/>
              </w:rPr>
            </w:pPr>
          </w:p>
        </w:tc>
      </w:tr>
      <w:tr>
        <w:trPr>
          <w:trHeight w:val="217"/>
        </w:trPr>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Kenneth M. Ederle</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18,055</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77,637</w:t>
            </w:r>
          </w:p>
        </w:tc>
        <w:tc>
          <w:tcPr>
            <w:tcW w:w="120" w:type="dxa"/>
            <w:vAlign w:val="bottom"/>
            <w:shd w:val="clear" w:color="auto" w:fill="CFF0FC"/>
          </w:tcPr>
          <w:p>
            <w:pPr>
              <w:spacing w:after="0"/>
              <w:rPr>
                <w:sz w:val="18"/>
                <w:szCs w:val="18"/>
                <w:color w:val="auto"/>
              </w:rPr>
            </w:pPr>
          </w:p>
        </w:tc>
      </w:tr>
      <w:tr>
        <w:trPr>
          <w:trHeight w:val="212"/>
        </w:trPr>
        <w:tc>
          <w:tcPr>
            <w:tcW w:w="5920" w:type="dxa"/>
            <w:vAlign w:val="bottom"/>
            <w:gridSpan w:val="2"/>
          </w:tcPr>
          <w:p>
            <w:pPr>
              <w:spacing w:after="0"/>
              <w:rPr>
                <w:sz w:val="20"/>
                <w:szCs w:val="20"/>
                <w:color w:val="auto"/>
              </w:rPr>
            </w:pPr>
            <w:r>
              <w:rPr>
                <w:rFonts w:ascii="Arial" w:cs="Arial" w:eastAsia="Arial" w:hAnsi="Arial"/>
                <w:sz w:val="16"/>
                <w:szCs w:val="16"/>
                <w:color w:val="auto"/>
              </w:rPr>
              <w:t>Robert S. Molloy</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18,055</w:t>
            </w:r>
          </w:p>
        </w:tc>
        <w:tc>
          <w:tcPr>
            <w:tcW w:w="240" w:type="dxa"/>
            <w:vAlign w:val="bottom"/>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77,637</w:t>
            </w:r>
          </w:p>
        </w:tc>
        <w:tc>
          <w:tcPr>
            <w:tcW w:w="120" w:type="dxa"/>
            <w:vAlign w:val="bottom"/>
          </w:tcPr>
          <w:p>
            <w:pPr>
              <w:spacing w:after="0"/>
              <w:rPr>
                <w:sz w:val="18"/>
                <w:szCs w:val="18"/>
                <w:color w:val="auto"/>
              </w:rPr>
            </w:pPr>
          </w:p>
        </w:tc>
      </w:tr>
      <w:tr>
        <w:trPr>
          <w:trHeight w:val="217"/>
        </w:trPr>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15,278</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65,695</w:t>
            </w:r>
          </w:p>
        </w:tc>
        <w:tc>
          <w:tcPr>
            <w:tcW w:w="120" w:type="dxa"/>
            <w:vAlign w:val="bottom"/>
            <w:shd w:val="clear" w:color="auto" w:fill="CFF0FC"/>
          </w:tcPr>
          <w:p>
            <w:pPr>
              <w:spacing w:after="0"/>
              <w:rPr>
                <w:sz w:val="18"/>
                <w:szCs w:val="18"/>
                <w:color w:val="auto"/>
              </w:rPr>
            </w:pPr>
          </w:p>
        </w:tc>
      </w:tr>
    </w:tbl>
    <w:p>
      <w:pPr>
        <w:spacing w:after="0" w:line="240" w:lineRule="exact"/>
        <w:rPr>
          <w:sz w:val="20"/>
          <w:szCs w:val="20"/>
          <w:color w:val="auto"/>
        </w:rPr>
      </w:pPr>
    </w:p>
    <w:p>
      <w:pPr>
        <w:jc w:val="both"/>
        <w:ind w:left="260" w:right="40" w:hanging="253"/>
        <w:spacing w:after="0" w:line="285" w:lineRule="auto"/>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w:t>
      </w:r>
    </w:p>
    <w:p>
      <w:pPr>
        <w:ind w:left="260"/>
        <w:spacing w:after="0"/>
        <w:rPr>
          <w:rFonts w:ascii="Arial" w:cs="Arial" w:eastAsia="Arial" w:hAnsi="Arial"/>
          <w:sz w:val="16"/>
          <w:szCs w:val="16"/>
          <w:color w:val="auto"/>
        </w:rPr>
      </w:pPr>
      <w:r>
        <w:rPr>
          <w:rFonts w:ascii="Arial" w:cs="Arial" w:eastAsia="Arial" w:hAnsi="Arial"/>
          <w:sz w:val="18"/>
          <w:szCs w:val="18"/>
          <w:color w:val="auto"/>
        </w:rPr>
        <w:t>Furthermore, such value realized does not take into consideration individual income tax consequences.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11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5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Named Executive Officers are eligible to participate in the 401(k) Plan, and the amount of any Company match to our Named Executive Officers is set forth above in the “All Other Compensation” table.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w:t>
            </w:r>
          </w:p>
        </w:tc>
        <w:tc>
          <w:tcPr>
            <w:tcW w:w="360" w:type="dxa"/>
            <w:vAlign w:val="bottom"/>
          </w:tcPr>
          <w:p>
            <w:pPr>
              <w:spacing w:after="0"/>
              <w:rPr>
                <w:sz w:val="13"/>
                <w:szCs w:val="13"/>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92"/>
              </w:rPr>
              <w:t>Weighted-average</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remaining available for</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1"/>
              </w:rPr>
              <w:t>Number of securities to be</w:t>
            </w:r>
          </w:p>
        </w:tc>
        <w:tc>
          <w:tcPr>
            <w:tcW w:w="300" w:type="dxa"/>
            <w:vAlign w:val="bottom"/>
          </w:tcPr>
          <w:p>
            <w:pPr>
              <w:spacing w:after="0"/>
              <w:rPr>
                <w:sz w:val="12"/>
                <w:szCs w:val="12"/>
                <w:color w:val="auto"/>
              </w:rPr>
            </w:pPr>
          </w:p>
        </w:tc>
        <w:tc>
          <w:tcPr>
            <w:tcW w:w="198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89"/>
              </w:rPr>
              <w:t>exercise price of</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future issuance under</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7"/>
              </w:rPr>
              <w:t>issued upon exercise of</w:t>
            </w:r>
          </w:p>
        </w:tc>
        <w:tc>
          <w:tcPr>
            <w:tcW w:w="300" w:type="dxa"/>
            <w:vAlign w:val="bottom"/>
          </w:tcPr>
          <w:p>
            <w:pPr>
              <w:spacing w:after="0"/>
              <w:rPr>
                <w:sz w:val="12"/>
                <w:szCs w:val="12"/>
                <w:color w:val="auto"/>
              </w:rPr>
            </w:pPr>
          </w:p>
        </w:tc>
        <w:tc>
          <w:tcPr>
            <w:tcW w:w="198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91"/>
              </w:rPr>
              <w:t>outstanding</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equity compensation plans</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0"/>
              </w:rPr>
              <w:t>outstanding options,</w:t>
            </w:r>
          </w:p>
        </w:tc>
        <w:tc>
          <w:tcPr>
            <w:tcW w:w="300" w:type="dxa"/>
            <w:vAlign w:val="bottom"/>
          </w:tcPr>
          <w:p>
            <w:pPr>
              <w:spacing w:after="0"/>
              <w:rPr>
                <w:sz w:val="12"/>
                <w:szCs w:val="12"/>
                <w:color w:val="auto"/>
              </w:rPr>
            </w:pPr>
          </w:p>
        </w:tc>
        <w:tc>
          <w:tcPr>
            <w:tcW w:w="198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92"/>
              </w:rPr>
              <w:t>options, warrants</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(excluding securities</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4"/>
              </w:rPr>
              <w:t>warrants and rights</w:t>
            </w:r>
          </w:p>
        </w:tc>
        <w:tc>
          <w:tcPr>
            <w:tcW w:w="300" w:type="dxa"/>
            <w:vAlign w:val="bottom"/>
          </w:tcPr>
          <w:p>
            <w:pPr>
              <w:spacing w:after="0"/>
              <w:rPr>
                <w:sz w:val="12"/>
                <w:szCs w:val="12"/>
                <w:color w:val="auto"/>
              </w:rPr>
            </w:pPr>
          </w:p>
        </w:tc>
        <w:tc>
          <w:tcPr>
            <w:tcW w:w="1980" w:type="dxa"/>
            <w:vAlign w:val="bottom"/>
            <w:gridSpan w:val="2"/>
          </w:tcPr>
          <w:p>
            <w:pPr>
              <w:jc w:val="center"/>
              <w:ind w:right="560"/>
              <w:spacing w:after="0" w:line="148" w:lineRule="exact"/>
              <w:rPr>
                <w:sz w:val="20"/>
                <w:szCs w:val="20"/>
                <w:color w:val="auto"/>
              </w:rPr>
            </w:pPr>
            <w:r>
              <w:rPr>
                <w:rFonts w:ascii="Arial" w:cs="Arial" w:eastAsia="Arial" w:hAnsi="Arial"/>
                <w:sz w:val="13"/>
                <w:szCs w:val="13"/>
                <w:b w:val="1"/>
                <w:bCs w:val="1"/>
                <w:color w:val="auto"/>
                <w:w w:val="92"/>
              </w:rPr>
              <w:t>and rights</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reflected in column (a))</w:t>
            </w:r>
          </w:p>
        </w:tc>
        <w:tc>
          <w:tcPr>
            <w:tcW w:w="360" w:type="dxa"/>
            <w:vAlign w:val="bottom"/>
          </w:tcPr>
          <w:p>
            <w:pPr>
              <w:spacing w:after="0"/>
              <w:rPr>
                <w:sz w:val="12"/>
                <w:szCs w:val="12"/>
                <w:color w:val="auto"/>
              </w:rPr>
            </w:pPr>
          </w:p>
        </w:tc>
      </w:tr>
      <w:tr>
        <w:trPr>
          <w:trHeight w:val="160"/>
        </w:trPr>
        <w:tc>
          <w:tcPr>
            <w:tcW w:w="4440" w:type="dxa"/>
            <w:vAlign w:val="bottom"/>
            <w:gridSpan w:val="2"/>
          </w:tcPr>
          <w:p>
            <w:pPr>
              <w:spacing w:after="0"/>
              <w:rPr>
                <w:sz w:val="20"/>
                <w:szCs w:val="20"/>
                <w:color w:val="auto"/>
              </w:rPr>
            </w:pPr>
            <w:r>
              <w:rPr>
                <w:rFonts w:ascii="Arial" w:cs="Arial" w:eastAsia="Arial" w:hAnsi="Arial"/>
                <w:sz w:val="13"/>
                <w:szCs w:val="13"/>
                <w:b w:val="1"/>
                <w:bCs w:val="1"/>
                <w:color w:val="auto"/>
              </w:rPr>
              <w:t>Plan category</w:t>
            </w:r>
          </w:p>
        </w:tc>
        <w:tc>
          <w:tcPr>
            <w:tcW w:w="2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w:t>
            </w:r>
          </w:p>
        </w:tc>
        <w:tc>
          <w:tcPr>
            <w:tcW w:w="300" w:type="dxa"/>
            <w:vAlign w:val="bottom"/>
          </w:tcPr>
          <w:p>
            <w:pPr>
              <w:spacing w:after="0"/>
              <w:rPr>
                <w:sz w:val="13"/>
                <w:szCs w:val="13"/>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6"/>
              </w:rPr>
              <w:t>(b)</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360" w:type="dxa"/>
            <w:vAlign w:val="bottom"/>
          </w:tcPr>
          <w:p>
            <w:pPr>
              <w:spacing w:after="0"/>
              <w:rPr>
                <w:sz w:val="13"/>
                <w:szCs w:val="13"/>
                <w:color w:val="auto"/>
              </w:rPr>
            </w:pPr>
          </w:p>
        </w:tc>
      </w:tr>
      <w:tr>
        <w:trPr>
          <w:trHeight w:val="221"/>
        </w:trPr>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0"/>
              </w:rPr>
              <w:t xml:space="preserve">Equity compensation plans approved by security holders </w:t>
            </w:r>
            <w:r>
              <w:rPr>
                <w:rFonts w:ascii="Arial" w:cs="Arial" w:eastAsia="Arial" w:hAnsi="Arial"/>
                <w:sz w:val="15"/>
                <w:szCs w:val="15"/>
                <w:color w:val="auto"/>
                <w:w w:val="90"/>
              </w:rPr>
              <w:t>(1)</w:t>
            </w:r>
          </w:p>
        </w:tc>
        <w:tc>
          <w:tcPr>
            <w:tcW w:w="14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2,728,621</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1,014,685</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4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8"/>
        </w:trPr>
        <w:tc>
          <w:tcPr>
            <w:tcW w:w="4440" w:type="dxa"/>
            <w:vAlign w:val="bottom"/>
            <w:gridSpan w:val="2"/>
          </w:tcPr>
          <w:p>
            <w:pPr>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5"/>
                <w:szCs w:val="15"/>
                <w:color w:val="auto"/>
              </w:rPr>
              <w:t>(2)</w:t>
            </w:r>
          </w:p>
        </w:tc>
        <w:tc>
          <w:tcPr>
            <w:tcW w:w="2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330,865</w:t>
            </w:r>
          </w:p>
        </w:tc>
        <w:tc>
          <w:tcPr>
            <w:tcW w:w="360" w:type="dxa"/>
            <w:vAlign w:val="bottom"/>
          </w:tcPr>
          <w:p>
            <w:pPr>
              <w:spacing w:after="0"/>
              <w:rPr>
                <w:sz w:val="19"/>
                <w:szCs w:val="19"/>
                <w:color w:val="auto"/>
              </w:rPr>
            </w:pPr>
          </w:p>
        </w:tc>
      </w:tr>
      <w:tr>
        <w:trPr>
          <w:trHeight w:val="222"/>
        </w:trPr>
        <w:tc>
          <w:tcPr>
            <w:tcW w:w="44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2,728,621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1,345,550</w:t>
            </w:r>
          </w:p>
        </w:tc>
        <w:tc>
          <w:tcPr>
            <w:tcW w:w="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60" w:right="160" w:hanging="378"/>
        <w:spacing w:after="0" w:line="298"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fiscal 2015, we had one stockholder-approved equity compensation plan, our 2006 Incentive Compensation Plan (as amended, the “2006 Plan”). Pursuant to the 2006 Plan, at January 30, 2016, we had a total of 7,250,000 shares authorized for issuance, of which 1,014,685 shares were available for future issuances. The 2006 Plan will expire on July 31, 2016. The Company is submitting a new equity compensation plan to shareholders for approval in August 2016, see “</w:t>
      </w:r>
      <w:r>
        <w:rPr>
          <w:rFonts w:ascii="Arial" w:cs="Arial" w:eastAsia="Arial" w:hAnsi="Arial"/>
          <w:sz w:val="16"/>
          <w:szCs w:val="16"/>
          <w:i w:val="1"/>
          <w:iCs w:val="1"/>
          <w:color w:val="auto"/>
        </w:rPr>
        <w:t>Proposal 2 – To Approve the Adoption of the Company’s 2016 Incentive Compensation Plan”</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760" w:right="240"/>
        <w:spacing w:after="0" w:line="276" w:lineRule="auto"/>
        <w:rPr>
          <w:rFonts w:ascii="Arial" w:cs="Arial" w:eastAsia="Arial" w:hAnsi="Arial"/>
          <w:sz w:val="16"/>
          <w:szCs w:val="16"/>
          <w:color w:val="auto"/>
        </w:rPr>
      </w:pPr>
      <w:r>
        <w:rPr>
          <w:rFonts w:ascii="Arial" w:cs="Arial" w:eastAsia="Arial" w:hAnsi="Arial"/>
          <w:sz w:val="17"/>
          <w:szCs w:val="17"/>
          <w:color w:val="auto"/>
        </w:rPr>
        <w:t>Of the 2,728,621 options outstanding at January 30, 2016, approximately 1,181,168 options are subject to the achievement of performance targets. At January 30, 2016, the performance targets were not deemed probable and as a result no compensation expense was recognized as of January 30, 2016. See “</w:t>
      </w:r>
      <w:r>
        <w:rPr>
          <w:rFonts w:ascii="Arial" w:cs="Arial" w:eastAsia="Arial" w:hAnsi="Arial"/>
          <w:sz w:val="17"/>
          <w:szCs w:val="17"/>
          <w:i w:val="1"/>
          <w:iCs w:val="1"/>
          <w:color w:val="auto"/>
        </w:rPr>
        <w:t>Compensation Discussion and Analysis- Compensation Components, Fiscal 2015 Compensation Decisions, 2016 Annual</w:t>
      </w:r>
      <w:r>
        <w:rPr>
          <w:rFonts w:ascii="Arial" w:cs="Arial" w:eastAsia="Arial" w:hAnsi="Arial"/>
          <w:sz w:val="17"/>
          <w:szCs w:val="17"/>
          <w:color w:val="auto"/>
        </w:rPr>
        <w:t xml:space="preserve"> </w:t>
      </w:r>
      <w:r>
        <w:rPr>
          <w:rFonts w:ascii="Arial" w:cs="Arial" w:eastAsia="Arial" w:hAnsi="Arial"/>
          <w:sz w:val="17"/>
          <w:szCs w:val="17"/>
          <w:i w:val="1"/>
          <w:iCs w:val="1"/>
          <w:color w:val="auto"/>
        </w:rPr>
        <w:t>Incentive Plan Targets and Long-Term Incentive Programs</w:t>
      </w:r>
      <w:r>
        <w:rPr>
          <w:rFonts w:ascii="Arial" w:cs="Arial" w:eastAsia="Arial" w:hAnsi="Arial"/>
          <w:sz w:val="17"/>
          <w:szCs w:val="17"/>
          <w:color w:val="auto"/>
        </w:rPr>
        <w:t>” for more information.</w:t>
      </w:r>
    </w:p>
    <w:p>
      <w:pPr>
        <w:spacing w:after="0" w:line="65" w:lineRule="exact"/>
        <w:rPr>
          <w:rFonts w:ascii="Arial" w:cs="Arial" w:eastAsia="Arial" w:hAnsi="Arial"/>
          <w:sz w:val="16"/>
          <w:szCs w:val="16"/>
          <w:color w:val="auto"/>
        </w:rPr>
      </w:pPr>
    </w:p>
    <w:p>
      <w:pPr>
        <w:jc w:val="both"/>
        <w:ind w:left="760" w:right="160" w:hanging="378"/>
        <w:spacing w:after="0" w:line="260"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our Non-Employee Director Compensation Plan, we have 500,000 shares authorized for stock issuances in lieu of cash director fees, of which 330,865 shares remained available at January 30, 2016. For a description of our Non-Employee Director Compensation Plan, see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760" w:right="140" w:hanging="378"/>
        <w:spacing w:after="0" w:line="255"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2006 Plan includes a limitation of 4,250,000 shares which may be issued in the form of restricted stock, deferred stock, performance awards or other stock-based awards. At January 30, 2016, 910,279 shares remained subject to this limitation.</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6"/>
          <w:szCs w:val="16"/>
          <w:color w:val="auto"/>
        </w:rPr>
        <w:t>Subsequent to the end of fiscal 2015, in April 2016, we granted 427,874 time-based restricted stock units in connection with our 2016-2017 LTIP.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 (JMI)</w:t>
      </w:r>
    </w:p>
    <w:p>
      <w:pPr>
        <w:spacing w:after="0" w:line="11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Seymour Holtzman, the Executive Chairman of the Company’s Board of Directors (the “Board”), is the chairman, chief executive officer and president and, together with his wife, indirectly, the majority shareholder of Jewelcor Management, Inc. (“JMI”).</w:t>
      </w:r>
    </w:p>
    <w:p>
      <w:pPr>
        <w:spacing w:after="0" w:line="1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Pursuant to an Employment and Chairman Compensation Agreement entered into on August 7, 2014, Mr. Holtzman serves as both an employee of the Company, reporting to the Board, and, in his capacity as Chairman of the Board, as Executive Chairman, with the duties of the Chairman of the Board as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2017. As compensation for the employment services, Mr. Holtzman receives an annual base salary of $24,000 and, as compensation for his services as Executive Chairman, Mr. Holtzman receives annual compensation of $372,750.</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Prior to the execution of the Employment and Chairman Compensation Agreement, from October 1999 through August 7, 2014, Mr. Holtzman was primarily compensated by the Company for his services pursuant to this Consulting Agreement between JMI and the Company (the “Consulting Agreement”). Under the terms of the Consulting Agreement at the time of its termination, Mr. Holtzman was entitled to receive annual consulting compensation of $372,750 and a salary of $24,000.</w:t>
      </w:r>
    </w:p>
    <w:p>
      <w:pPr>
        <w:spacing w:after="0" w:line="8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Due to Mr. Holtzman’s role as our Executive Chairman of the Board of Directors and the relevance of the services he provides on a consulting basis, our Compensation Committee had the primary responsibility for reviewing and approving the Employment and Chairman Compensation Agreement dated August 7, 2014.</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all other related party transactions, the review and approval of such transactions is the responsibility of our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w:t>
      </w:r>
    </w:p>
    <w:p>
      <w:pPr>
        <w:ind w:right="140"/>
        <w:spacing w:after="0" w:line="319" w:lineRule="auto"/>
        <w:rPr>
          <w:sz w:val="20"/>
          <w:szCs w:val="20"/>
          <w:color w:val="auto"/>
        </w:rPr>
      </w:pPr>
      <w:r>
        <w:rPr>
          <w:rFonts w:ascii="Arial" w:cs="Arial" w:eastAsia="Arial" w:hAnsi="Arial"/>
          <w:sz w:val="16"/>
          <w:szCs w:val="16"/>
          <w:color w:val="auto"/>
        </w:rPr>
        <w:t>file. Based solely upon a review of Forms 3, 4 and 5 and amendments thereto furnished to us by our officers and directors during fiscal 2015, we believe that the Reporting Persons complied with all applicable Section 16(a) reporting requirements and that all required reports were filed in a timely manner.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THE ADOPTION OF THE COMPANY’S 2016 INCENTIVE COMPENSATION PLAN.</w:t>
      </w:r>
    </w:p>
    <w:p>
      <w:pPr>
        <w:spacing w:after="0" w:line="34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May 12, 2016, upon the recommendation of the Compensation Committee, the Board approved the Destination XL Group, Inc. 2016 Incentive Compensation Plan (the “2016 Plan”), subject to further edits and final approval of the Compensation Committee and, thereafter, stockholder approval at the 2016 Annual Meeting. The Compensation Committee approved the 2016 Plan on June 2, 2016. The 2016 Plan is intended to replace our 2006 Incentive Compensation Plan (the “2006 Plan”) which, in accordance with its terms, will terminate on July 31, 2016. All outstanding stock awards granted under the 2006 Plan will remain subject to the terms of the 2006 Plan following approval of the 2016 Plan. The 2016 Plan will not be effective unless and until it receives stockholder approval. Currently, the 2006 Plan is the only shareholder-approved plan under which equity-based compensation may be awarded to our executives, directors and other employees. If the 2016 Plan is not approved, the Company will have no ability to grant equity-based compensation to its employees and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2016 Plan</w:t>
      </w:r>
    </w:p>
    <w:p>
      <w:pPr>
        <w:spacing w:after="0" w:line="1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Board believes that the approval of the 2016 Plan is critical for our pay-for-performance compensation programs. Since fiscal 2010, our primary use of equity has been tied to awards earned pursuant to our long-term incentive program. Except for equity issued in connection with a few executive-level new hires and promotions, we have not issued any discretionary equity awards since fiscal 2010. We have used our long-term incentive program as a means for us to provide a source of equity to attract, retain and reward our management team. In fiscal 2012, we began a strategic shift in our business, transitioning our store base as well as our e-commerce business from our Casual Male XL platform to our DXL concept. Over the past 4 years, we have aggressively opened DXL stores while closing Casual Male XL and Rochester Clothing stores. In order for our transition to the DXL concept to be effective, our management team needs to achieve the long-term goals that we establish while at the same time being incentivized by sharing in the creation of stockholder value. The 2016 Plan will provide us the ability to give participants important incentive and reward opportunities designed to enhance our profitable growth.</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2016 Plan is needed in order for our directors to satisfy the requirement that our directors elect 50% of their annual retainer in the form of equity, consistent with our minimum stock ownership requirements. Pursuant to Nasdaq rules, shares under our Non-Employee Director Compensation Plan are not available for this purpose, therefore we can only issue directors equity in compliance with our 50% requirement from a stockholder-approved plan. If the 2016 Plan is not approved, we will not be able to issue equity to directors as required and our directors will not be able to maintain their stock ownership requirements. Directors are still able to voluntarily elect to receive stock in lieu of cash for director fees pursuant to our Non-Employee Director Compensation Plan.</w:t>
      </w:r>
    </w:p>
    <w:p>
      <w:pPr>
        <w:spacing w:after="0" w:line="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also requesting stockholder approval of the material terms of the 2016 Plan, including performance measures and individual award limits, in order to allow awards granted under the 2016 Plan that are intended to be “performance-based compensation” under Section 162(m) of the Internal Revenue Code (“Section 162(m)”) to be exempt from tax deduction limits of Section 162(m) if the requirements of Section 162(m) are met. While approval of the performance goals is required for compensation to qualify as “performance-based” compensation under Section 162(m), not all 2016 Plan awards or other compensation approved by the Compensation Committee are intended to qualify, or if intended to qualify, will qualify as “performance-based” compensation or otherwise be deductible. Nothing in this proposal precludes us from making any payment or granting awards that do not qualify for tax deductibility under Section 162(m).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of 2016 Plan with Stockholders’ Interests</w:t>
      </w:r>
    </w:p>
    <w:p>
      <w:pPr>
        <w:spacing w:after="0" w:line="2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spacing w:after="0" w:line="68" w:lineRule="exact"/>
        <w:rPr>
          <w:sz w:val="20"/>
          <w:szCs w:val="20"/>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Minimum vesting period of one year from the date of grant covering 95% of all awards;</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discounted stock options;</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evergreen provision;</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automatic grants or reload;</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liberal share recycling;</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stated clawback provision;</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“Double-trigger” vesting for change in control; and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7" w:name="page38"/>
    <w:bookmarkEnd w:id="37"/>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tax gross-ups.</w:t>
      </w:r>
    </w:p>
    <w:p>
      <w:pPr>
        <w:spacing w:after="0" w:line="222"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In addition, our incentive-based compensation program is broad-based and not heavily concentrated to only our CEO and/or NEOs. Based on the grant activity for the past three fiscal years, equity awards granted to our CEO represented approximately 13% of all equity awards granted under our 2006 Plan. Our NEOs, including our CEO, represented approximately 25% of the total equity awards granted under our 2006 Plan over the past three fiscal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Share Reserve</w:t>
      </w:r>
    </w:p>
    <w:p>
      <w:pPr>
        <w:spacing w:after="0" w:line="119"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The proposed share reserve under the 2016 Plan is 5,200,000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w:t>
      </w:r>
    </w:p>
    <w:p>
      <w:pPr>
        <w:spacing w:after="0" w:line="15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addition to the initial share reserve of 5,200,000 shares, (i) shares remaining available under our 2006 Plan as of the effective date of the 2016 Plan and (ii) shares subject to outstanding awards granted under the 2006 Plan that terminate, expire or are cancelled for any reason without having been exercised or paid after the effective date of the 2016 Plan, will be added to and become available for issuance under the 2016 Plan, with options and stock appreciation rights being added back on a 1:1 basis and full-value awards being added back on a 1:1.9 basis. As of April 30, 2016, there were 569,221 shares remaining available for issuance under our 2006 Plan, 2,728,621 outstanding stock options and 1,781,728 outstanding full-value awards.</w:t>
      </w:r>
    </w:p>
    <w:p>
      <w:pPr>
        <w:spacing w:after="0" w:line="16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When determining the number of shares to be available under the 2016 Plan, the Compensation Committee considered a number of factors, including input from a shareholder advisory firm, our historical three-year-usage of shares (burn rate), the estimated number of shares needed for future awards under our long-term incentive program, the dilutive effect of the 2016 Plan to our stockholders and the continuing need to reward and retain our employees during our continuing transition to the DXL concept. Based on our current equity award practices, the Compensation Committee estimated that the authorized shares under the 2016 Plan are likely to be sufficient to provide us with an opportunity to grant equity for approximately three to five years, depending on the achievement, if any, of performance targets under our long-term incentive plans. This is only an estimate and circumstances, such as stock price, achieved performance targets and the allocation mix of equity/cash awards, could cause the share reserve to be used more quickly or more slowly.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80" w:type="dxa"/>
            <w:vAlign w:val="bottom"/>
          </w:tcPr>
          <w:p>
            <w:pPr>
              <w:spacing w:after="0"/>
              <w:rPr>
                <w:sz w:val="20"/>
                <w:szCs w:val="20"/>
                <w:color w:val="auto"/>
              </w:rPr>
            </w:pPr>
            <w:r>
              <w:rPr>
                <w:rFonts w:ascii="Arial" w:cs="Arial" w:eastAsia="Arial" w:hAnsi="Arial"/>
                <w:sz w:val="18"/>
                <w:szCs w:val="18"/>
                <w:b w:val="1"/>
                <w:bCs w:val="1"/>
                <w:color w:val="auto"/>
              </w:rPr>
              <w:t>Key Data</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5"/>
        </w:trPr>
        <w:tc>
          <w:tcPr>
            <w:tcW w:w="6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420" w:type="dxa"/>
            <w:vAlign w:val="bottom"/>
          </w:tcPr>
          <w:p>
            <w:pPr>
              <w:spacing w:after="0"/>
              <w:rPr>
                <w:sz w:val="18"/>
                <w:szCs w:val="18"/>
                <w:color w:val="auto"/>
              </w:rPr>
            </w:pPr>
          </w:p>
        </w:tc>
      </w:tr>
      <w:tr>
        <w:trPr>
          <w:trHeight w:val="214"/>
        </w:trPr>
        <w:tc>
          <w:tcPr>
            <w:tcW w:w="6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Weighted Average</w:t>
            </w:r>
          </w:p>
        </w:tc>
      </w:tr>
      <w:tr>
        <w:trPr>
          <w:trHeight w:val="228"/>
        </w:trPr>
        <w:tc>
          <w:tcPr>
            <w:tcW w:w="6980" w:type="dxa"/>
            <w:vAlign w:val="bottom"/>
          </w:tcPr>
          <w:p>
            <w:pPr>
              <w:spacing w:after="0"/>
              <w:rPr>
                <w:sz w:val="19"/>
                <w:szCs w:val="19"/>
                <w:color w:val="auto"/>
              </w:rPr>
            </w:pPr>
          </w:p>
        </w:tc>
        <w:tc>
          <w:tcPr>
            <w:tcW w:w="1600" w:type="dxa"/>
            <w:vAlign w:val="bottom"/>
          </w:tcPr>
          <w:p>
            <w:pPr>
              <w:jc w:val="right"/>
              <w:ind w:right="491"/>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Remaining Term</w:t>
            </w:r>
          </w:p>
        </w:tc>
      </w:tr>
      <w:tr>
        <w:trPr>
          <w:trHeight w:val="222"/>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shares requested under 2016 Plan</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5,200,000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r>
      <w:tr>
        <w:trPr>
          <w:trHeight w:val="228"/>
        </w:trPr>
        <w:tc>
          <w:tcPr>
            <w:tcW w:w="6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Shares as of April 30, 2016:</w:t>
            </w: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8"/>
        </w:trPr>
        <w:tc>
          <w:tcPr>
            <w:tcW w:w="6980" w:type="dxa"/>
            <w:vAlign w:val="bottom"/>
          </w:tcPr>
          <w:p>
            <w:pPr>
              <w:spacing w:after="0"/>
              <w:rPr>
                <w:sz w:val="20"/>
                <w:szCs w:val="20"/>
                <w:color w:val="auto"/>
              </w:rPr>
            </w:pPr>
            <w:r>
              <w:rPr>
                <w:rFonts w:ascii="Arial" w:cs="Arial" w:eastAsia="Arial" w:hAnsi="Arial"/>
                <w:sz w:val="18"/>
                <w:szCs w:val="18"/>
                <w:b w:val="1"/>
                <w:bCs w:val="1"/>
                <w:color w:val="auto"/>
              </w:rPr>
              <w:t>2006 Plan</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 remaining available for issuance</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569,221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8"/>
        </w:trPr>
        <w:tc>
          <w:tcPr>
            <w:tcW w:w="6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Time-based stock options outstanding</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1,547,453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7"/>
        </w:trPr>
        <w:tc>
          <w:tcPr>
            <w:tcW w:w="69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Performance-based stock options outstanding</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1,181,168</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r>
      <w:tr>
        <w:trPr>
          <w:trHeight w:val="221"/>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stock options outstanding</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2,728,621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ind w:left="880"/>
              <w:spacing w:after="0"/>
              <w:rPr>
                <w:sz w:val="20"/>
                <w:szCs w:val="20"/>
                <w:color w:val="auto"/>
              </w:rPr>
            </w:pPr>
            <w:r>
              <w:rPr>
                <w:rFonts w:ascii="Arial" w:cs="Arial" w:eastAsia="Arial" w:hAnsi="Arial"/>
                <w:sz w:val="18"/>
                <w:szCs w:val="18"/>
                <w:color w:val="auto"/>
                <w:w w:val="88"/>
              </w:rPr>
              <w:t>6.7 yrs.</w:t>
            </w:r>
          </w:p>
        </w:tc>
      </w:tr>
      <w:tr>
        <w:trPr>
          <w:trHeight w:val="228"/>
        </w:trPr>
        <w:tc>
          <w:tcPr>
            <w:tcW w:w="6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Time-based unvested full value awards outstanding</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840,646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7"/>
        </w:trPr>
        <w:tc>
          <w:tcPr>
            <w:tcW w:w="69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Performance-based unvested full value awards outstanding</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941,082</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r>
      <w:tr>
        <w:trPr>
          <w:trHeight w:val="221"/>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full value awards outstanding</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1,781,728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8"/>
        </w:trPr>
        <w:tc>
          <w:tcPr>
            <w:tcW w:w="6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Non-Employee Director Compensation Plan </w:t>
            </w:r>
            <w:r>
              <w:rPr>
                <w:rFonts w:ascii="Arial" w:cs="Arial" w:eastAsia="Arial" w:hAnsi="Arial"/>
                <w:sz w:val="15"/>
                <w:szCs w:val="15"/>
                <w:b w:val="1"/>
                <w:bCs w:val="1"/>
                <w:color w:val="auto"/>
              </w:rPr>
              <w:t>(1)</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327,382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5220" w:type="dxa"/>
            <w:vAlign w:val="bottom"/>
            <w:shd w:val="clear" w:color="auto" w:fill="CFF0FC"/>
          </w:tcPr>
          <w:p>
            <w:pPr>
              <w:spacing w:after="0"/>
              <w:rPr>
                <w:sz w:val="19"/>
                <w:szCs w:val="19"/>
                <w:color w:val="auto"/>
              </w:rPr>
            </w:pPr>
          </w:p>
        </w:tc>
      </w:tr>
      <w:tr>
        <w:trPr>
          <w:trHeight w:val="227"/>
        </w:trPr>
        <w:tc>
          <w:tcPr>
            <w:tcW w:w="6200" w:type="dxa"/>
            <w:vAlign w:val="bottom"/>
          </w:tcPr>
          <w:p>
            <w:pPr>
              <w:ind w:left="120"/>
              <w:spacing w:after="0"/>
              <w:rPr>
                <w:sz w:val="20"/>
                <w:szCs w:val="20"/>
                <w:color w:val="auto"/>
              </w:rPr>
            </w:pPr>
            <w:r>
              <w:rPr>
                <w:rFonts w:ascii="Arial" w:cs="Arial" w:eastAsia="Arial" w:hAnsi="Arial"/>
                <w:sz w:val="18"/>
                <w:szCs w:val="18"/>
                <w:color w:val="auto"/>
              </w:rPr>
              <w:t>Burn Rate - 3 yr. average</w:t>
            </w:r>
          </w:p>
        </w:tc>
        <w:tc>
          <w:tcPr>
            <w:tcW w:w="5220" w:type="dxa"/>
            <w:vAlign w:val="bottom"/>
          </w:tcPr>
          <w:p>
            <w:pPr>
              <w:jc w:val="right"/>
              <w:ind w:right="2611"/>
              <w:spacing w:after="0"/>
              <w:rPr>
                <w:sz w:val="20"/>
                <w:szCs w:val="20"/>
                <w:color w:val="auto"/>
              </w:rPr>
            </w:pPr>
            <w:r>
              <w:rPr>
                <w:rFonts w:ascii="Arial" w:cs="Arial" w:eastAsia="Arial" w:hAnsi="Arial"/>
                <w:sz w:val="18"/>
                <w:szCs w:val="18"/>
                <w:color w:val="auto"/>
              </w:rPr>
              <w:t>3.3%</w:t>
            </w:r>
          </w:p>
        </w:tc>
      </w:tr>
      <w:tr>
        <w:trPr>
          <w:trHeight w:val="228"/>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Dilution - assuming all shares are granted on a 1:1 basis</w:t>
            </w:r>
          </w:p>
        </w:tc>
        <w:tc>
          <w:tcPr>
            <w:tcW w:w="5220" w:type="dxa"/>
            <w:vAlign w:val="bottom"/>
            <w:shd w:val="clear" w:color="auto" w:fill="CFF0FC"/>
          </w:tcPr>
          <w:p>
            <w:pPr>
              <w:jc w:val="right"/>
              <w:ind w:right="2611"/>
              <w:spacing w:after="0"/>
              <w:rPr>
                <w:sz w:val="20"/>
                <w:szCs w:val="20"/>
                <w:color w:val="auto"/>
              </w:rPr>
            </w:pPr>
            <w:r>
              <w:rPr>
                <w:rFonts w:ascii="Arial" w:cs="Arial" w:eastAsia="Arial" w:hAnsi="Arial"/>
                <w:sz w:val="18"/>
                <w:szCs w:val="18"/>
                <w:color w:val="auto"/>
              </w:rPr>
              <w:t>8.7%</w:t>
            </w:r>
          </w:p>
        </w:tc>
      </w:tr>
      <w:tr>
        <w:trPr>
          <w:trHeight w:val="227"/>
        </w:trPr>
        <w:tc>
          <w:tcPr>
            <w:tcW w:w="6200" w:type="dxa"/>
            <w:vAlign w:val="bottom"/>
          </w:tcPr>
          <w:p>
            <w:pPr>
              <w:ind w:left="120"/>
              <w:spacing w:after="0"/>
              <w:rPr>
                <w:sz w:val="20"/>
                <w:szCs w:val="20"/>
                <w:color w:val="auto"/>
              </w:rPr>
            </w:pPr>
            <w:r>
              <w:rPr>
                <w:rFonts w:ascii="Arial" w:cs="Arial" w:eastAsia="Arial" w:hAnsi="Arial"/>
                <w:sz w:val="18"/>
                <w:szCs w:val="18"/>
                <w:color w:val="auto"/>
              </w:rPr>
              <w:t>Overhang</w:t>
            </w:r>
          </w:p>
        </w:tc>
        <w:tc>
          <w:tcPr>
            <w:tcW w:w="5220" w:type="dxa"/>
            <w:vAlign w:val="bottom"/>
          </w:tcPr>
          <w:p>
            <w:pPr>
              <w:jc w:val="right"/>
              <w:ind w:right="2611"/>
              <w:spacing w:after="0"/>
              <w:rPr>
                <w:sz w:val="20"/>
                <w:szCs w:val="20"/>
                <w:color w:val="auto"/>
              </w:rPr>
            </w:pPr>
            <w:r>
              <w:rPr>
                <w:rFonts w:ascii="Arial" w:cs="Arial" w:eastAsia="Arial" w:hAnsi="Arial"/>
                <w:sz w:val="18"/>
                <w:szCs w:val="18"/>
                <w:color w:val="auto"/>
              </w:rPr>
              <w:t>15.0%</w:t>
            </w:r>
          </w:p>
        </w:tc>
      </w:tr>
    </w:tbl>
    <w:p>
      <w:pPr>
        <w:spacing w:after="0" w:line="201" w:lineRule="exact"/>
        <w:rPr>
          <w:sz w:val="20"/>
          <w:szCs w:val="20"/>
          <w:color w:val="auto"/>
        </w:rPr>
      </w:pPr>
    </w:p>
    <w:p>
      <w:pPr>
        <w:ind w:left="5620" w:right="5020" w:hanging="5238"/>
        <w:spacing w:after="0" w:line="565" w:lineRule="auto"/>
        <w:tabs>
          <w:tab w:leader="none" w:pos="7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shares available for stock issuances in lieu of cash for director fees.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24765</wp:posOffset>
            </wp:positionV>
            <wp:extent cx="728980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Burn Rate</w:t>
      </w:r>
    </w:p>
    <w:p>
      <w:pPr>
        <w:spacing w:after="0" w:line="2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sets forth information regarding annual time-based awards granted and performance-based awards earned for each of the past three fiscal years and the average three-year burn rate. The burn rate has been calculated by dividing (i) the sum of (A) all time-based stock options and adjusted full-value awards and (B) performance-based options and adjusted full-value awards earned by (ii) the basic weighted average number of shares of common stock outstanding at the end of such fiscal year. Consistent with ISS methodology, all full-value awards have been multiplied by two (“adjusted full-value award”) for purposes of calculating burn rate.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Performance-Based</w:t>
            </w:r>
          </w:p>
        </w:tc>
        <w:tc>
          <w:tcPr>
            <w:tcW w:w="5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Time-Based Full</w:t>
            </w:r>
          </w:p>
        </w:tc>
        <w:tc>
          <w:tcPr>
            <w:tcW w:w="19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Performance-Based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Time-Based Option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Option Awards</w:t>
            </w:r>
          </w:p>
        </w:tc>
        <w:tc>
          <w:tcPr>
            <w:tcW w:w="5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Value Awards</w:t>
            </w:r>
          </w:p>
        </w:tc>
        <w:tc>
          <w:tcPr>
            <w:tcW w:w="194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Full Value Awards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Common 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8"/>
        </w:trPr>
        <w:tc>
          <w:tcPr>
            <w:tcW w:w="128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88"/>
              </w:rPr>
              <w:t>Fiscal Year</w:t>
            </w: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Awards Granted</w:t>
            </w:r>
          </w:p>
        </w:tc>
        <w:tc>
          <w:tcPr>
            <w:tcW w:w="12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Earned</w:t>
            </w:r>
          </w:p>
        </w:tc>
        <w:tc>
          <w:tcPr>
            <w:tcW w:w="52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Granted</w:t>
            </w:r>
          </w:p>
        </w:tc>
        <w:tc>
          <w:tcPr>
            <w:tcW w:w="1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Earned</w:t>
            </w:r>
          </w:p>
        </w:tc>
        <w:tc>
          <w:tcPr>
            <w:tcW w:w="52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(Basic)</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Burn Rate (1)</w:t>
            </w:r>
          </w:p>
        </w:tc>
        <w:tc>
          <w:tcPr>
            <w:tcW w:w="220" w:type="dxa"/>
            <w:vAlign w:val="bottom"/>
            <w:tcBorders>
              <w:bottom w:val="single" w:sz="8" w:color="CFF0FC"/>
            </w:tcBorders>
          </w:tcPr>
          <w:p>
            <w:pPr>
              <w:spacing w:after="0"/>
              <w:rPr>
                <w:sz w:val="19"/>
                <w:szCs w:val="19"/>
                <w:color w:val="auto"/>
              </w:rPr>
            </w:pPr>
          </w:p>
        </w:tc>
      </w:tr>
      <w:tr>
        <w:trPr>
          <w:trHeight w:val="222"/>
        </w:trPr>
        <w:tc>
          <w:tcPr>
            <w:tcW w:w="12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84"/>
              </w:rPr>
              <w:t>2015</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44,121</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97,237</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49,088,578</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0.5%</w:t>
            </w:r>
          </w:p>
        </w:tc>
      </w:tr>
      <w:tr>
        <w:trPr>
          <w:trHeight w:val="228"/>
        </w:trPr>
        <w:tc>
          <w:tcPr>
            <w:tcW w:w="1280" w:type="dxa"/>
            <w:vAlign w:val="bottom"/>
          </w:tcPr>
          <w:p>
            <w:pPr>
              <w:jc w:val="center"/>
              <w:ind w:left="51"/>
              <w:spacing w:after="0"/>
              <w:rPr>
                <w:sz w:val="20"/>
                <w:szCs w:val="20"/>
                <w:color w:val="auto"/>
              </w:rPr>
            </w:pPr>
            <w:r>
              <w:rPr>
                <w:rFonts w:ascii="Arial" w:cs="Arial" w:eastAsia="Arial" w:hAnsi="Arial"/>
                <w:sz w:val="18"/>
                <w:szCs w:val="18"/>
                <w:color w:val="auto"/>
                <w:w w:val="84"/>
              </w:rPr>
              <w:t>2014</w:t>
            </w:r>
          </w:p>
        </w:tc>
        <w:tc>
          <w:tcPr>
            <w:tcW w:w="1640" w:type="dxa"/>
            <w:vAlign w:val="bottom"/>
          </w:tcPr>
          <w:p>
            <w:pPr>
              <w:jc w:val="right"/>
              <w:spacing w:after="0"/>
              <w:rPr>
                <w:sz w:val="20"/>
                <w:szCs w:val="20"/>
                <w:color w:val="auto"/>
              </w:rPr>
            </w:pPr>
            <w:r>
              <w:rPr>
                <w:rFonts w:ascii="Arial" w:cs="Arial" w:eastAsia="Arial" w:hAnsi="Arial"/>
                <w:sz w:val="18"/>
                <w:szCs w:val="18"/>
                <w:color w:val="auto"/>
              </w:rPr>
              <w:t>85,198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25,382</w:t>
            </w: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71,321</w:t>
            </w:r>
          </w:p>
        </w:tc>
        <w:tc>
          <w:tcPr>
            <w:tcW w:w="120" w:type="dxa"/>
            <w:vAlign w:val="bottom"/>
          </w:tcPr>
          <w:p>
            <w:pPr>
              <w:spacing w:after="0"/>
              <w:rPr>
                <w:sz w:val="19"/>
                <w:szCs w:val="19"/>
                <w:color w:val="auto"/>
              </w:rPr>
            </w:pPr>
          </w:p>
        </w:tc>
        <w:tc>
          <w:tcPr>
            <w:tcW w:w="1940" w:type="dxa"/>
            <w:vAlign w:val="bottom"/>
            <w:gridSpan w:val="2"/>
          </w:tcPr>
          <w:p>
            <w:pPr>
              <w:jc w:val="right"/>
              <w:ind w:right="60"/>
              <w:spacing w:after="0" w:line="227" w:lineRule="exact"/>
              <w:rPr>
                <w:sz w:val="20"/>
                <w:szCs w:val="20"/>
                <w:color w:val="auto"/>
              </w:rPr>
            </w:pPr>
            <w:r>
              <w:rPr>
                <w:rFonts w:ascii="Arial" w:cs="Arial" w:eastAsia="Arial" w:hAnsi="Arial"/>
                <w:sz w:val="17"/>
                <w:szCs w:val="17"/>
                <w:color w:val="auto"/>
              </w:rPr>
              <w:t xml:space="preserve">20,850   </w:t>
            </w:r>
            <w:r>
              <w:rPr>
                <w:rFonts w:ascii="Arial" w:cs="Arial" w:eastAsia="Arial" w:hAnsi="Arial"/>
                <w:sz w:val="26"/>
                <w:szCs w:val="26"/>
                <w:color w:val="auto"/>
                <w:vertAlign w:val="subscript"/>
              </w:rPr>
              <w:t>(2 )</w:t>
            </w:r>
          </w:p>
        </w:tc>
        <w:tc>
          <w:tcPr>
            <w:tcW w:w="1580" w:type="dxa"/>
            <w:vAlign w:val="bottom"/>
          </w:tcPr>
          <w:p>
            <w:pPr>
              <w:jc w:val="right"/>
              <w:spacing w:after="0"/>
              <w:rPr>
                <w:sz w:val="20"/>
                <w:szCs w:val="20"/>
                <w:color w:val="auto"/>
              </w:rPr>
            </w:pPr>
            <w:r>
              <w:rPr>
                <w:rFonts w:ascii="Arial" w:cs="Arial" w:eastAsia="Arial" w:hAnsi="Arial"/>
                <w:sz w:val="18"/>
                <w:szCs w:val="18"/>
                <w:color w:val="auto"/>
              </w:rPr>
              <w:t>48,740,123</w:t>
            </w:r>
          </w:p>
        </w:tc>
        <w:tc>
          <w:tcPr>
            <w:tcW w:w="100" w:type="dxa"/>
            <w:vAlign w:val="bottom"/>
          </w:tcPr>
          <w:p>
            <w:pPr>
              <w:spacing w:after="0"/>
              <w:rPr>
                <w:sz w:val="19"/>
                <w:szCs w:val="19"/>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0.6%</w:t>
            </w:r>
          </w:p>
        </w:tc>
      </w:tr>
      <w:tr>
        <w:trPr>
          <w:trHeight w:val="228"/>
        </w:trPr>
        <w:tc>
          <w:tcPr>
            <w:tcW w:w="12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84"/>
              </w:rPr>
              <w:t>2013</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1,676,809</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1,327,649</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48,472,761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8.9%</w:t>
            </w:r>
          </w:p>
        </w:tc>
      </w:tr>
      <w:tr>
        <w:trPr>
          <w:trHeight w:val="231"/>
        </w:trPr>
        <w:tc>
          <w:tcPr>
            <w:tcW w:w="1280" w:type="dxa"/>
            <w:vAlign w:val="bottom"/>
          </w:tcPr>
          <w:p>
            <w:pPr>
              <w:spacing w:after="0"/>
              <w:rPr>
                <w:sz w:val="20"/>
                <w:szCs w:val="20"/>
                <w:color w:val="auto"/>
              </w:rPr>
            </w:pPr>
            <w:r>
              <w:rPr>
                <w:rFonts w:ascii="Arial" w:cs="Arial" w:eastAsia="Arial" w:hAnsi="Arial"/>
                <w:sz w:val="18"/>
                <w:szCs w:val="18"/>
                <w:b w:val="1"/>
                <w:bCs w:val="1"/>
                <w:color w:val="auto"/>
              </w:rPr>
              <w:t>3-yr average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b w:val="1"/>
                <w:bCs w:val="1"/>
                <w:color w:val="auto"/>
              </w:rPr>
              <w:t>3.3%</w:t>
            </w:r>
          </w:p>
        </w:tc>
      </w:tr>
    </w:tbl>
    <w:p>
      <w:pPr>
        <w:spacing w:after="0" w:line="197" w:lineRule="exact"/>
        <w:rPr>
          <w:sz w:val="20"/>
          <w:szCs w:val="20"/>
          <w:color w:val="auto"/>
        </w:rPr>
      </w:pPr>
    </w:p>
    <w:p>
      <w:pPr>
        <w:ind w:left="760" w:right="100" w:hanging="378"/>
        <w:spacing w:after="0" w:line="252"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burn rate is calculated as [time-based options and adjusted full-value awards + performance options and adjusted full-value awards earned]/basic weighted average common shares outstanding. Consistent with ISS methodology, all full-value awards in the table above have been multiplied by two for purposes of calculating burn rate. The one-year burn rate for fiscal 2013 of 8.9% was due to the grant of awards issued pursuant to our 2013-2016 LTIP, which covered a four-year period, where all grants were made at the commencement of the 2013-2016 LTIP (or on the date a participant became eligible to participant), with the last tranche of time-based awards not vesting until January 28, 2017. With the exception of equity paid to directors, grants to new hires or in connection with promotions, we did not grant any equity compensation to our employees in fiscal 2014 or fiscal 2015.</w:t>
      </w:r>
    </w:p>
    <w:p>
      <w:pPr>
        <w:spacing w:after="0" w:line="193" w:lineRule="exact"/>
        <w:rPr>
          <w:rFonts w:ascii="Arial" w:cs="Arial" w:eastAsia="Arial" w:hAnsi="Arial"/>
          <w:sz w:val="18"/>
          <w:szCs w:val="18"/>
          <w:color w:val="auto"/>
        </w:rPr>
      </w:pPr>
    </w:p>
    <w:p>
      <w:pPr>
        <w:ind w:left="760" w:right="120" w:hanging="378"/>
        <w:spacing w:after="0" w:line="282" w:lineRule="auto"/>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pro-rata portion of awards that vested for associates who were terminated without cause during fiscal 2014. If an associate was terminated without cause prior to fiscal 2014, there was no pro-rata vesting under the 2013-2016 Plan and an associate who was terminated without cause after fiscal 2015 is entitled to a pro-rata vesting of the award only if the performance targets are achieved.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Board recognizes the impact of dilution on our stockholders, and in evaluating the 2016 Plan sought to balance this concern with our ability to provide our management team with equity compensation as part of our long-term growth initiatives which, in time, should provide an increase in stockholder value. If approved, the issuance of the additional shares to be reserved under the 2016 Plan would dilute the holdings of stockholders by a maximum of 8.7%, assuming that all shares granted from the 2016 Plan were options or stock appreciation rights. However, with the Company’s expectation that it will continue to grant full-value awards as part of its compensation programs, it is expected that at least half of the awards granted from the 2016 Plan will be full-value awards, in the form of restricted stock or restricted stock units. Therefore we expect dilution will be less than 8.7% given the fact that each full-value award will count as 1.9 shares against the share reserve under the 2016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gridSpan w:val="2"/>
          </w:tcPr>
          <w:p>
            <w:pPr>
              <w:spacing w:after="0"/>
              <w:rPr>
                <w:sz w:val="20"/>
                <w:szCs w:val="20"/>
                <w:color w:val="auto"/>
              </w:rPr>
            </w:pPr>
            <w:r>
              <w:rPr>
                <w:rFonts w:ascii="Arial" w:cs="Arial" w:eastAsia="Arial" w:hAnsi="Arial"/>
                <w:sz w:val="18"/>
                <w:szCs w:val="18"/>
                <w:color w:val="auto"/>
              </w:rPr>
              <w:t>Potential Voting Power Dilution</w:t>
            </w:r>
          </w:p>
        </w:tc>
        <w:tc>
          <w:tcPr>
            <w:tcW w:w="1620" w:type="dxa"/>
            <w:vAlign w:val="bottom"/>
            <w:gridSpan w:val="2"/>
          </w:tcPr>
          <w:p>
            <w:pPr>
              <w:ind w:left="520"/>
              <w:spacing w:after="0"/>
              <w:rPr>
                <w:sz w:val="20"/>
                <w:szCs w:val="20"/>
                <w:color w:val="auto"/>
              </w:rPr>
            </w:pPr>
            <w:r>
              <w:rPr>
                <w:rFonts w:ascii="Arial" w:cs="Arial" w:eastAsia="Arial" w:hAnsi="Arial"/>
                <w:sz w:val="18"/>
                <w:szCs w:val="18"/>
                <w:color w:val="auto"/>
              </w:rPr>
              <w:t>Shares</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 xml:space="preserve">Dilution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2300" w:type="dxa"/>
            <w:vAlign w:val="bottom"/>
            <w:tcBorders>
              <w:top w:val="single" w:sz="8" w:color="auto"/>
              <w:bottom w:val="single" w:sz="8" w:color="CFF0FC"/>
            </w:tcBorders>
          </w:tcPr>
          <w:p>
            <w:pPr>
              <w:spacing w:after="0" w:line="20" w:lineRule="exact"/>
              <w:rPr>
                <w:sz w:val="1"/>
                <w:szCs w:val="1"/>
                <w:color w:val="auto"/>
              </w:rPr>
            </w:pPr>
          </w:p>
        </w:tc>
        <w:tc>
          <w:tcPr>
            <w:tcW w:w="584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As of April 30, 2016:</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40" w:type="dxa"/>
            <w:vAlign w:val="bottom"/>
            <w:gridSpan w:val="2"/>
          </w:tcPr>
          <w:p>
            <w:pPr>
              <w:spacing w:after="0"/>
              <w:rPr>
                <w:sz w:val="20"/>
                <w:szCs w:val="20"/>
                <w:color w:val="auto"/>
              </w:rPr>
            </w:pPr>
            <w:r>
              <w:rPr>
                <w:rFonts w:ascii="Arial" w:cs="Arial" w:eastAsia="Arial" w:hAnsi="Arial"/>
                <w:sz w:val="18"/>
                <w:szCs w:val="18"/>
                <w:color w:val="auto"/>
              </w:rPr>
              <w:t xml:space="preserve">Stock options outstanding </w:t>
            </w:r>
            <w:r>
              <w:rPr>
                <w:rFonts w:ascii="Arial" w:cs="Arial" w:eastAsia="Arial" w:hAnsi="Arial"/>
                <w:sz w:val="15"/>
                <w:szCs w:val="15"/>
                <w:color w:val="auto"/>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2,728,621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stock and restricted stock units outstanding</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463,251</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40" w:type="dxa"/>
            <w:vAlign w:val="bottom"/>
            <w:gridSpan w:val="2"/>
          </w:tcPr>
          <w:p>
            <w:pPr>
              <w:spacing w:after="0"/>
              <w:rPr>
                <w:sz w:val="20"/>
                <w:szCs w:val="20"/>
                <w:color w:val="auto"/>
              </w:rPr>
            </w:pPr>
            <w:r>
              <w:rPr>
                <w:rFonts w:ascii="Arial" w:cs="Arial" w:eastAsia="Arial" w:hAnsi="Arial"/>
                <w:sz w:val="18"/>
                <w:szCs w:val="18"/>
                <w:color w:val="auto"/>
              </w:rPr>
              <w:t xml:space="preserve">Shares available under 2006 Plan </w:t>
            </w:r>
            <w:r>
              <w:rPr>
                <w:rFonts w:ascii="Arial" w:cs="Arial" w:eastAsia="Arial" w:hAnsi="Arial"/>
                <w:sz w:val="15"/>
                <w:szCs w:val="15"/>
                <w:color w:val="auto"/>
              </w:rPr>
              <w:t>(3)</w:t>
            </w:r>
          </w:p>
        </w:tc>
        <w:tc>
          <w:tcPr>
            <w:tcW w:w="1520" w:type="dxa"/>
            <w:vAlign w:val="bottom"/>
          </w:tcPr>
          <w:p>
            <w:pPr>
              <w:jc w:val="right"/>
              <w:spacing w:after="0"/>
              <w:rPr>
                <w:sz w:val="20"/>
                <w:szCs w:val="20"/>
                <w:color w:val="auto"/>
              </w:rPr>
            </w:pPr>
            <w:r>
              <w:rPr>
                <w:rFonts w:ascii="Arial" w:cs="Arial" w:eastAsia="Arial" w:hAnsi="Arial"/>
                <w:sz w:val="18"/>
                <w:szCs w:val="18"/>
                <w:color w:val="auto"/>
              </w:rPr>
              <w:t>569,221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00" w:type="dxa"/>
            <w:vAlign w:val="bottom"/>
            <w:shd w:val="clear" w:color="auto" w:fill="CFF0FC"/>
          </w:tcPr>
          <w:p>
            <w:pPr>
              <w:spacing w:after="0"/>
              <w:rPr>
                <w:sz w:val="19"/>
                <w:szCs w:val="19"/>
                <w:color w:val="auto"/>
              </w:rPr>
            </w:pPr>
          </w:p>
        </w:tc>
        <w:tc>
          <w:tcPr>
            <w:tcW w:w="58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New shares requested under 2016 Plan </w:t>
            </w:r>
            <w:r>
              <w:rPr>
                <w:rFonts w:ascii="Arial" w:cs="Arial" w:eastAsia="Arial" w:hAnsi="Arial"/>
                <w:sz w:val="15"/>
                <w:szCs w:val="15"/>
                <w:b w:val="1"/>
                <w:bCs w:val="1"/>
                <w:color w:val="auto"/>
              </w:rPr>
              <w:t>(4)</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5,200,000</w:t>
            </w:r>
          </w:p>
        </w:tc>
        <w:tc>
          <w:tcPr>
            <w:tcW w:w="1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equity dilution including new shares (overhang)</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8,961,093</w:t>
            </w:r>
          </w:p>
        </w:tc>
        <w:tc>
          <w:tcPr>
            <w:tcW w:w="10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Common shares outstanding at April 30, 2016 </w:t>
            </w:r>
            <w:r>
              <w:rPr>
                <w:rFonts w:ascii="Arial" w:cs="Arial" w:eastAsia="Arial" w:hAnsi="Arial"/>
                <w:sz w:val="15"/>
                <w:szCs w:val="15"/>
                <w:color w:val="auto"/>
              </w:rPr>
              <w:t>(5)</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50,832,129</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60" w:right="240" w:hanging="378"/>
        <w:spacing w:after="0" w:line="256"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Dilution for the new shares requested under the 2016 Plan is calculated as the new shares requested divided by the sum of common shares outstanding, outstanding stock options, deferred stock and restricted stock units outstanding and shares remaining available for issuance under the 2006 Plan and the new shares requested. Overhang is calculated as the total equity dilution per the table divided by the sum of common shares outstanding, outstanding stock options, deferred stock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9" w:name="page40"/>
    <w:bookmarkEnd w:id="39"/>
    <w:p>
      <w:pPr>
        <w:ind w:left="760"/>
        <w:spacing w:after="0"/>
        <w:rPr>
          <w:sz w:val="20"/>
          <w:szCs w:val="20"/>
          <w:color w:val="auto"/>
        </w:rPr>
      </w:pPr>
      <w:r>
        <w:rPr>
          <w:rFonts w:ascii="Arial" w:cs="Arial" w:eastAsia="Arial" w:hAnsi="Arial"/>
          <w:sz w:val="18"/>
          <w:szCs w:val="18"/>
          <w:color w:val="auto"/>
        </w:rPr>
        <w:t>restricted stock units outstanding and shares remaining available for issuance under the 2006 Plan and the new shares requested.</w:t>
      </w:r>
    </w:p>
    <w:p>
      <w:pPr>
        <w:spacing w:after="0" w:line="222" w:lineRule="exact"/>
        <w:rPr>
          <w:sz w:val="20"/>
          <w:szCs w:val="20"/>
          <w:color w:val="auto"/>
        </w:rPr>
      </w:pPr>
    </w:p>
    <w:p>
      <w:pPr>
        <w:ind w:left="760" w:hanging="378"/>
        <w:spacing w:after="0" w:line="256"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1,181,168 performance-based stock options granted in connection with the 2013-2016 LTIP. Based on our financial results for fiscal 2015, we currently believe that the performance targets are not achievable. If the performance targets are not met, all performance-based stock options will be cancelled. If the 2016 Plan is approved by stockholders, at cancellation, these shares will roll into the share reserve for the 2016 Plan on a 1:1 basis.</w:t>
      </w:r>
    </w:p>
    <w:p>
      <w:pPr>
        <w:spacing w:after="0" w:line="188" w:lineRule="exact"/>
        <w:rPr>
          <w:rFonts w:ascii="Arial" w:cs="Arial" w:eastAsia="Arial" w:hAnsi="Arial"/>
          <w:sz w:val="18"/>
          <w:szCs w:val="18"/>
          <w:color w:val="auto"/>
        </w:rPr>
      </w:pPr>
    </w:p>
    <w:p>
      <w:pPr>
        <w:ind w:left="760" w:right="300" w:hanging="378"/>
        <w:spacing w:after="0" w:line="271"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 the shares available for grant at April 30, 2016, only 464,815 shares remain available under the sub-limit for full-value awards under the 2006 Plan.</w:t>
      </w:r>
    </w:p>
    <w:p>
      <w:pPr>
        <w:spacing w:after="0" w:line="175" w:lineRule="exact"/>
        <w:rPr>
          <w:rFonts w:ascii="Arial" w:cs="Arial" w:eastAsia="Arial" w:hAnsi="Arial"/>
          <w:sz w:val="18"/>
          <w:szCs w:val="18"/>
          <w:color w:val="auto"/>
        </w:rPr>
      </w:pPr>
    </w:p>
    <w:p>
      <w:pPr>
        <w:ind w:left="760" w:right="120" w:hanging="378"/>
        <w:spacing w:after="0" w:line="260"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dilution calculation assumes all shares granted from the 2016 Plan are options or stock appreciation rights. However, each grant of a full-value award utilizes 1.9 shares from the share reserve. Therefore, if all shares granted from the 2016 Plan were full-value awards only 2.7 million actual shares would affect dilution to our stockholders, with a dilution effect of only 4.8%.</w:t>
      </w:r>
    </w:p>
    <w:p>
      <w:pPr>
        <w:spacing w:after="0" w:line="184" w:lineRule="exact"/>
        <w:rPr>
          <w:rFonts w:ascii="Arial" w:cs="Arial" w:eastAsia="Arial" w:hAnsi="Arial"/>
          <w:sz w:val="18"/>
          <w:szCs w:val="18"/>
          <w:color w:val="auto"/>
        </w:rPr>
      </w:pPr>
    </w:p>
    <w:p>
      <w:pPr>
        <w:ind w:left="760" w:right="80" w:hanging="378"/>
        <w:spacing w:after="0" w:line="260"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common shares outstanding at April 30, 2016 already include 1,318,477 shares of unvested restricted stock outstanding. The dilutive impact of these shares occurred on grant date, as they are considered part of our outstanding common stock, eligible to vote and receive dividends. As such, they have no future dilutive impact.</w:t>
      </w:r>
    </w:p>
    <w:p>
      <w:pPr>
        <w:spacing w:after="0" w:line="399" w:lineRule="exact"/>
        <w:rPr>
          <w:sz w:val="20"/>
          <w:szCs w:val="20"/>
          <w:color w:val="auto"/>
        </w:rPr>
      </w:pPr>
    </w:p>
    <w:p>
      <w:pPr>
        <w:jc w:val="both"/>
        <w:ind w:left="760" w:right="20"/>
        <w:spacing w:after="0" w:line="307" w:lineRule="auto"/>
        <w:rPr>
          <w:sz w:val="20"/>
          <w:szCs w:val="20"/>
          <w:color w:val="auto"/>
        </w:rPr>
      </w:pPr>
      <w:r>
        <w:rPr>
          <w:rFonts w:ascii="Arial" w:cs="Arial" w:eastAsia="Arial" w:hAnsi="Arial"/>
          <w:sz w:val="16"/>
          <w:szCs w:val="16"/>
          <w:color w:val="auto"/>
        </w:rPr>
        <w:t>Included in the 1,318,477 shares are 941,082 shares of performance-based restricted shares granted in connection with the 2013-2016 LTIP. Similar to the performance-based stock options, if the performance targets are not met, all performance-based restricted shares will be cancelled. If the 2016 Plan is approved by stockholders, at cancellation, these shares will roll into the share reserve for the 2016 Plan on a 1.9:1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Incentive Compensation Plan</w:t>
      </w:r>
    </w:p>
    <w:p>
      <w:pPr>
        <w:spacing w:after="0" w:line="226" w:lineRule="exact"/>
        <w:rPr>
          <w:sz w:val="20"/>
          <w:szCs w:val="20"/>
          <w:color w:val="auto"/>
        </w:rPr>
      </w:pPr>
    </w:p>
    <w:p>
      <w:pPr>
        <w:jc w:val="both"/>
        <w:ind w:right="220"/>
        <w:spacing w:after="0" w:line="260" w:lineRule="auto"/>
        <w:rPr>
          <w:sz w:val="20"/>
          <w:szCs w:val="20"/>
          <w:color w:val="auto"/>
        </w:rPr>
      </w:pPr>
      <w:r>
        <w:rPr>
          <w:rFonts w:ascii="Arial" w:cs="Arial" w:eastAsia="Arial" w:hAnsi="Arial"/>
          <w:sz w:val="18"/>
          <w:szCs w:val="18"/>
          <w:color w:val="auto"/>
        </w:rPr>
        <w:t xml:space="preserve">The following is a summary of the 2016 Plan and is qualified in its entirety by reference to the full text of the 2016 Plan,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The summary of the 2016 Plan may not contain all the information that is important to you and you should read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carefully before you decide how to vote.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2016 Plan is to:</w:t>
      </w:r>
    </w:p>
    <w:p>
      <w:pPr>
        <w:spacing w:after="0" w:line="18" w:lineRule="exact"/>
        <w:rPr>
          <w:sz w:val="20"/>
          <w:szCs w:val="20"/>
          <w:color w:val="auto"/>
        </w:rPr>
      </w:pPr>
    </w:p>
    <w:p>
      <w:pPr>
        <w:ind w:left="820" w:right="180" w:hanging="384"/>
        <w:spacing w:after="0" w:line="230" w:lineRule="auto"/>
        <w:tabs>
          <w:tab w:leader="none" w:pos="820" w:val="left"/>
        </w:tabs>
        <w:numPr>
          <w:ilvl w:val="0"/>
          <w:numId w:val="46"/>
        </w:numPr>
        <w:rPr>
          <w:rFonts w:ascii="Arial" w:cs="Arial" w:eastAsia="Arial" w:hAnsi="Arial"/>
          <w:sz w:val="21"/>
          <w:szCs w:val="21"/>
          <w:color w:val="auto"/>
        </w:rPr>
      </w:pPr>
      <w:r>
        <w:rPr>
          <w:rFonts w:ascii="Arial" w:cs="Arial" w:eastAsia="Arial" w:hAnsi="Arial"/>
          <w:sz w:val="18"/>
          <w:szCs w:val="18"/>
          <w:color w:val="auto"/>
        </w:rPr>
        <w:t>assist the Company in attracting, motivating, retaining and rewarding high-quality executives and other employees, officers, directors, consultants and other persons who provide services to the Company;</w:t>
      </w:r>
    </w:p>
    <w:p>
      <w:pPr>
        <w:ind w:left="820" w:right="120" w:hanging="384"/>
        <w:spacing w:after="0" w:line="229" w:lineRule="auto"/>
        <w:tabs>
          <w:tab w:leader="none" w:pos="820" w:val="left"/>
        </w:tabs>
        <w:numPr>
          <w:ilvl w:val="0"/>
          <w:numId w:val="46"/>
        </w:numPr>
        <w:rPr>
          <w:rFonts w:ascii="Arial" w:cs="Arial" w:eastAsia="Arial" w:hAnsi="Arial"/>
          <w:sz w:val="21"/>
          <w:szCs w:val="21"/>
          <w:color w:val="auto"/>
        </w:rPr>
      </w:pPr>
      <w:r>
        <w:rPr>
          <w:rFonts w:ascii="Arial" w:cs="Arial" w:eastAsia="Arial" w:hAnsi="Arial"/>
          <w:sz w:val="18"/>
          <w:szCs w:val="18"/>
          <w:color w:val="auto"/>
        </w:rPr>
        <w:t>enable persons participating in the plan to acquire or increase a proprietary interest in the Company in order to strengthen the mutuality of interests between them and our stockholders, and</w:t>
      </w:r>
    </w:p>
    <w:p>
      <w:pPr>
        <w:ind w:left="820" w:hanging="384"/>
        <w:spacing w:after="0" w:line="223" w:lineRule="auto"/>
        <w:tabs>
          <w:tab w:leader="none" w:pos="820" w:val="left"/>
        </w:tabs>
        <w:numPr>
          <w:ilvl w:val="0"/>
          <w:numId w:val="46"/>
        </w:numPr>
        <w:rPr>
          <w:rFonts w:ascii="Arial" w:cs="Arial" w:eastAsia="Arial" w:hAnsi="Arial"/>
          <w:sz w:val="20"/>
          <w:szCs w:val="20"/>
          <w:color w:val="auto"/>
        </w:rPr>
      </w:pPr>
      <w:r>
        <w:rPr>
          <w:rFonts w:ascii="Arial" w:cs="Arial" w:eastAsia="Arial" w:hAnsi="Arial"/>
          <w:sz w:val="17"/>
          <w:szCs w:val="17"/>
          <w:color w:val="auto"/>
        </w:rPr>
        <w:t>provide persons participating in the plan with performance incentives to expend their maximum efforts in the creation of stockholder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2016 Plan will replace the 2006 Plan, which will expire July 31,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Eligible Participants</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persons eligible to receive awards under the 2016 Plan are our officers, directors, employees and consultants or other persons who provide services to our Company. An employee on leave of absence may be considered as still employed for purposes of eligibility for participation in the 2016 Plan. As of the date of this proxy statement, there are approximately 174 employees, 8 non-employee directors as well as service providers of the Company and its affiliates who would be eligible to participate in the 2016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11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Board has selected the Compensation Committee (the “Committee”) to administer the 2016 Plan. All Committee members must be "non-employee directors" as defined by Rule 16b-3 of the Exchange Act, "outside directors" for purposes of Section 162(m) and independent as defined by Nasdaq or any other national securities exchange on which any securities of the Company may be listed for trading in the future. The Board may in its discretion elect to administer 2016 Plan, provided that it is administered only by those directors who are independent within the meaning of the 2016 Plan. Subject to the terms of the 2016 Plan, the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0" w:name="page41"/>
    <w:bookmarkEnd w:id="40"/>
    <w:p>
      <w:pPr>
        <w:ind w:right="180"/>
        <w:spacing w:after="0" w:line="271" w:lineRule="auto"/>
        <w:rPr>
          <w:sz w:val="20"/>
          <w:szCs w:val="20"/>
          <w:color w:val="auto"/>
        </w:rPr>
      </w:pPr>
      <w:r>
        <w:rPr>
          <w:rFonts w:ascii="Arial" w:cs="Arial" w:eastAsia="Arial" w:hAnsi="Arial"/>
          <w:sz w:val="18"/>
          <w:szCs w:val="18"/>
          <w:color w:val="auto"/>
        </w:rPr>
        <w:t>prescribe forms of award agreements, interpret and specify rules and regulations for administration of the 2016 Plan and make all other determinations that it deems necessary or advisable for the administration of the 2016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Available for Awards</w:t>
      </w:r>
    </w:p>
    <w:p>
      <w:pPr>
        <w:spacing w:after="0" w:line="11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shares to be delivered under the 2016 Plan may be authorized but unissued shares of our common stock or treasury shares. Under the 2016 Plan, the total number of shares of common stock that may be subject to the granting of awards under the 2016 Plan shall be equal to the sum of (i) 5,200,000 shares, plus (ii) the number of shares available for issuance but not granted under the 2006 Plan and (iii) the number of shares subject to outstanding awards under the 2006 Plan that are forfeited, expire or terminate without delivery of shares. The closing price of a share of our common stock on the Nasdaq on June 17, 2016 was $4.78.</w:t>
      </w:r>
    </w:p>
    <w:p>
      <w:pPr>
        <w:spacing w:after="0" w:line="3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Shares issued in respect of any full-value award, such as restricted stock and restricted stock units, are counted against the share limit as 1.9 shares of stock for every 1 share issued. Each share issued in respect of stock options or stock appreciation rights (SARs) are counted against the share limit as 1 share of stock for every 1 share issued.</w:t>
      </w:r>
    </w:p>
    <w:p>
      <w:pPr>
        <w:spacing w:after="0" w:line="7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Any shares of stock that again become available for award under the 2016 Plan shall be added as 1 share for every 1 share of stock options or SARs and 1.9 shares for every 1 full-value award.</w:t>
      </w:r>
    </w:p>
    <w:p>
      <w:pPr>
        <w:spacing w:after="0" w:line="17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Awards that are settled or exercised through the payment of shares are counted in full against the number of shares available for award under the 2016 Plan, regardless of the number of shares actually issued upon settlement or exercise of any such award.</w:t>
      </w:r>
    </w:p>
    <w:p>
      <w:pPr>
        <w:spacing w:after="0" w:line="17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spacing w:after="0" w:line="17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maximum aggregate number of shares that may be delivered under the 2016 Plan as a result of the exercise of ISOs is 5,200,000 shares. In addition, a director who is not an employee or a consultant may not be granted an award that has a fair value, as of the date of grant, which exceeds $300,000 in the aggregate.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Per-Person Limitations</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2016 Plan imposes individual limitations on the amount of certain awards in part to comply with Section 162(m). Under these limitations, in any fiscal year during any part of which the 2016 Plan is in effect, the number of options, SARs and performance shares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2016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Equitable Adjustments</w:t>
      </w:r>
    </w:p>
    <w:p>
      <w:pPr>
        <w:spacing w:after="0" w:line="22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Minimum Vesting Requirement</w:t>
      </w:r>
    </w:p>
    <w:p>
      <w:pPr>
        <w:spacing w:after="0" w:line="22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Except with respect to 5% of the shares of common stock available for awards under the 2016 Plan, no award will become exercisable or otherwise non-forfeitable unless such award has been outstanding for a minimum period of one year from its date of grant. The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41" w:name="page42"/>
    <w:bookmarkEnd w:id="41"/>
    <w:p>
      <w:pPr>
        <w:ind w:right="20"/>
        <w:spacing w:after="0" w:line="271" w:lineRule="auto"/>
        <w:rPr>
          <w:sz w:val="20"/>
          <w:szCs w:val="20"/>
          <w:color w:val="auto"/>
        </w:rPr>
      </w:pPr>
      <w:r>
        <w:rPr>
          <w:rFonts w:ascii="Arial" w:cs="Arial" w:eastAsia="Arial" w:hAnsi="Arial"/>
          <w:sz w:val="18"/>
          <w:szCs w:val="18"/>
          <w:color w:val="auto"/>
        </w:rPr>
        <w:t>Committee reserves the general discretion to accelerate vesting of awards in connection with the participant’s death, disability, termination of service or change in 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2016 Plan authorizes grants of a variety of awards described below. The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Committee, consistent with the provisions of the 2016 Plan. Each award agreement shall either be (i) in writing in a form approved by the Committee and executed by the Company by an officer duly authorized to act on its behalf, or (ii) an electronic notice in a form approved by the Committee and recorded by the Company in an electronic recordkeeping system used for tracking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Committee is authorized to grant stock options, including both incentive stock options (“ISOs”) (which must comply with provisions of Section 422 of the Internal Revenue Code and can result in potentially favorable 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Committee, but must not be less than the fair market value of a share of common stock on the date of grant. The grant price of an SAR is determined by the Committee, but must not be less than (i) the fair market value of a share of common stock on the date of grant or, (ii) in the case of an SAR issued in tandem with an ISO, the exercise price of the option granted in tandem with the SAR.</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purposes of the 2016 Plan, the term "fair market value" means the fair market value of the common stock, awards or other property as determined by the Committee or under procedures established by the Committee. Unless otherwise determined by the Committee or our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spacing w:after="0" w:line="19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aggregate fair market value with respect to ISOs granted under the Plan that become exercisable for the participant during any calendar year shall not exceed $100,000.</w:t>
      </w:r>
    </w:p>
    <w:p>
      <w:pPr>
        <w:spacing w:after="0" w:line="17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2016 Plan also permits net share settlement of nonqualified stock options. Methods of exercise and settlement and other terms of the SARs are determined by the Committee.</w:t>
      </w:r>
    </w:p>
    <w:p>
      <w:pPr>
        <w:spacing w:after="0" w:line="14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Other than in connection with standard adjustments (as set forth in Section 11(c) of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w:t>
      </w:r>
    </w:p>
    <w:p>
      <w:pPr>
        <w:spacing w:after="0" w:line="2" w:lineRule="exact"/>
        <w:rPr>
          <w:sz w:val="20"/>
          <w:szCs w:val="20"/>
          <w:color w:val="auto"/>
        </w:rPr>
      </w:pPr>
    </w:p>
    <w:p>
      <w:pPr>
        <w:ind w:right="20" w:firstLine="7"/>
        <w:spacing w:after="0" w:line="252" w:lineRule="auto"/>
        <w:tabs>
          <w:tab w:leader="none" w:pos="2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options or SARs with an exercise or grant price per share that is less than the exercise or grant price per share of the original option or SAR as applicable and (iii) the Committee shall not be permitted to take any other action with respect to an option or SAR that may be treated as a repricing, in each case, without approval of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22"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The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and has the right to receive dividends.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Deferred Awards</w:t>
      </w:r>
    </w:p>
    <w:p>
      <w:pPr>
        <w:spacing w:after="0" w:line="2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Committee is authorized to grant deferred awards, which include deferred stock and restricted stock units. An award of deferred stock or restricted stock units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restricted stock units carries no voting or dividend rights or other rights associated with share ownership, although dividend equivalents may be granted, as discussed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Stock and Awards in Lieu of Cash Obligations</w:t>
      </w:r>
    </w:p>
    <w:p>
      <w:pPr>
        <w:spacing w:after="0" w:line="222"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2016 Plan or other plans or compensatory arrangements, subject to such terms as the Committee may specify.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22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22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Committee. The amount of any performance awards to be distributed shall be conclusively determined by the Committee. Performance awards may be paid in a lump sum or in installments following the close of an applicable performance period, or, in accordance with procedures established by the Committee, on a deferred basis in a manner that does not violate the requirements of Section 409A of the Internal Revenue Code (“Section 409A”).</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us under Section 162(m). For purposes of Section 162(m), the term "covered employee" means our chief executive officer and the three highest compensated officers other than the chief executive and chief financial officers. If and to the extent required under Section 162(m), any power or authority relating to a performance award intended to qualify under Section 162(m) is to be exercised by the Committee, not our Board of Directors.</w:t>
      </w:r>
    </w:p>
    <w:p>
      <w:pPr>
        <w:spacing w:after="0" w:line="19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Subject to the requirements of the 2016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margins; (3) cash flow;</w:t>
      </w:r>
    </w:p>
    <w:p>
      <w:pPr>
        <w:spacing w:after="0" w:line="4" w:lineRule="exact"/>
        <w:rPr>
          <w:sz w:val="20"/>
          <w:szCs w:val="20"/>
          <w:color w:val="auto"/>
        </w:rPr>
      </w:pPr>
    </w:p>
    <w:p>
      <w:pPr>
        <w:ind w:right="60" w:firstLine="7"/>
        <w:spacing w:after="0" w:line="285" w:lineRule="auto"/>
        <w:tabs>
          <w:tab w:leader="none" w:pos="2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the Fair Market Value of a Share, and (15) any of the above goals determined on an absolute or relative basis or as compared to the performance of a published or special index deemed applicable by the Committee including, but not limited to, the Standard &amp; Poor's 500 Stock Index</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or a group of comparable companies. Except as otherwise specified by the Committee at the time the goals are set, the Committee shall exclude the impact of</w:t>
      </w:r>
    </w:p>
    <w:p>
      <w:pPr>
        <w:spacing w:after="0" w:line="43" w:lineRule="exact"/>
        <w:rPr>
          <w:sz w:val="20"/>
          <w:szCs w:val="20"/>
          <w:color w:val="auto"/>
        </w:rPr>
      </w:pPr>
    </w:p>
    <w:p>
      <w:pPr>
        <w:ind w:right="60" w:firstLine="7"/>
        <w:spacing w:after="0" w:line="279" w:lineRule="auto"/>
        <w:tabs>
          <w:tab w:leader="none" w:pos="213"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w:t>
      </w:r>
    </w:p>
    <w:p>
      <w:pPr>
        <w:ind w:firstLine="7"/>
        <w:spacing w:after="0" w:line="286" w:lineRule="auto"/>
        <w:tabs>
          <w:tab w:leader="none" w:pos="302"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item or event specified by the Committee at the time the goals are set. Achievement of performance goals in respect of performance awards shall be measured over a performance period no shorter than 12 months and no longer than 5 years, as further specified by the Committee.</w:t>
      </w:r>
    </w:p>
    <w:p>
      <w:pPr>
        <w:spacing w:after="0" w:line="19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granting performance awards, the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58"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2016 Plan. The Committee may, in its discretion, determine that the amount payable as a performance award will be reduced from the amount of any potential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Stock-Based Awards</w:t>
      </w:r>
    </w:p>
    <w:p>
      <w:pPr>
        <w:spacing w:after="0" w:line="22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Awards</w:t>
      </w:r>
    </w:p>
    <w:p>
      <w:pPr>
        <w:spacing w:after="0" w:line="18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2016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2016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Awards under the 2016 Plan are generally granted without a requirement that the participant pay consideration in the form of cash or property for the grant (as distinguished from the exercise), except to the extent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 on Repricing</w:t>
      </w:r>
    </w:p>
    <w:p>
      <w:pPr>
        <w:spacing w:after="0" w:line="222" w:lineRule="exact"/>
        <w:rPr>
          <w:sz w:val="20"/>
          <w:szCs w:val="20"/>
          <w:color w:val="auto"/>
        </w:rPr>
      </w:pPr>
    </w:p>
    <w:p>
      <w:pPr>
        <w:jc w:val="both"/>
        <w:ind w:right="240"/>
        <w:spacing w:after="0" w:line="260" w:lineRule="auto"/>
        <w:rPr>
          <w:sz w:val="20"/>
          <w:szCs w:val="20"/>
          <w:color w:val="auto"/>
        </w:rPr>
      </w:pPr>
      <w:r>
        <w:rPr>
          <w:rFonts w:ascii="Arial" w:cs="Arial" w:eastAsia="Arial" w:hAnsi="Arial"/>
          <w:sz w:val="18"/>
          <w:szCs w:val="18"/>
          <w:color w:val="auto"/>
        </w:rPr>
        <w:t>As described above under “Stock Options and SARs,” repricings of stock options and SARs is not permitted without stockholder approval. The Committee may, however, grant awards in exchange for other awards under the 2016 Plan or under other Company plans, or other rights to payment from us, and may grant awards in addition to such other awards, rights or other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w:t>
      </w:r>
    </w:p>
    <w:p>
      <w:pPr>
        <w:spacing w:after="0" w:line="22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Awards made under the 2016 Plan shall be subject to the applicable provisions of the Company’s clawback or recoupment policies as may be in effect from time to time. In addition,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Committee, then the participant’s awards under the 2016 Plan may be forfeited and the Committee may require the participant to pay to the Company all or any portion of the gain realized upon exercise or vesting of an award.</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Change in Control</w:t>
      </w:r>
    </w:p>
    <w:p>
      <w:pPr>
        <w:spacing w:after="0" w:line="12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event of a change of control, the 2016 Plan provides that Committee in effect immediately preceding the change in control may, in its sole discretion, accelerate the exercisability, the lapsing of restrictions or the expiration of deferral or vesting periods of any award upon a “double trigger,” i.e., upon certain terminations of employment without “justifiable cause” or for “good reason” within 6 months before or 18 months after a change in control. In addition, the Committee may provide in an award agreement that the performance goals relating to any performance based award will be deemed to have been met upon the occurrence of any "change in control," again upon a “double trigger” as described in this paragraph.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and Termination</w:t>
      </w:r>
    </w:p>
    <w:p>
      <w:pPr>
        <w:spacing w:after="0" w:line="12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Board may amend, alter, suspend, discontinue or terminate the 2016 Plan or the Committee's authority to grant awards without 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our Board may, in its discretion, seek stockholder approval in any circumstance in which it deems such approval advisable. Unless earlier terminated by our Board, the 2016 Plan will terminate at the earliest of (i) such time as no shares of common stock remain available for issuance under the 2016 Plan or (ii) the tenth anniversary of the effective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1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2016 Plan is not qualified under the provisions of Section 401(a) of the Internal Revenue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1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81" w:lineRule="exact"/>
        <w:rPr>
          <w:sz w:val="20"/>
          <w:szCs w:val="20"/>
          <w:color w:val="auto"/>
        </w:rPr>
      </w:pPr>
    </w:p>
    <w:p>
      <w:pPr>
        <w:jc w:val="both"/>
        <w:ind w:right="460"/>
        <w:spacing w:after="0" w:line="260"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2016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9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5" w:name="page46"/>
    <w:bookmarkEnd w:id="45"/>
    <w:p>
      <w:pPr>
        <w:ind w:right="20"/>
        <w:spacing w:after="0" w:line="298" w:lineRule="auto"/>
        <w:rPr>
          <w:sz w:val="20"/>
          <w:szCs w:val="20"/>
          <w:color w:val="auto"/>
        </w:rPr>
      </w:pPr>
      <w:r>
        <w:rPr>
          <w:rFonts w:ascii="Arial" w:cs="Arial" w:eastAsia="Arial" w:hAnsi="Arial"/>
          <w:sz w:val="16"/>
          <w:szCs w:val="16"/>
          <w:color w:val="auto"/>
        </w:rPr>
        <w:t>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89"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color w:val="auto"/>
        </w:rPr>
        <w:t>In general, there will be no federal income tax deduction allowed to us upon the grant or termination of SARs. Upon the exercise of a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w:t>
      </w:r>
    </w:p>
    <w:p>
      <w:pPr>
        <w:spacing w:after="0" w:line="11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recipient will not have income upon the grant of a restricted stock unit or a grant of deferred shares. Also, unlike restricted stock, the recipient is not permitted to make a Section 83(b) election. When the restricted stock unit vests or the deferral period lapses on deferred shares, the recipient will have income on the date payment is made or shares are issued, in an amount equal to the fair market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6" w:name="page47"/>
    <w:bookmarkEnd w:id="46"/>
    <w:p>
      <w:pPr>
        <w:ind w:right="380"/>
        <w:spacing w:after="0" w:line="260" w:lineRule="auto"/>
        <w:rPr>
          <w:sz w:val="20"/>
          <w:szCs w:val="20"/>
          <w:color w:val="auto"/>
        </w:rPr>
      </w:pPr>
      <w:r>
        <w:rPr>
          <w:rFonts w:ascii="Arial" w:cs="Arial" w:eastAsia="Arial" w:hAnsi="Arial"/>
          <w:sz w:val="18"/>
          <w:szCs w:val="18"/>
          <w:color w:val="auto"/>
        </w:rPr>
        <w:t>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 Limitations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Section 162(m)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We intend that Awards granted to participants under the 2016 Plan whom the Committee expects to be covered employees at the time a deduction arises in connection with such Awards, may, if and to the extent so intended by the Committee, be granted in a manner that will qualify as such “performance-based compensation,” so that such Awards would not be subject to the Section 162(m) deductibility cap of $1 million. However, the Committee may, in its discretion, grant Awards that are not intended to be exempt from the deduction limitations imposed by Section 162(m). In addition, future changes in Section 162(m) or the regulations thereunder may adversely affect our ability to ensure that options under the 2016 Plan will qualify as "performance-based compensation" that is fully deductible by us under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409A</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restricted stock units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22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Awards granted under the 2016 Plan are within the discretion of the Compensation Committee. As discussed above under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Long-Term Incentive Plans</w:t>
      </w:r>
      <w:r>
        <w:rPr>
          <w:rFonts w:ascii="Arial" w:cs="Arial" w:eastAsia="Arial" w:hAnsi="Arial"/>
          <w:sz w:val="18"/>
          <w:szCs w:val="18"/>
          <w:color w:val="auto"/>
        </w:rPr>
        <w:t>”, if performance targets under the 2016 Wrap-Around Plan and the 2016-2017 LTIP are achieved,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earned and approved by the Compensation Committee will be granted from the 2016 Plan, if approved by our stockholders. The number of shares that may be awarded under either of these LTIPs cannot currently be determined due to the fact that the number of shares will be based on the closing price of our common stock on the date of grant. However, assuming that we are able to achieve the performance targets, at threshold, we can estimate the amount of the award that each participant is entitled to receive.</w:t>
      </w:r>
    </w:p>
    <w:p>
      <w:pPr>
        <w:spacing w:after="0" w:line="191" w:lineRule="exact"/>
        <w:rPr>
          <w:sz w:val="20"/>
          <w:szCs w:val="20"/>
          <w:color w:val="auto"/>
        </w:rPr>
      </w:pPr>
    </w:p>
    <w:p>
      <w:pPr>
        <w:ind w:left="760" w:right="40" w:hanging="378"/>
        <w:spacing w:after="0" w:line="255"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Assuming that the performance targets for fiscal 2016 under the 2016 Wrap-Around Plan are achieved at the threshold level, the total award value of shares that would be granted would be approximately $2.4 million.</w:t>
      </w:r>
    </w:p>
    <w:p>
      <w:pPr>
        <w:spacing w:after="0" w:line="1" w:lineRule="exact"/>
        <w:rPr>
          <w:rFonts w:ascii="Arial" w:cs="Arial" w:eastAsia="Arial" w:hAnsi="Arial"/>
          <w:sz w:val="18"/>
          <w:szCs w:val="18"/>
          <w:color w:val="auto"/>
        </w:rPr>
      </w:pPr>
    </w:p>
    <w:p>
      <w:pPr>
        <w:ind w:left="760" w:right="140" w:hanging="378"/>
        <w:spacing w:after="0" w:line="25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Assuming that the performance targets for fiscal 2017 under the 2016-2017 LTIP are achieved at the threshold level, the total award value of shares that would be granted would be approximately $1.1 million.</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reflects the value of performance-based awards that could be earned by each Named Executive Officer, all of our current executive officers as a group (including Named Executive Officers) and all employees as a group (excluding executive officers). Directors do not participate in the Wrap-Around Plan or the 2016-2017 LTIP and therefore are not reflected in the table below. The benefits and amounts that may be awarded under the 2016 Plan beyond these two LTIPs cannot otherwise currently be determined.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6"/>
                <w:szCs w:val="16"/>
                <w:b w:val="1"/>
                <w:bCs w:val="1"/>
                <w:color w:val="auto"/>
              </w:rPr>
              <w:t>2016 Plan</w:t>
            </w:r>
          </w:p>
        </w:tc>
        <w:tc>
          <w:tcPr>
            <w:tcW w:w="1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3"/>
              </w:rPr>
              <w:t>Value of Potential Payout in</w:t>
            </w:r>
          </w:p>
        </w:tc>
        <w:tc>
          <w:tcPr>
            <w:tcW w:w="540" w:type="dxa"/>
            <w:vAlign w:val="bottom"/>
          </w:tcPr>
          <w:p>
            <w:pPr>
              <w:spacing w:after="0"/>
              <w:rPr>
                <w:sz w:val="12"/>
                <w:szCs w:val="12"/>
                <w:color w:val="auto"/>
              </w:rPr>
            </w:pPr>
          </w:p>
        </w:tc>
        <w:tc>
          <w:tcPr>
            <w:tcW w:w="20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3"/>
              </w:rPr>
              <w:t>Value of Potential Payout in</w:t>
            </w:r>
          </w:p>
        </w:tc>
        <w:tc>
          <w:tcPr>
            <w:tcW w:w="0" w:type="dxa"/>
            <w:vAlign w:val="bottom"/>
          </w:tcPr>
          <w:p>
            <w:pPr>
              <w:spacing w:after="0"/>
              <w:rPr>
                <w:sz w:val="1"/>
                <w:szCs w:val="1"/>
                <w:color w:val="auto"/>
              </w:rPr>
            </w:pPr>
          </w:p>
        </w:tc>
      </w:tr>
      <w:tr>
        <w:trPr>
          <w:trHeight w:val="147"/>
        </w:trPr>
        <w:tc>
          <w:tcPr>
            <w:tcW w:w="6540" w:type="dxa"/>
            <w:vAlign w:val="bottom"/>
          </w:tcPr>
          <w:p>
            <w:pPr>
              <w:spacing w:after="0"/>
              <w:rPr>
                <w:sz w:val="12"/>
                <w:szCs w:val="12"/>
                <w:color w:val="auto"/>
              </w:rPr>
            </w:pPr>
          </w:p>
        </w:tc>
        <w:tc>
          <w:tcPr>
            <w:tcW w:w="232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4"/>
              </w:rPr>
              <w:t>Restricted Shares under 2016 Wrap-</w:t>
            </w:r>
          </w:p>
        </w:tc>
        <w:tc>
          <w:tcPr>
            <w:tcW w:w="2560" w:type="dxa"/>
            <w:vAlign w:val="bottom"/>
            <w:gridSpan w:val="3"/>
          </w:tcPr>
          <w:p>
            <w:pPr>
              <w:jc w:val="center"/>
              <w:ind w:left="162"/>
              <w:spacing w:after="0" w:line="148" w:lineRule="exact"/>
              <w:rPr>
                <w:sz w:val="20"/>
                <w:szCs w:val="20"/>
                <w:color w:val="auto"/>
              </w:rPr>
            </w:pPr>
            <w:r>
              <w:rPr>
                <w:rFonts w:ascii="Arial" w:cs="Arial" w:eastAsia="Arial" w:hAnsi="Arial"/>
                <w:sz w:val="13"/>
                <w:szCs w:val="13"/>
                <w:b w:val="1"/>
                <w:bCs w:val="1"/>
                <w:color w:val="auto"/>
                <w:w w:val="92"/>
              </w:rPr>
              <w:t>Restricted Stock Units under 2016-</w:t>
            </w:r>
          </w:p>
        </w:tc>
        <w:tc>
          <w:tcPr>
            <w:tcW w:w="0" w:type="dxa"/>
            <w:vAlign w:val="bottom"/>
          </w:tcPr>
          <w:p>
            <w:pPr>
              <w:spacing w:after="0"/>
              <w:rPr>
                <w:sz w:val="1"/>
                <w:szCs w:val="1"/>
                <w:color w:val="auto"/>
              </w:rPr>
            </w:pPr>
          </w:p>
        </w:tc>
      </w:tr>
      <w:tr>
        <w:trPr>
          <w:trHeight w:val="173"/>
        </w:trPr>
        <w:tc>
          <w:tcPr>
            <w:tcW w:w="6540" w:type="dxa"/>
            <w:vAlign w:val="bottom"/>
            <w:vMerge w:val="restart"/>
          </w:tcPr>
          <w:p>
            <w:pPr>
              <w:spacing w:after="0"/>
              <w:rPr>
                <w:sz w:val="20"/>
                <w:szCs w:val="20"/>
                <w:color w:val="auto"/>
              </w:rPr>
            </w:pPr>
            <w:r>
              <w:rPr>
                <w:rFonts w:ascii="Arial" w:cs="Arial" w:eastAsia="Arial" w:hAnsi="Arial"/>
                <w:sz w:val="13"/>
                <w:szCs w:val="13"/>
                <w:b w:val="1"/>
                <w:bCs w:val="1"/>
                <w:color w:val="auto"/>
              </w:rPr>
              <w:t>Participant</w:t>
            </w:r>
          </w:p>
        </w:tc>
        <w:tc>
          <w:tcPr>
            <w:tcW w:w="200" w:type="dxa"/>
            <w:vAlign w:val="bottom"/>
          </w:tcPr>
          <w:p>
            <w:pPr>
              <w:spacing w:after="0"/>
              <w:rPr>
                <w:sz w:val="15"/>
                <w:szCs w:val="15"/>
                <w:color w:val="auto"/>
              </w:rPr>
            </w:pPr>
          </w:p>
        </w:tc>
        <w:tc>
          <w:tcPr>
            <w:tcW w:w="2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 xml:space="preserve">Around Plan </w:t>
            </w:r>
            <w:r>
              <w:rPr>
                <w:rFonts w:ascii="Arial" w:cs="Arial" w:eastAsia="Arial" w:hAnsi="Arial"/>
                <w:sz w:val="11"/>
                <w:szCs w:val="11"/>
                <w:b w:val="1"/>
                <w:bCs w:val="1"/>
                <w:color w:val="auto"/>
                <w:w w:val="95"/>
              </w:rPr>
              <w:t>(1)</w:t>
            </w:r>
          </w:p>
        </w:tc>
        <w:tc>
          <w:tcPr>
            <w:tcW w:w="540" w:type="dxa"/>
            <w:vAlign w:val="bottom"/>
          </w:tcPr>
          <w:p>
            <w:pPr>
              <w:spacing w:after="0"/>
              <w:rPr>
                <w:sz w:val="15"/>
                <w:szCs w:val="15"/>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 xml:space="preserve">2017 LTIP </w:t>
            </w:r>
            <w:r>
              <w:rPr>
                <w:rFonts w:ascii="Arial" w:cs="Arial" w:eastAsia="Arial" w:hAnsi="Arial"/>
                <w:sz w:val="11"/>
                <w:szCs w:val="11"/>
                <w:b w:val="1"/>
                <w:bCs w:val="1"/>
                <w:color w:val="auto"/>
                <w:w w:val="97"/>
              </w:rPr>
              <w:t>(2)</w:t>
            </w:r>
          </w:p>
        </w:tc>
        <w:tc>
          <w:tcPr>
            <w:tcW w:w="0" w:type="dxa"/>
            <w:vAlign w:val="bottom"/>
          </w:tcPr>
          <w:p>
            <w:pPr>
              <w:spacing w:after="0"/>
              <w:rPr>
                <w:sz w:val="1"/>
                <w:szCs w:val="1"/>
                <w:color w:val="auto"/>
              </w:rPr>
            </w:pPr>
          </w:p>
        </w:tc>
      </w:tr>
      <w:tr>
        <w:trPr>
          <w:trHeight w:val="148"/>
        </w:trPr>
        <w:tc>
          <w:tcPr>
            <w:tcW w:w="65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David A. Levin</w:t>
            </w:r>
          </w:p>
        </w:tc>
        <w:tc>
          <w:tcPr>
            <w:tcW w:w="200" w:type="dxa"/>
            <w:vAlign w:val="bottom"/>
          </w:tcPr>
          <w:p>
            <w:pPr>
              <w:jc w:val="right"/>
              <w:ind w:right="50"/>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405,600</w:t>
            </w:r>
          </w:p>
        </w:tc>
        <w:tc>
          <w:tcPr>
            <w:tcW w:w="10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202,800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20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40" w:type="dxa"/>
            <w:vAlign w:val="bottom"/>
          </w:tcPr>
          <w:p>
            <w:pPr>
              <w:spacing w:after="0"/>
              <w:rPr>
                <w:sz w:val="20"/>
                <w:szCs w:val="20"/>
                <w:color w:val="auto"/>
              </w:rPr>
            </w:pPr>
            <w:r>
              <w:rPr>
                <w:rFonts w:ascii="Arial" w:cs="Arial" w:eastAsia="Arial" w:hAnsi="Arial"/>
                <w:sz w:val="18"/>
                <w:szCs w:val="18"/>
                <w:color w:val="auto"/>
              </w:rPr>
              <w:t>Kenneth M. Ederle</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113,750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68,250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20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113,750</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40" w:type="dxa"/>
            <w:vAlign w:val="bottom"/>
          </w:tcPr>
          <w:p>
            <w:pPr>
              <w:spacing w:after="0"/>
              <w:rPr>
                <w:sz w:val="20"/>
                <w:szCs w:val="20"/>
                <w:color w:val="auto"/>
              </w:rPr>
            </w:pPr>
            <w:r>
              <w:rPr>
                <w:rFonts w:ascii="Arial" w:cs="Arial" w:eastAsia="Arial" w:hAnsi="Arial"/>
                <w:sz w:val="18"/>
                <w:szCs w:val="18"/>
                <w:color w:val="auto"/>
              </w:rPr>
              <w:t>Brian S. Reaves</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96,250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Executive Group</w:t>
            </w:r>
          </w:p>
        </w:tc>
        <w:tc>
          <w:tcPr>
            <w:tcW w:w="20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1,335,035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40" w:type="dxa"/>
            <w:vAlign w:val="bottom"/>
          </w:tcPr>
          <w:p>
            <w:pPr>
              <w:spacing w:after="0"/>
              <w:rPr>
                <w:sz w:val="20"/>
                <w:szCs w:val="20"/>
                <w:color w:val="auto"/>
              </w:rPr>
            </w:pPr>
            <w:r>
              <w:rPr>
                <w:rFonts w:ascii="Arial" w:cs="Arial" w:eastAsia="Arial" w:hAnsi="Arial"/>
                <w:sz w:val="18"/>
                <w:szCs w:val="18"/>
                <w:color w:val="auto"/>
              </w:rPr>
              <w:t>Non-Executive Employee Group</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1,060,708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308,453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60" w:right="100" w:hanging="378"/>
        <w:spacing w:after="0" w:line="253"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the 2016 Wrap-Around Plan, 50% of any award earned will be granted in shares of unvested restricted stock with the remaining 50% of any award earned paid in cash (the value of the cash portion is not included in the above table). Any restricted stock issued would vest on the last day of the second quarter of fiscal 2017.</w:t>
      </w:r>
    </w:p>
    <w:p>
      <w:pPr>
        <w:spacing w:after="0" w:line="1" w:lineRule="exact"/>
        <w:rPr>
          <w:rFonts w:ascii="Arial" w:cs="Arial" w:eastAsia="Arial" w:hAnsi="Arial"/>
          <w:sz w:val="18"/>
          <w:szCs w:val="18"/>
          <w:color w:val="auto"/>
        </w:rPr>
      </w:pPr>
    </w:p>
    <w:p>
      <w:pPr>
        <w:ind w:left="760" w:right="440" w:hanging="378"/>
        <w:spacing w:after="0" w:line="25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the 2016-2017 LTIP, 100% of any award earned will be granted in restricted stock units. Any restricted stock units issued would vest on August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votes properly cast is required for approval of Proposal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that you vote “FOR” the approval of the adoption of the Company’s 2016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PROPOSAL 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required under the Dodd-Frank Wall Street Reform and Consumer Protection Act of 2010 (the "Dodd-Frank Act"), and in accordance with the recommendation by our Board and approval by our stockholders of an annual "Say on 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We seek to align the interests of our Named Executive Officers with the interests of our stockholders. 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w:t>
      </w:r>
    </w:p>
    <w:p>
      <w:pPr>
        <w:spacing w:after="0" w:line="168" w:lineRule="exact"/>
        <w:rPr>
          <w:sz w:val="20"/>
          <w:szCs w:val="20"/>
          <w:color w:val="auto"/>
        </w:rPr>
      </w:pPr>
    </w:p>
    <w:p>
      <w:pPr>
        <w:jc w:val="both"/>
        <w:ind w:right="220"/>
        <w:spacing w:after="0" w:line="26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xml:space="preserve"> section of this Proxy Statement, including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provides a summary of our financial performance in fiscal 2015, describes in detail our executive compensation programs and the decisions made by the Compensation Committee with respect to fiscal 2015. The table below summarizes the 2015 total compensation received by our Named Executive Officers:</w:t>
      </w:r>
    </w:p>
    <w:tbl>
      <w:tblPr>
        <w:tblLayout w:type="fixed"/>
        <w:tblInd w:w="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2015 Annual</w:t>
            </w:r>
          </w:p>
        </w:tc>
        <w:tc>
          <w:tcPr>
            <w:tcW w:w="140" w:type="dxa"/>
            <w:vAlign w:val="bottom"/>
          </w:tcPr>
          <w:p>
            <w:pPr>
              <w:spacing w:after="0"/>
              <w:rPr>
                <w:sz w:val="12"/>
                <w:szCs w:val="12"/>
                <w:color w:val="auto"/>
              </w:rPr>
            </w:pPr>
          </w:p>
        </w:tc>
        <w:tc>
          <w:tcPr>
            <w:tcW w:w="960" w:type="dxa"/>
            <w:vAlign w:val="bottom"/>
          </w:tcPr>
          <w:p>
            <w:pPr>
              <w:jc w:val="center"/>
              <w:ind w:right="57"/>
              <w:spacing w:after="0" w:line="148" w:lineRule="exact"/>
              <w:rPr>
                <w:sz w:val="20"/>
                <w:szCs w:val="20"/>
                <w:color w:val="auto"/>
              </w:rPr>
            </w:pPr>
            <w:r>
              <w:rPr>
                <w:rFonts w:ascii="Arial" w:cs="Arial" w:eastAsia="Arial" w:hAnsi="Arial"/>
                <w:sz w:val="13"/>
                <w:szCs w:val="13"/>
                <w:b w:val="1"/>
                <w:bCs w:val="1"/>
                <w:color w:val="auto"/>
                <w:w w:val="89"/>
              </w:rPr>
              <w:t>Vested Cash</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Total 2015</w:t>
            </w:r>
          </w:p>
        </w:tc>
        <w:tc>
          <w:tcPr>
            <w:tcW w:w="0" w:type="dxa"/>
            <w:vAlign w:val="bottom"/>
          </w:tcPr>
          <w:p>
            <w:pPr>
              <w:spacing w:after="0"/>
              <w:rPr>
                <w:sz w:val="1"/>
                <w:szCs w:val="1"/>
                <w:color w:val="auto"/>
              </w:rPr>
            </w:pPr>
          </w:p>
        </w:tc>
      </w:tr>
      <w:tr>
        <w:trPr>
          <w:trHeight w:val="67"/>
        </w:trPr>
        <w:tc>
          <w:tcPr>
            <w:tcW w:w="532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Named Executive Officer</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restart"/>
          </w:tcPr>
          <w:p>
            <w:pPr>
              <w:ind w:left="120"/>
              <w:spacing w:after="0" w:line="148" w:lineRule="exact"/>
              <w:rPr>
                <w:sz w:val="20"/>
                <w:szCs w:val="20"/>
                <w:color w:val="auto"/>
              </w:rPr>
            </w:pPr>
            <w:r>
              <w:rPr>
                <w:rFonts w:ascii="Arial" w:cs="Arial" w:eastAsia="Arial" w:hAnsi="Arial"/>
                <w:sz w:val="13"/>
                <w:szCs w:val="13"/>
                <w:b w:val="1"/>
                <w:bCs w:val="1"/>
                <w:color w:val="auto"/>
              </w:rPr>
              <w:t>Salary</w:t>
            </w: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0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b w:val="1"/>
                <w:bCs w:val="1"/>
                <w:color w:val="auto"/>
                <w:w w:val="93"/>
              </w:rPr>
              <w:t>Portion of 2013-</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restart"/>
          </w:tcPr>
          <w:p>
            <w:pPr>
              <w:ind w:left="140"/>
              <w:spacing w:after="0" w:line="148"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5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3"/>
              </w:rPr>
              <w:t>Incentive Plan</w:t>
            </w: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0"/>
              </w:rPr>
              <w:t>Compensation</w:t>
            </w:r>
          </w:p>
        </w:tc>
        <w:tc>
          <w:tcPr>
            <w:tcW w:w="0" w:type="dxa"/>
            <w:vAlign w:val="bottom"/>
          </w:tcPr>
          <w:p>
            <w:pPr>
              <w:spacing w:after="0"/>
              <w:rPr>
                <w:sz w:val="1"/>
                <w:szCs w:val="1"/>
                <w:color w:val="auto"/>
              </w:rPr>
            </w:pPr>
          </w:p>
        </w:tc>
      </w:tr>
      <w:tr>
        <w:trPr>
          <w:trHeight w:val="93"/>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8"/>
              </w:rPr>
              <w:t>2016 LTIP</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5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5320" w:type="dxa"/>
            <w:vAlign w:val="bottom"/>
          </w:tcPr>
          <w:p>
            <w:pPr>
              <w:spacing w:after="0"/>
              <w:rPr>
                <w:sz w:val="20"/>
                <w:szCs w:val="20"/>
                <w:color w:val="auto"/>
              </w:rPr>
            </w:pPr>
            <w:r>
              <w:rPr>
                <w:rFonts w:ascii="Arial" w:cs="Arial" w:eastAsia="Arial" w:hAnsi="Arial"/>
                <w:sz w:val="18"/>
                <w:szCs w:val="18"/>
                <w:color w:val="auto"/>
              </w:rPr>
              <w:t>David A. Levin</w:t>
            </w:r>
          </w:p>
        </w:tc>
        <w:tc>
          <w:tcPr>
            <w:tcW w:w="1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811,200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1,012,378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162,240</w:t>
            </w:r>
          </w:p>
        </w:tc>
        <w:tc>
          <w:tcPr>
            <w:tcW w:w="1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40,472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2,026,290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Kenneth M. Ederle</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380,769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190,848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45,500</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21,662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638,779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w:t>
            </w: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Brian S. Reaves</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149,760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38,500</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27,028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515,288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executive compensation program include the following:</w:t>
      </w:r>
    </w:p>
    <w:p>
      <w:pPr>
        <w:spacing w:after="0" w:line="115" w:lineRule="exact"/>
        <w:rPr>
          <w:sz w:val="20"/>
          <w:szCs w:val="20"/>
          <w:color w:val="auto"/>
        </w:rPr>
      </w:pPr>
    </w:p>
    <w:p>
      <w:pPr>
        <w:ind w:left="780" w:right="120" w:hanging="264"/>
        <w:spacing w:after="0" w:line="293"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Because there was no opportunity for a performance-based payout from the 2013-2016 LTIP for fiscal 2015, the only potential performance-based compensation for fiscal 2015 was an annual cash incentive under our annual incentive plan (or “AIP”) based on achievement of specified performance goals for fiscal 2015. Fiscal 2016 will be the first opportunity since fiscal 2012 for our management team to earn a performance-based award under our long-term incentive program. This performance period under the 2013-2016 was intentionally a four-year performance period so that it would align with our strategic initiative of converting the majority of our store base to the DXL concept over the same time period.</w:t>
      </w:r>
    </w:p>
    <w:p>
      <w:pPr>
        <w:spacing w:after="0" w:line="55" w:lineRule="exact"/>
        <w:rPr>
          <w:rFonts w:ascii="Arial" w:cs="Arial" w:eastAsia="Arial" w:hAnsi="Arial"/>
          <w:sz w:val="16"/>
          <w:szCs w:val="16"/>
          <w:color w:val="auto"/>
        </w:rPr>
      </w:pPr>
    </w:p>
    <w:p>
      <w:pPr>
        <w:ind w:left="780" w:right="240" w:hanging="264"/>
        <w:spacing w:after="0" w:line="25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50% of our CEO’s compensation and approximately 30% of Messrs. Stratton, Ederle, Molloy and Reaves’s compensation was the result of performance-based earnings under the 2015 Plan. As discussed above under “Compensation Discussion and Analysis”, the 2015 AIP payout was 124.8% and represented our strong performance against plan for fiscal 2015. Our targets were rigorous, with an EBITDA target for fiscal 2015 that was 41.4% greater than fiscal 2014 actual EBITDA.</w:t>
      </w:r>
    </w:p>
    <w:p>
      <w:pPr>
        <w:spacing w:after="0" w:line="81" w:lineRule="exact"/>
        <w:rPr>
          <w:rFonts w:ascii="Arial" w:cs="Arial" w:eastAsia="Arial" w:hAnsi="Arial"/>
          <w:sz w:val="18"/>
          <w:szCs w:val="18"/>
          <w:color w:val="auto"/>
        </w:rPr>
      </w:pPr>
    </w:p>
    <w:p>
      <w:pPr>
        <w:ind w:left="780" w:right="180" w:hanging="264"/>
        <w:spacing w:after="0" w:line="271"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CEO’s base salary has remained flat since fiscal 2010 and, therefore, his only opportunity for increased compensation is through our incentive programs.</w:t>
      </w:r>
    </w:p>
    <w:p>
      <w:pPr>
        <w:spacing w:after="0" w:line="68" w:lineRule="exact"/>
        <w:rPr>
          <w:rFonts w:ascii="Arial" w:cs="Arial" w:eastAsia="Arial" w:hAnsi="Arial"/>
          <w:sz w:val="18"/>
          <w:szCs w:val="18"/>
          <w:color w:val="auto"/>
        </w:rPr>
      </w:pPr>
    </w:p>
    <w:p>
      <w:pPr>
        <w:ind w:left="780" w:right="140" w:hanging="264"/>
        <w:spacing w:after="0" w:line="271"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for Messrs. Stratton and Molloy who each received salary adjustments to align each of them with our peer group, base salaries for our CEO and other senior executives remain unchanged for fiscal 2016.</w:t>
      </w:r>
    </w:p>
    <w:p>
      <w:pPr>
        <w:spacing w:after="0" w:line="176"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encourage you to read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for a complete discussion and analysis of our executive compensation program, including detailed information about the fiscal 2015 compensation of the Named Executive Officers.</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Named Executive Officers. Accordingly, we ask our stockholders to vote on the following resolution at the Annual Meeting: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9" w:name="page50"/>
    <w:bookmarkEnd w:id="49"/>
    <w:p>
      <w:pPr>
        <w:ind w:right="60"/>
        <w:spacing w:after="0" w:line="335"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40"/>
          </w:cols>
          <w:pgMar w:left="240" w:top="554" w:right="319" w:bottom="1440" w:gutter="0" w:footer="0" w:header="0"/>
        </w:sectPr>
      </w:pPr>
    </w:p>
    <w:bookmarkStart w:id="50" w:name="page51"/>
    <w:bookmarkEnd w:id="50"/>
    <w:p>
      <w:pPr>
        <w:ind w:left="5160"/>
        <w:spacing w:after="0"/>
        <w:rPr>
          <w:sz w:val="20"/>
          <w:szCs w:val="20"/>
          <w:color w:val="auto"/>
        </w:rPr>
      </w:pPr>
      <w:r>
        <w:rPr>
          <w:rFonts w:ascii="Arial" w:cs="Arial" w:eastAsia="Arial" w:hAnsi="Arial"/>
          <w:sz w:val="18"/>
          <w:szCs w:val="18"/>
          <w:b w:val="1"/>
          <w:bCs w:val="1"/>
          <w:color w:val="auto"/>
        </w:rPr>
        <w:t>PROPOSAL 4</w:t>
      </w:r>
    </w:p>
    <w:p>
      <w:pPr>
        <w:spacing w:after="0" w:line="11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RATIFICATION OF APPOINTMENT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9"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January 28, 2017, subject to completion of KPMG’s customary client acceptance procedures. KPMG has served as our independent registered public accounting firm since June 6, 2013.</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30, 2016 (“fiscal 2015”) and January 31, 2015 (“fiscal 2014”):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94"/>
              <w:spacing w:after="0"/>
              <w:rPr>
                <w:sz w:val="20"/>
                <w:szCs w:val="20"/>
                <w:color w:val="auto"/>
              </w:rPr>
            </w:pPr>
            <w:r>
              <w:rPr>
                <w:rFonts w:ascii="Arial" w:cs="Arial" w:eastAsia="Arial" w:hAnsi="Arial"/>
                <w:sz w:val="13"/>
                <w:szCs w:val="13"/>
                <w:b w:val="1"/>
                <w:bCs w:val="1"/>
                <w:color w:val="auto"/>
              </w:rPr>
              <w:t>Fiscal 2015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2014</w:t>
            </w:r>
          </w:p>
        </w:tc>
      </w:tr>
      <w:tr>
        <w:trPr>
          <w:trHeight w:val="221"/>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770,000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555,509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8"/>
        </w:trPr>
        <w:tc>
          <w:tcPr>
            <w:tcW w:w="788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8"/>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FF0FC"/>
            </w:tcBorders>
          </w:tcPr>
          <w:p>
            <w:pPr>
              <w:spacing w:after="0"/>
              <w:rPr>
                <w:sz w:val="19"/>
                <w:szCs w:val="19"/>
                <w:color w:val="auto"/>
              </w:rPr>
            </w:pPr>
          </w:p>
        </w:tc>
      </w:tr>
      <w:tr>
        <w:trPr>
          <w:trHeight w:val="221"/>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771,650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ind w:left="760" w:right="100" w:hanging="378"/>
        <w:spacing w:after="0" w:line="260"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2015 and fiscal 2014, for services performed related to compliance with Section 404 of the Sarbanes-Oxley Act of 2002, and for reviews of the financial statements included in each of our Quarterly Reports on Form 10-Q.</w:t>
      </w:r>
    </w:p>
    <w:p>
      <w:pPr>
        <w:spacing w:after="0" w:line="77"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fees relate to an annual fee for online accounting research tool.</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w:t>
      </w:r>
    </w:p>
    <w:p>
      <w:pPr>
        <w:spacing w:after="0" w:line="3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2015 and fiscal 2014 under Audit Fees and Other Fees were pre-approved by the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1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affirmative vote of a majority of the votes properly cast is required for the ratification of the appointment of KPMG LLP as our independent registered public accounting firm for the fiscal year ending January 28,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5" w:lineRule="exact"/>
        <w:rPr>
          <w:sz w:val="20"/>
          <w:szCs w:val="20"/>
          <w:color w:val="auto"/>
        </w:rPr>
      </w:pPr>
    </w:p>
    <w:p>
      <w:pPr>
        <w:ind w:right="820"/>
        <w:spacing w:after="0" w:line="276"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January 28,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6"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Audit Committee reviewed and discussed with KPMG LLP, our independent registered public accounting firm, which is responsible for expressing an opinion on the conformity of our audited consolidated financial statements for the fiscal year ended January 30, 2016 with U.S. generally accepted accounting principles, their judgments as to the quality, not just the acceptability, of our accounting principles and such other matters as are required to be discussed with the Audit Committee by Statement on Auditing Standards No. 16, “Communication with Audit Committees”, as adopted by the Public Company Accounting Oversight Board.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six meetings during the fiscal year ended January 30, 2016.</w:t>
      </w:r>
    </w:p>
    <w:p>
      <w:pPr>
        <w:spacing w:after="0" w:line="18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30, 2016 for filing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January 30, 2016 a report by management on our assessment of our internal control over financial reporting, including management’s assessment of the</w:t>
      </w:r>
    </w:p>
    <w:p>
      <w:pPr>
        <w:spacing w:after="0" w:line="3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effectiveness of such internal control. KPMG LLP has issued an audit report relative to our internal control over financial reporting at January 30, 2016. During the course of fiscal 2015,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January 30, 2016.</w:t>
      </w:r>
    </w:p>
    <w:p>
      <w:pPr>
        <w:spacing w:after="0" w:line="194"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Ward Mooney</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w:t>
      </w:r>
    </w:p>
    <w:p>
      <w:pPr>
        <w:spacing w:after="0" w:line="24" w:lineRule="exact"/>
        <w:rPr>
          <w:sz w:val="20"/>
          <w:szCs w:val="20"/>
          <w:color w:val="auto"/>
        </w:rPr>
      </w:pPr>
    </w:p>
    <w:p>
      <w:pPr>
        <w:ind w:right="120" w:firstLine="7"/>
        <w:spacing w:after="0" w:line="257" w:lineRule="auto"/>
        <w:tabs>
          <w:tab w:leader="none" w:pos="134"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Mooney was appointed to the Audit Committee on May 14, 2015 and replaced Mr. Bernikow, who was a member of the Audit Committee through May 14, 2015.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19" w:lineRule="exact"/>
        <w:rPr>
          <w:sz w:val="20"/>
          <w:szCs w:val="20"/>
          <w:color w:val="auto"/>
        </w:rPr>
      </w:pPr>
    </w:p>
    <w:p>
      <w:pPr>
        <w:jc w:val="both"/>
        <w:ind w:right="200"/>
        <w:spacing w:after="0" w:line="282"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17, 2016. We were informed that,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134"/>
        </w:trPr>
        <w:tc>
          <w:tcPr>
            <w:tcW w:w="7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tcPr>
          <w:p>
            <w:pPr>
              <w:jc w:val="center"/>
              <w:ind w:right="380"/>
              <w:spacing w:after="0" w:line="134" w:lineRule="exact"/>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7"/>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40" w:type="dxa"/>
            <w:vAlign w:val="bottom"/>
          </w:tcPr>
          <w:p>
            <w:pPr>
              <w:spacing w:after="0"/>
              <w:rPr>
                <w:sz w:val="12"/>
                <w:szCs w:val="12"/>
                <w:color w:val="auto"/>
              </w:rPr>
            </w:pPr>
          </w:p>
        </w:tc>
        <w:tc>
          <w:tcPr>
            <w:tcW w:w="17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Beneficially</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6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3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(1)</w:t>
            </w:r>
          </w:p>
        </w:tc>
        <w:tc>
          <w:tcPr>
            <w:tcW w:w="3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ind w:left="680"/>
              <w:spacing w:after="0"/>
              <w:rPr>
                <w:sz w:val="20"/>
                <w:szCs w:val="20"/>
                <w:color w:val="auto"/>
              </w:rPr>
            </w:pPr>
            <w:r>
              <w:rPr>
                <w:rFonts w:ascii="Arial" w:cs="Arial" w:eastAsia="Arial" w:hAnsi="Arial"/>
                <w:sz w:val="17"/>
                <w:szCs w:val="17"/>
                <w:color w:val="auto"/>
                <w:w w:val="70"/>
              </w:rPr>
              <w:t>7,560,125(2)</w:t>
            </w:r>
          </w:p>
        </w:tc>
        <w:tc>
          <w:tcPr>
            <w:tcW w:w="3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RMCP GP LLC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6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10100 Santa Monica Boulevard, Suite 925</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7660" w:type="dxa"/>
            <w:vAlign w:val="bottom"/>
          </w:tcPr>
          <w:p>
            <w:pPr>
              <w:spacing w:after="0"/>
              <w:rPr>
                <w:sz w:val="20"/>
                <w:szCs w:val="20"/>
                <w:color w:val="auto"/>
              </w:rPr>
            </w:pPr>
            <w:r>
              <w:rPr>
                <w:rFonts w:ascii="Arial" w:cs="Arial" w:eastAsia="Arial" w:hAnsi="Arial"/>
                <w:sz w:val="18"/>
                <w:szCs w:val="18"/>
                <w:color w:val="auto"/>
              </w:rPr>
              <w:t>RBC Global Asset Management (U.S.) Inc.</w:t>
            </w:r>
          </w:p>
        </w:tc>
        <w:tc>
          <w:tcPr>
            <w:tcW w:w="2060" w:type="dxa"/>
            <w:vAlign w:val="bottom"/>
            <w:gridSpan w:val="3"/>
          </w:tcPr>
          <w:p>
            <w:pPr>
              <w:ind w:left="1020"/>
              <w:spacing w:after="0"/>
              <w:rPr>
                <w:sz w:val="20"/>
                <w:szCs w:val="20"/>
                <w:color w:val="auto"/>
              </w:rPr>
            </w:pPr>
            <w:r>
              <w:rPr>
                <w:rFonts w:ascii="Arial" w:cs="Arial" w:eastAsia="Arial" w:hAnsi="Arial"/>
                <w:sz w:val="18"/>
                <w:szCs w:val="18"/>
                <w:color w:val="auto"/>
                <w:w w:val="99"/>
              </w:rPr>
              <w:t>6,371,430(3)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4"/>
        </w:trPr>
        <w:tc>
          <w:tcPr>
            <w:tcW w:w="7660" w:type="dxa"/>
            <w:vAlign w:val="bottom"/>
          </w:tcPr>
          <w:p>
            <w:pPr>
              <w:spacing w:after="0"/>
              <w:rPr>
                <w:sz w:val="20"/>
                <w:szCs w:val="20"/>
                <w:color w:val="auto"/>
              </w:rPr>
            </w:pPr>
            <w:r>
              <w:rPr>
                <w:rFonts w:ascii="Arial" w:cs="Arial" w:eastAsia="Arial" w:hAnsi="Arial"/>
                <w:sz w:val="18"/>
                <w:szCs w:val="18"/>
                <w:color w:val="auto"/>
              </w:rPr>
              <w:t>50 South Sixth Street</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60" w:type="dxa"/>
            <w:vAlign w:val="bottom"/>
          </w:tcPr>
          <w:p>
            <w:pPr>
              <w:spacing w:after="0"/>
              <w:rPr>
                <w:sz w:val="20"/>
                <w:szCs w:val="20"/>
                <w:color w:val="auto"/>
              </w:rPr>
            </w:pPr>
            <w:r>
              <w:rPr>
                <w:rFonts w:ascii="Arial" w:cs="Arial" w:eastAsia="Arial" w:hAnsi="Arial"/>
                <w:sz w:val="18"/>
                <w:szCs w:val="18"/>
                <w:color w:val="auto"/>
              </w:rPr>
              <w:t>Suite 2350</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Arial" w:cs="Arial" w:eastAsia="Arial" w:hAnsi="Arial"/>
                <w:sz w:val="18"/>
                <w:szCs w:val="18"/>
                <w:color w:val="auto"/>
              </w:rPr>
              <w:t>Minneapolis, Minnesota 55402</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7660" w:type="dxa"/>
            <w:vAlign w:val="bottom"/>
          </w:tcPr>
          <w:p>
            <w:pPr>
              <w:spacing w:after="0"/>
              <w:rPr>
                <w:sz w:val="10"/>
                <w:szCs w:val="10"/>
                <w:color w:val="auto"/>
              </w:rPr>
            </w:pPr>
          </w:p>
        </w:tc>
        <w:tc>
          <w:tcPr>
            <w:tcW w:w="2060" w:type="dxa"/>
            <w:vAlign w:val="bottom"/>
            <w:gridSpan w:val="3"/>
          </w:tcPr>
          <w:p>
            <w:pPr>
              <w:spacing w:after="0"/>
              <w:rPr>
                <w:sz w:val="10"/>
                <w:szCs w:val="10"/>
                <w:color w:val="auto"/>
              </w:rPr>
            </w:pPr>
          </w:p>
        </w:tc>
        <w:tc>
          <w:tcPr>
            <w:tcW w:w="17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Glenhill Advisors, LLC</w:t>
            </w:r>
          </w:p>
        </w:tc>
        <w:tc>
          <w:tcPr>
            <w:tcW w:w="2060" w:type="dxa"/>
            <w:vAlign w:val="bottom"/>
            <w:gridSpan w:val="3"/>
            <w:shd w:val="clear" w:color="auto" w:fill="CFF0FC"/>
          </w:tcPr>
          <w:p>
            <w:pPr>
              <w:ind w:left="1020"/>
              <w:spacing w:after="0"/>
              <w:rPr>
                <w:sz w:val="20"/>
                <w:szCs w:val="20"/>
                <w:color w:val="auto"/>
              </w:rPr>
            </w:pPr>
            <w:r>
              <w:rPr>
                <w:rFonts w:ascii="Arial" w:cs="Arial" w:eastAsia="Arial" w:hAnsi="Arial"/>
                <w:sz w:val="18"/>
                <w:szCs w:val="18"/>
                <w:color w:val="auto"/>
                <w:w w:val="99"/>
              </w:rPr>
              <w:t>6,220,285(4)</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Advisors, LLC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Management, LLC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6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Glenhill Capital Overseas Master Fund, LP</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660" w:type="dxa"/>
            <w:vAlign w:val="bottom"/>
          </w:tcPr>
          <w:p>
            <w:pPr>
              <w:spacing w:after="0" w:line="200" w:lineRule="exact"/>
              <w:rPr>
                <w:sz w:val="20"/>
                <w:szCs w:val="20"/>
                <w:color w:val="auto"/>
              </w:rPr>
            </w:pPr>
            <w:r>
              <w:rPr>
                <w:rFonts w:ascii="Arial" w:cs="Arial" w:eastAsia="Arial" w:hAnsi="Arial"/>
                <w:sz w:val="18"/>
                <w:szCs w:val="18"/>
                <w:color w:val="auto"/>
              </w:rPr>
              <w:t>Seymour Holtzman</w:t>
            </w:r>
          </w:p>
        </w:tc>
        <w:tc>
          <w:tcPr>
            <w:tcW w:w="340" w:type="dxa"/>
            <w:vAlign w:val="bottom"/>
          </w:tcPr>
          <w:p>
            <w:pPr>
              <w:spacing w:after="0"/>
              <w:rPr>
                <w:sz w:val="17"/>
                <w:szCs w:val="17"/>
                <w:color w:val="auto"/>
              </w:rPr>
            </w:pPr>
          </w:p>
        </w:tc>
        <w:tc>
          <w:tcPr>
            <w:tcW w:w="1380" w:type="dxa"/>
            <w:vAlign w:val="bottom"/>
          </w:tcPr>
          <w:p>
            <w:pPr>
              <w:ind w:left="680"/>
              <w:spacing w:after="0"/>
              <w:rPr>
                <w:sz w:val="20"/>
                <w:szCs w:val="20"/>
                <w:color w:val="auto"/>
              </w:rPr>
            </w:pPr>
            <w:r>
              <w:rPr>
                <w:rFonts w:ascii="Arial" w:cs="Arial" w:eastAsia="Arial" w:hAnsi="Arial"/>
                <w:sz w:val="17"/>
                <w:szCs w:val="17"/>
                <w:color w:val="auto"/>
                <w:w w:val="70"/>
              </w:rPr>
              <w:t>4,475,658(5)</w:t>
            </w:r>
          </w:p>
        </w:tc>
        <w:tc>
          <w:tcPr>
            <w:tcW w:w="340" w:type="dxa"/>
            <w:vAlign w:val="bottom"/>
          </w:tcPr>
          <w:p>
            <w:pPr>
              <w:spacing w:after="0"/>
              <w:rPr>
                <w:sz w:val="17"/>
                <w:szCs w:val="17"/>
                <w:color w:val="auto"/>
              </w:rPr>
            </w:pPr>
          </w:p>
        </w:tc>
        <w:tc>
          <w:tcPr>
            <w:tcW w:w="170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4"/>
        </w:trPr>
        <w:tc>
          <w:tcPr>
            <w:tcW w:w="7660" w:type="dxa"/>
            <w:vAlign w:val="bottom"/>
          </w:tcPr>
          <w:p>
            <w:pPr>
              <w:spacing w:after="0"/>
              <w:rPr>
                <w:sz w:val="20"/>
                <w:szCs w:val="20"/>
                <w:color w:val="auto"/>
              </w:rPr>
            </w:pPr>
            <w:r>
              <w:rPr>
                <w:rFonts w:ascii="Arial" w:cs="Arial" w:eastAsia="Arial" w:hAnsi="Arial"/>
                <w:sz w:val="18"/>
                <w:szCs w:val="18"/>
                <w:color w:val="auto"/>
              </w:rPr>
              <w:t>100 N. Wilkes Barre Blvd.</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Arial" w:cs="Arial" w:eastAsia="Arial" w:hAnsi="Arial"/>
                <w:sz w:val="18"/>
                <w:szCs w:val="18"/>
                <w:color w:val="auto"/>
              </w:rPr>
              <w:t>Wilkes Barre, Pennsylvania 18702</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969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9645" cy="8255"/>
                    </a:xfrm>
                    <a:prstGeom prst="rect">
                      <a:avLst/>
                    </a:prstGeom>
                    <a:noFill/>
                  </pic:spPr>
                </pic:pic>
              </a:graphicData>
            </a:graphic>
          </wp:anchor>
        </w:drawing>
      </w:r>
    </w:p>
    <w:p>
      <w:pPr>
        <w:spacing w:after="0" w:line="119" w:lineRule="exact"/>
        <w:rPr>
          <w:sz w:val="20"/>
          <w:szCs w:val="20"/>
          <w:color w:val="auto"/>
        </w:rPr>
      </w:pPr>
    </w:p>
    <w:p>
      <w:pPr>
        <w:ind w:left="760" w:right="320" w:hanging="378"/>
        <w:spacing w:after="0" w:line="263"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50,844,515 shares of our common stock outstanding as of June 17, 2016.</w:t>
      </w:r>
    </w:p>
    <w:p>
      <w:pPr>
        <w:ind w:left="760" w:right="20" w:hanging="378"/>
        <w:spacing w:after="0" w:line="299" w:lineRule="auto"/>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a Form 4, dated February 1, 2016, stating that 7,522,354 shares are held directly by Red Mountain Partners, L.P., a Delaware limited partnership (“RMP”), which has the sole power to vote or direct the vote, and the sole power to dispose or direct the disposition of such shares, and the remaining 22,771 shares are held directly by Red Mountain Capital Partners LLC, a Delaware limited liability company (“RMCP LLC”), which has the sole power to vote or direct the vote, and the sole power to dispose or direct the disposition of such shares. RMP, RMCP LLC, RMCP GP LLC, a Delaware limited liability company (“RMCP GP”), Red Mountain Capital Management, Inc., a Delaware corporation (“RMCM”), and Willem Mesdag, a natural person and citizen of the United States of America, were the beneficial owners of the 7,560,125 shares of common stock.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 Mr. Mesdag disclaims beneficial ownership of the shares beneficially owned by RMP, and RMCM disclaims beneficial ownership of all these shares. The number of shares of common stock in the table includes 15,000 shares subject to stock options exercisable within 60 days and excludes 5,109 shares of deferred stock held directly by Mr. Mesdag.</w:t>
      </w:r>
    </w:p>
    <w:p>
      <w:pPr>
        <w:spacing w:after="0" w:line="3" w:lineRule="exact"/>
        <w:rPr>
          <w:rFonts w:ascii="Arial" w:cs="Arial" w:eastAsia="Arial" w:hAnsi="Arial"/>
          <w:sz w:val="14"/>
          <w:szCs w:val="14"/>
          <w:color w:val="auto"/>
        </w:rPr>
      </w:pPr>
    </w:p>
    <w:p>
      <w:pPr>
        <w:ind w:left="760" w:right="100" w:hanging="378"/>
        <w:spacing w:after="0" w:line="262"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Amendment No. 7 to Schedule 13G, dated February 8, 2016, stating that RBC Global Asset Management (U.S.) Inc. (“RBC”) was the beneficial owner of the number of shares of common stock set forth opposite its name in the table.</w:t>
      </w:r>
    </w:p>
    <w:p>
      <w:pPr>
        <w:ind w:left="760" w:right="20" w:hanging="378"/>
        <w:spacing w:after="0" w:line="279" w:lineRule="auto"/>
        <w:tabs>
          <w:tab w:leader="none" w:pos="7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Amendment No. 9 to Schedule 13G, dated February 16, 2016,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Management, LLC indicates beneficial ownership of only 5,027,151 shares and Glenhill Capital Overseas Master Fund, LP indicates beneficial ownership of only 3,232,536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Fund GP, LLC, and is sole shareholder of Glenhill Capital Overseas GP, Ltd. Glenhill Capital Overseas GP, Ltd. is the general partner of Glenhill Capital Overseas Master Fund, LP. Glenhill Long GP, LCC is the general partner of Glenhill Long Fund, LP.</w:t>
      </w:r>
    </w:p>
    <w:p>
      <w:pPr>
        <w:spacing w:after="0" w:line="4" w:lineRule="exact"/>
        <w:rPr>
          <w:rFonts w:ascii="Arial" w:cs="Arial" w:eastAsia="Arial" w:hAnsi="Arial"/>
          <w:sz w:val="15"/>
          <w:szCs w:val="15"/>
          <w:color w:val="auto"/>
        </w:rPr>
      </w:pPr>
    </w:p>
    <w:p>
      <w:pPr>
        <w:ind w:left="760" w:hanging="378"/>
        <w:spacing w:after="0"/>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a Form 4, dated April 8, 2013.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3" w:name="page54"/>
    <w:bookmarkEnd w:id="53"/>
    <w:p>
      <w:pPr>
        <w:ind w:left="40"/>
        <w:spacing w:after="0"/>
        <w:rPr>
          <w:sz w:val="20"/>
          <w:szCs w:val="20"/>
          <w:color w:val="auto"/>
        </w:rPr>
      </w:pPr>
      <w:r>
        <w:rPr>
          <w:rFonts w:ascii="Arial" w:cs="Arial" w:eastAsia="Arial" w:hAnsi="Arial"/>
          <w:sz w:val="18"/>
          <w:szCs w:val="18"/>
          <w:b w:val="1"/>
          <w:bCs w:val="1"/>
          <w:color w:val="auto"/>
        </w:rPr>
        <w:t>Security Ownership of Management</w:t>
      </w:r>
    </w:p>
    <w:p>
      <w:pPr>
        <w:spacing w:after="0" w:line="119"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The following table sets forth certain information as of June 17, 2016, with respect to our directors, our Named Executive Officers (as defined below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Name and Title</w:t>
            </w:r>
          </w:p>
        </w:tc>
        <w:tc>
          <w:tcPr>
            <w:tcW w:w="340" w:type="dxa"/>
            <w:vAlign w:val="bottom"/>
            <w:vMerge w:val="restart"/>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 Shares</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0"/>
        </w:trPr>
        <w:tc>
          <w:tcPr>
            <w:tcW w:w="76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vMerge w:val="continue"/>
          </w:tcPr>
          <w:p>
            <w:pPr>
              <w:spacing w:after="0"/>
              <w:rPr>
                <w:sz w:val="14"/>
                <w:szCs w:val="14"/>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9"/>
              </w:rPr>
              <w:t>Beneficially Owned</w:t>
            </w:r>
          </w:p>
        </w:tc>
        <w:tc>
          <w:tcPr>
            <w:tcW w:w="3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(1)</w:t>
            </w:r>
          </w:p>
        </w:tc>
        <w:tc>
          <w:tcPr>
            <w:tcW w:w="3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3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4,475,658</w:t>
            </w:r>
          </w:p>
        </w:tc>
        <w:tc>
          <w:tcPr>
            <w:tcW w:w="3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Executive Chairman of the Board</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1,336,552(2)</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106,236(3)</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170,831(4)</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Merchandising Officer – Planning and Allocation</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227,437(5)</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134,530(6)</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Sales Officer</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Alan S. Bernikow, Director</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68,829(7)</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121,189(7)</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 Director</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45,372(8)</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7,560,125(9)</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88,062(7)</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George T. Porter, Jr., Director</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134,551(10)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207,165(7)</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34,910(11)</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15,668,013(12)</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969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9645" cy="8255"/>
                    </a:xfrm>
                    <a:prstGeom prst="rect">
                      <a:avLst/>
                    </a:prstGeom>
                    <a:noFill/>
                  </pic:spPr>
                </pic:pic>
              </a:graphicData>
            </a:graphic>
          </wp:anchor>
        </w:drawing>
      </w:r>
    </w:p>
    <w:p>
      <w:pPr>
        <w:spacing w:after="0" w:line="149" w:lineRule="exact"/>
        <w:rPr>
          <w:sz w:val="20"/>
          <w:szCs w:val="20"/>
          <w:color w:val="auto"/>
        </w:rPr>
      </w:pPr>
    </w:p>
    <w:p>
      <w:pPr>
        <w:ind w:left="260" w:hanging="253"/>
        <w:spacing w:after="0"/>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 w:lineRule="exact"/>
        <w:rPr>
          <w:rFonts w:ascii="Arial" w:cs="Arial" w:eastAsia="Arial" w:hAnsi="Arial"/>
          <w:sz w:val="14"/>
          <w:szCs w:val="14"/>
          <w:color w:val="auto"/>
        </w:rPr>
      </w:pPr>
    </w:p>
    <w:p>
      <w:pPr>
        <w:ind w:left="760" w:right="380" w:hanging="378"/>
        <w:spacing w:after="0" w:line="259"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50,844,515 shares of our common stock outstanding as of June 17, 2016.</w:t>
      </w:r>
    </w:p>
    <w:p>
      <w:pPr>
        <w:spacing w:after="0" w:line="2" w:lineRule="exact"/>
        <w:rPr>
          <w:rFonts w:ascii="Arial" w:cs="Arial" w:eastAsia="Arial" w:hAnsi="Arial"/>
          <w:sz w:val="16"/>
          <w:szCs w:val="16"/>
          <w:color w:val="auto"/>
        </w:rPr>
      </w:pPr>
    </w:p>
    <w:p>
      <w:pPr>
        <w:ind w:left="760" w:right="400" w:hanging="378"/>
        <w:spacing w:after="0" w:line="262"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117,565 shares subject to stock options exercisable within 60 days, 64,381 shares of unvested restricted stock and 160,952 shares of unvested restricted stock subject to performance pursuant to the 2013-2016 LTIP.</w:t>
      </w:r>
    </w:p>
    <w:p>
      <w:pPr>
        <w:ind w:left="760" w:right="200" w:hanging="378"/>
        <w:spacing w:after="0" w:line="262"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28,876 shares subject to stock options exercisable within 60 days, 11,111 shares of unvested restricted stock and 27,777 shares of unvested restricted stock subject to performance pursuant to the LTIP 2013-2016.</w:t>
      </w:r>
    </w:p>
    <w:p>
      <w:pPr>
        <w:ind w:left="760" w:right="180" w:hanging="378"/>
        <w:spacing w:after="0" w:line="262"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42,970 shares subject to stock options exercisable within 60 days, 18,056 shares of unvested restricted stock and 45,138 shares of unvested restricted stock subject to performance pursuant to the LTIP 2013-2016.</w:t>
      </w:r>
    </w:p>
    <w:p>
      <w:pPr>
        <w:ind w:left="760" w:right="180" w:hanging="378"/>
        <w:spacing w:after="0" w:line="262"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67,531 shares subject to stock options exercisable within 60 days, 18,056 shares of unvested restricted stock and 45,138 shares of unvested restricted stock subject to performance pursuant to the LTIP 2013-2016.</w:t>
      </w:r>
    </w:p>
    <w:p>
      <w:pPr>
        <w:ind w:left="760" w:right="180" w:hanging="378"/>
        <w:spacing w:after="0" w:line="262"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45,079 shares subject to stock options exercisable within 60 days, 15,278 shares of unvested restricted stock and 38,194 shares of unvested restricted stock subject to performance pursuant to the LTIP 2013-2016.</w:t>
      </w:r>
    </w:p>
    <w:p>
      <w:pPr>
        <w:ind w:left="760" w:hanging="378"/>
        <w:spacing w:after="0"/>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25,000 shares subject to stock options exercisable within 60 days.</w:t>
      </w:r>
    </w:p>
    <w:p>
      <w:pPr>
        <w:spacing w:after="0" w:line="16" w:lineRule="exact"/>
        <w:rPr>
          <w:rFonts w:ascii="Arial" w:cs="Arial" w:eastAsia="Arial" w:hAnsi="Arial"/>
          <w:sz w:val="16"/>
          <w:szCs w:val="16"/>
          <w:color w:val="auto"/>
        </w:rPr>
      </w:pPr>
    </w:p>
    <w:p>
      <w:pPr>
        <w:ind w:left="760" w:hanging="378"/>
        <w:spacing w:after="0"/>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43,648 shares subject to stock options exercisable within 60 days and excludes 26,939 shares of deferred stock.</w:t>
      </w:r>
    </w:p>
    <w:p>
      <w:pPr>
        <w:spacing w:after="0" w:line="16" w:lineRule="exact"/>
        <w:rPr>
          <w:rFonts w:ascii="Arial" w:cs="Arial" w:eastAsia="Arial" w:hAnsi="Arial"/>
          <w:sz w:val="16"/>
          <w:szCs w:val="16"/>
          <w:color w:val="auto"/>
        </w:rPr>
      </w:pPr>
    </w:p>
    <w:p>
      <w:pPr>
        <w:ind w:left="760" w:right="200" w:hanging="378"/>
        <w:spacing w:after="0" w:line="279" w:lineRule="auto"/>
        <w:tabs>
          <w:tab w:leader="none" w:pos="760" w:val="left"/>
        </w:tabs>
        <w:numPr>
          <w:ilvl w:val="1"/>
          <w:numId w:val="57"/>
        </w:numPr>
        <w:rPr>
          <w:rFonts w:ascii="Arial" w:cs="Arial" w:eastAsia="Arial" w:hAnsi="Arial"/>
          <w:sz w:val="15"/>
          <w:szCs w:val="15"/>
          <w:color w:val="auto"/>
        </w:rPr>
      </w:pPr>
      <w:r>
        <w:rPr>
          <w:rFonts w:ascii="Arial" w:cs="Arial" w:eastAsia="Arial" w:hAnsi="Arial"/>
          <w:sz w:val="15"/>
          <w:szCs w:val="15"/>
          <w:color w:val="auto"/>
        </w:rPr>
        <w:t>Includes 15,000 shares subject to stock options exercisable within 60 days and excludes 5,109 shares of deferred stock. Mr. Mesdag is the president, sole executive officer, sole director and sole shareholder of Red Mountain Capital Management, Inc. With the exception of the stock options, all shares are held by Red Mountain Partners, L.P., a wholly-owned subsidiary of Red Mountain Capital Management, Inc. Mr. Mesdag, by virtue of his direct or indirect control of Red Mountain Partners, L.P., is deemed to beneficially own all of the securities reported held by Red Mountain Partners, L.P.</w:t>
      </w:r>
    </w:p>
    <w:p>
      <w:pPr>
        <w:spacing w:after="0" w:line="1" w:lineRule="exact"/>
        <w:rPr>
          <w:rFonts w:ascii="Arial" w:cs="Arial" w:eastAsia="Arial" w:hAnsi="Arial"/>
          <w:sz w:val="15"/>
          <w:szCs w:val="15"/>
          <w:color w:val="auto"/>
        </w:rPr>
      </w:pPr>
    </w:p>
    <w:p>
      <w:pPr>
        <w:ind w:left="760" w:right="160" w:hanging="378"/>
        <w:spacing w:after="0" w:line="262"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44,136 shares subject to stock options exercisable within 60 days and excludes 15,020 shares of deferred stock held by the George Porter Trust. Mr. Porter is the trustee of the trust and has all voting and investment rights.</w:t>
      </w:r>
    </w:p>
    <w:p>
      <w:pPr>
        <w:ind w:left="760" w:hanging="378"/>
        <w:spacing w:after="0"/>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w:t>
      </w:r>
    </w:p>
    <w:p>
      <w:pPr>
        <w:spacing w:after="0" w:line="16" w:lineRule="exact"/>
        <w:rPr>
          <w:rFonts w:ascii="Arial" w:cs="Arial" w:eastAsia="Arial" w:hAnsi="Arial"/>
          <w:sz w:val="16"/>
          <w:szCs w:val="16"/>
          <w:color w:val="auto"/>
        </w:rPr>
      </w:pPr>
    </w:p>
    <w:p>
      <w:pPr>
        <w:ind w:left="760" w:right="380" w:hanging="378"/>
        <w:spacing w:after="0" w:line="284"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Includes 786,509 shares subject to stock options exercisable within 60 days, 224,579 of unvested shares of restricted stock, 550,043 shares of unvested restricted stock subject to performance pursuant to the 2013-2016 LTIP and excludes 47,068 shares of deferred stock.</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80"/>
          </w:cols>
          <w:pgMar w:left="240" w:top="335" w:right="17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6"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168" w:lineRule="exact"/>
        <w:rPr>
          <w:sz w:val="20"/>
          <w:szCs w:val="20"/>
          <w:color w:val="auto"/>
        </w:rPr>
      </w:pPr>
    </w:p>
    <w:p>
      <w:pPr>
        <w:ind w:right="320"/>
        <w:spacing w:after="0" w:line="302" w:lineRule="auto"/>
        <w:rPr>
          <w:sz w:val="20"/>
          <w:szCs w:val="20"/>
          <w:color w:val="auto"/>
        </w:rPr>
      </w:pPr>
      <w:r>
        <w:rPr>
          <w:rFonts w:ascii="Arial" w:cs="Arial" w:eastAsia="Arial" w:hAnsi="Arial"/>
          <w:sz w:val="17"/>
          <w:szCs w:val="17"/>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http://investor.destinationxl.com.</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226"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or via the “contact us” dropdown on the investor page of our website. We will send you a copy of the Proxy Statement promptly after we receive your request.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226"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2017 Annual Meeting of Stockholders, the proposal must be received by the Secretary of our Company at our principal executive offices by February 27, 2017 (120 days before the anniversary of the date this Proxy Statement is being mailed to our stockholders).</w:t>
      </w:r>
    </w:p>
    <w:p>
      <w:pPr>
        <w:spacing w:after="0" w:line="15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2017 Annual Meeting, a stockholder must deliver the requisite notice of such item to the Secretary of our Company not before April 6, 2017 or after May 6, 2017.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6"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56" w:name="page57"/>
    <w:bookmarkEnd w:id="56"/>
    <w:p>
      <w:pPr>
        <w:ind w:left="10500"/>
        <w:spacing w:after="0"/>
        <w:rPr>
          <w:sz w:val="20"/>
          <w:szCs w:val="20"/>
          <w:color w:val="auto"/>
        </w:rPr>
      </w:pPr>
      <w:r>
        <w:rPr>
          <w:rFonts w:ascii="Arial" w:cs="Arial" w:eastAsia="Arial" w:hAnsi="Arial"/>
          <w:sz w:val="16"/>
          <w:szCs w:val="16"/>
          <w:b w:val="1"/>
          <w:bCs w:val="1"/>
          <w:color w:val="auto"/>
        </w:rPr>
        <w:t>Appendix A</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Financial Measures</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above discussion references non-GAAP measures that we use on a regular basis in order to track the progress of our business. These measures include adjusted net loss, adjusted net loss per diluted share, EBITDA (earnings before interest, taxes, depreciation and amortization) and EBITDA from continuing operations (earnings before interest, taxes, depreciation and amortization and discontinued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EBITDA and EBITDA from continuing operations from Net Loss, on a GAAP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1"/>
              </w:rPr>
              <w:t>(in millions)</w:t>
            </w:r>
          </w:p>
        </w:tc>
        <w:tc>
          <w:tcPr>
            <w:tcW w:w="6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Fiscal 2015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Fiscal 2014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Fiscal 2013</w:t>
            </w:r>
          </w:p>
        </w:tc>
        <w:tc>
          <w:tcPr>
            <w:tcW w:w="100" w:type="dxa"/>
            <w:vAlign w:val="bottom"/>
          </w:tcPr>
          <w:p>
            <w:pPr>
              <w:spacing w:after="0"/>
              <w:rPr>
                <w:sz w:val="15"/>
                <w:szCs w:val="15"/>
                <w:color w:val="auto"/>
              </w:rPr>
            </w:pPr>
          </w:p>
        </w:tc>
      </w:tr>
      <w:tr>
        <w:trPr>
          <w:trHeight w:val="148"/>
        </w:trPr>
        <w:tc>
          <w:tcPr>
            <w:tcW w:w="67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Net loss, on a GAAP basis</w:t>
            </w:r>
          </w:p>
        </w:tc>
        <w:tc>
          <w:tcPr>
            <w:tcW w:w="20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2"/>
                <w:szCs w:val="12"/>
                <w:color w:val="auto"/>
              </w:rPr>
            </w:pPr>
          </w:p>
        </w:tc>
        <w:tc>
          <w:tcPr>
            <w:tcW w:w="20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rPr>
              <w:t>(59.8)</w:t>
            </w:r>
          </w:p>
        </w:tc>
      </w:tr>
      <w:tr>
        <w:trPr>
          <w:trHeight w:val="161"/>
        </w:trPr>
        <w:tc>
          <w:tcPr>
            <w:tcW w:w="678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Add back:</w:t>
            </w: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67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(45.7)</w:t>
            </w:r>
          </w:p>
        </w:tc>
      </w:tr>
      <w:tr>
        <w:trPr>
          <w:trHeight w:val="161"/>
        </w:trPr>
        <w:tc>
          <w:tcPr>
            <w:tcW w:w="6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r>
      <w:tr>
        <w:trPr>
          <w:trHeight w:val="161"/>
        </w:trPr>
        <w:tc>
          <w:tcPr>
            <w:tcW w:w="678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(20.8)</w:t>
            </w:r>
          </w:p>
        </w:tc>
      </w:tr>
      <w:tr>
        <w:trPr>
          <w:trHeight w:val="154"/>
        </w:trPr>
        <w:tc>
          <w:tcPr>
            <w:tcW w:w="6780" w:type="dxa"/>
            <w:vAlign w:val="bottom"/>
            <w:tcBorders>
              <w:top w:val="single" w:sz="8" w:color="CFF0FC"/>
            </w:tcBorders>
            <w:gridSpan w:val="2"/>
            <w:shd w:val="clear" w:color="auto" w:fill="CFF0FC"/>
          </w:tcPr>
          <w:p>
            <w:pPr>
              <w:spacing w:after="0" w:line="154" w:lineRule="exact"/>
              <w:rPr>
                <w:sz w:val="20"/>
                <w:szCs w:val="20"/>
                <w:color w:val="auto"/>
              </w:rPr>
            </w:pPr>
            <w:r>
              <w:rPr>
                <w:rFonts w:ascii="Arial" w:cs="Arial" w:eastAsia="Arial" w:hAnsi="Arial"/>
                <w:sz w:val="14"/>
                <w:szCs w:val="14"/>
                <w:color w:val="auto"/>
              </w:rPr>
              <w:t>EBITDA</w:t>
            </w:r>
          </w:p>
        </w:tc>
        <w:tc>
          <w:tcPr>
            <w:tcW w:w="200" w:type="dxa"/>
            <w:vAlign w:val="bottom"/>
            <w:tcBorders>
              <w:top w:val="single" w:sz="8" w:color="auto"/>
            </w:tcBorders>
            <w:shd w:val="clear" w:color="auto" w:fill="CFF0FC"/>
          </w:tcPr>
          <w:p>
            <w:pPr>
              <w:jc w:val="right"/>
              <w:ind w:right="49"/>
              <w:spacing w:after="0" w:line="154"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23.3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9"/>
              <w:spacing w:after="0" w:line="154"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14.1</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7.8</w:t>
            </w:r>
          </w:p>
        </w:tc>
        <w:tc>
          <w:tcPr>
            <w:tcW w:w="100" w:type="dxa"/>
            <w:vAlign w:val="bottom"/>
            <w:tcBorders>
              <w:top w:val="single" w:sz="8" w:color="CFF0FC"/>
            </w:tcBorders>
            <w:shd w:val="clear" w:color="auto" w:fill="CFF0FC"/>
          </w:tcPr>
          <w:p>
            <w:pPr>
              <w:spacing w:after="0"/>
              <w:rPr>
                <w:sz w:val="13"/>
                <w:szCs w:val="13"/>
                <w:color w:val="auto"/>
              </w:rPr>
            </w:pPr>
          </w:p>
        </w:tc>
      </w:tr>
      <w:tr>
        <w:trPr>
          <w:trHeight w:val="161"/>
        </w:trPr>
        <w:tc>
          <w:tcPr>
            <w:tcW w:w="6780" w:type="dxa"/>
            <w:vAlign w:val="bottom"/>
            <w:gridSpan w:val="2"/>
          </w:tcPr>
          <w:p>
            <w:pPr>
              <w:spacing w:after="0"/>
              <w:rPr>
                <w:sz w:val="20"/>
                <w:szCs w:val="20"/>
                <w:color w:val="auto"/>
              </w:rPr>
            </w:pPr>
            <w:r>
              <w:rPr>
                <w:rFonts w:ascii="Arial" w:cs="Arial" w:eastAsia="Arial" w:hAnsi="Arial"/>
                <w:sz w:val="14"/>
                <w:szCs w:val="14"/>
                <w:color w:val="auto"/>
              </w:rPr>
              <w:t>Income (loss) from discontinued operations</w:t>
            </w: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r>
      <w:tr>
        <w:trPr>
          <w:trHeight w:val="154"/>
        </w:trPr>
        <w:tc>
          <w:tcPr>
            <w:tcW w:w="6780" w:type="dxa"/>
            <w:vAlign w:val="bottom"/>
            <w:tcBorders>
              <w:top w:val="single" w:sz="8" w:color="CFF0FC"/>
            </w:tcBorders>
            <w:gridSpan w:val="2"/>
            <w:shd w:val="clear" w:color="auto" w:fill="CFF0FC"/>
          </w:tcPr>
          <w:p>
            <w:pPr>
              <w:spacing w:after="0" w:line="154" w:lineRule="exact"/>
              <w:rPr>
                <w:sz w:val="20"/>
                <w:szCs w:val="20"/>
                <w:color w:val="auto"/>
              </w:rPr>
            </w:pPr>
            <w:r>
              <w:rPr>
                <w:rFonts w:ascii="Arial" w:cs="Arial" w:eastAsia="Arial" w:hAnsi="Arial"/>
                <w:sz w:val="14"/>
                <w:szCs w:val="14"/>
                <w:color w:val="auto"/>
              </w:rPr>
              <w:t>EBITDA from continuing operations</w:t>
            </w:r>
          </w:p>
        </w:tc>
        <w:tc>
          <w:tcPr>
            <w:tcW w:w="200" w:type="dxa"/>
            <w:vAlign w:val="bottom"/>
            <w:tcBorders>
              <w:top w:val="single" w:sz="8" w:color="auto"/>
              <w:bottom w:val="single" w:sz="8" w:color="auto"/>
            </w:tcBorders>
            <w:shd w:val="clear" w:color="auto" w:fill="CFF0FC"/>
          </w:tcPr>
          <w:p>
            <w:pPr>
              <w:jc w:val="right"/>
              <w:ind w:right="49"/>
              <w:spacing w:after="0" w:line="154"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23.3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9"/>
              <w:spacing w:after="0" w:line="154"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15.2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7.3</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is a reconciliation of adjusted loss from continuing operations and adjusted net loss to GAAP: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2015</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7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169"/>
              <w:spacing w:after="0" w:line="132" w:lineRule="exact"/>
              <w:rPr>
                <w:sz w:val="20"/>
                <w:szCs w:val="20"/>
                <w:color w:val="auto"/>
              </w:rPr>
            </w:pPr>
            <w:r>
              <w:rPr>
                <w:rFonts w:ascii="Arial" w:cs="Arial" w:eastAsia="Arial" w:hAnsi="Arial"/>
                <w:sz w:val="14"/>
                <w:szCs w:val="14"/>
                <w:b w:val="1"/>
                <w:bCs w:val="1"/>
                <w:color w:val="auto"/>
                <w:w w:val="93"/>
              </w:rPr>
              <w:t>Per diluted</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189"/>
              <w:spacing w:after="0" w:line="132" w:lineRule="exact"/>
              <w:rPr>
                <w:sz w:val="20"/>
                <w:szCs w:val="20"/>
                <w:color w:val="auto"/>
              </w:rPr>
            </w:pPr>
            <w:r>
              <w:rPr>
                <w:rFonts w:ascii="Arial" w:cs="Arial" w:eastAsia="Arial" w:hAnsi="Arial"/>
                <w:sz w:val="14"/>
                <w:szCs w:val="14"/>
                <w:b w:val="1"/>
                <w:bCs w:val="1"/>
                <w:color w:val="auto"/>
                <w:w w:val="91"/>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41"/>
        </w:trPr>
        <w:tc>
          <w:tcPr>
            <w:tcW w:w="5920" w:type="dxa"/>
            <w:vAlign w:val="bottom"/>
            <w:tcBorders>
              <w:top w:val="single" w:sz="8" w:color="CFF0FC"/>
            </w:tcBorders>
            <w:gridSpan w:val="3"/>
            <w:shd w:val="clear" w:color="auto" w:fill="CFF0FC"/>
          </w:tcPr>
          <w:p>
            <w:pPr>
              <w:spacing w:after="0" w:line="141" w:lineRule="exact"/>
              <w:rPr>
                <w:sz w:val="20"/>
                <w:szCs w:val="20"/>
                <w:color w:val="auto"/>
              </w:rPr>
            </w:pPr>
            <w:r>
              <w:rPr>
                <w:rFonts w:ascii="Arial" w:cs="Arial" w:eastAsia="Arial" w:hAnsi="Arial"/>
                <w:sz w:val="14"/>
                <w:szCs w:val="14"/>
                <w:i w:val="1"/>
                <w:iCs w:val="1"/>
                <w:color w:val="auto"/>
              </w:rPr>
              <w:t>(in millions, except per share data)</w:t>
            </w:r>
          </w:p>
        </w:tc>
        <w:tc>
          <w:tcPr>
            <w:tcW w:w="78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920" w:type="dxa"/>
            <w:vAlign w:val="bottom"/>
            <w:gridSpan w:val="3"/>
          </w:tcPr>
          <w:p>
            <w:pPr>
              <w:spacing w:after="0" w:line="154" w:lineRule="exact"/>
              <w:rPr>
                <w:sz w:val="20"/>
                <w:szCs w:val="20"/>
                <w:color w:val="auto"/>
              </w:rPr>
            </w:pPr>
            <w:r>
              <w:rPr>
                <w:rFonts w:ascii="Arial" w:cs="Arial" w:eastAsia="Arial" w:hAnsi="Arial"/>
                <w:sz w:val="14"/>
                <w:szCs w:val="14"/>
                <w:color w:val="auto"/>
              </w:rPr>
              <w:t>Loss from continuing operations, on a GAAP basis</w:t>
            </w:r>
          </w:p>
        </w:tc>
        <w:tc>
          <w:tcPr>
            <w:tcW w:w="780" w:type="dxa"/>
            <w:vAlign w:val="bottom"/>
          </w:tcPr>
          <w:p>
            <w:pPr>
              <w:jc w:val="right"/>
              <w:ind w:right="66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(8.4)</w:t>
            </w:r>
          </w:p>
        </w:tc>
        <w:tc>
          <w:tcPr>
            <w:tcW w:w="220" w:type="dxa"/>
            <w:vAlign w:val="bottom"/>
          </w:tcPr>
          <w:p>
            <w:pPr>
              <w:jc w:val="right"/>
              <w:ind w:right="69"/>
              <w:spacing w:after="0" w:line="154"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(0.17)</w:t>
            </w:r>
          </w:p>
        </w:tc>
        <w:tc>
          <w:tcPr>
            <w:tcW w:w="320" w:type="dxa"/>
            <w:vAlign w:val="bottom"/>
          </w:tcPr>
          <w:p>
            <w:pPr>
              <w:jc w:val="right"/>
              <w:ind w:right="169"/>
              <w:spacing w:after="0" w:line="154"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(11.2)</w:t>
            </w:r>
          </w:p>
        </w:tc>
        <w:tc>
          <w:tcPr>
            <w:tcW w:w="220" w:type="dxa"/>
            <w:vAlign w:val="bottom"/>
          </w:tcPr>
          <w:p>
            <w:pPr>
              <w:jc w:val="right"/>
              <w:ind w:right="69"/>
              <w:spacing w:after="0" w:line="154"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47"/>
        </w:trPr>
        <w:tc>
          <w:tcPr>
            <w:tcW w:w="600" w:type="dxa"/>
            <w:vAlign w:val="bottom"/>
            <w:tcBorders>
              <w:bottom w:val="single" w:sz="8" w:color="auto"/>
            </w:tcBorders>
            <w:shd w:val="clear" w:color="auto" w:fill="CFF0FC"/>
          </w:tcPr>
          <w:p>
            <w:pPr>
              <w:spacing w:after="0" w:line="147" w:lineRule="exact"/>
              <w:rPr>
                <w:sz w:val="20"/>
                <w:szCs w:val="20"/>
                <w:color w:val="auto"/>
              </w:rPr>
            </w:pPr>
            <w:r>
              <w:rPr>
                <w:rFonts w:ascii="Arial" w:cs="Arial" w:eastAsia="Arial" w:hAnsi="Arial"/>
                <w:sz w:val="14"/>
                <w:szCs w:val="14"/>
                <w:color w:val="auto"/>
                <w:w w:val="93"/>
              </w:rPr>
              <w:t>Add back:</w:t>
            </w:r>
          </w:p>
        </w:tc>
        <w:tc>
          <w:tcPr>
            <w:tcW w:w="5320" w:type="dxa"/>
            <w:vAlign w:val="bottom"/>
            <w:tcBorders>
              <w:bottom w:val="single" w:sz="8" w:color="CFF0FC"/>
            </w:tcBorders>
            <w:gridSpan w:val="2"/>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920" w:type="dxa"/>
            <w:vAlign w:val="bottom"/>
            <w:gridSpan w:val="3"/>
          </w:tcPr>
          <w:p>
            <w:pPr>
              <w:spacing w:after="0" w:line="154" w:lineRule="exact"/>
              <w:rPr>
                <w:sz w:val="20"/>
                <w:szCs w:val="20"/>
                <w:color w:val="auto"/>
              </w:rPr>
            </w:pPr>
            <w:r>
              <w:rPr>
                <w:rFonts w:ascii="Arial" w:cs="Arial" w:eastAsia="Arial" w:hAnsi="Arial"/>
                <w:sz w:val="14"/>
                <w:szCs w:val="14"/>
                <w:color w:val="auto"/>
              </w:rPr>
              <w:t>Actual income tax provision</w:t>
            </w:r>
          </w:p>
        </w:tc>
        <w:tc>
          <w:tcPr>
            <w:tcW w:w="78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spacing w:after="0" w:line="154" w:lineRule="exact"/>
              <w:rPr>
                <w:sz w:val="20"/>
                <w:szCs w:val="20"/>
                <w:color w:val="auto"/>
              </w:rPr>
            </w:pPr>
            <w:r>
              <w:rPr>
                <w:rFonts w:ascii="Arial" w:cs="Arial" w:eastAsia="Arial" w:hAnsi="Arial"/>
                <w:sz w:val="14"/>
                <w:szCs w:val="14"/>
                <w:color w:val="auto"/>
              </w:rPr>
              <w:t>0.2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59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Income tax benefit, assuming normal tax rate of 40%</w:t>
            </w:r>
          </w:p>
        </w:tc>
        <w:tc>
          <w:tcPr>
            <w:tcW w:w="78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24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20" w:type="dxa"/>
            <w:vAlign w:val="bottom"/>
            <w:gridSpan w:val="3"/>
          </w:tcPr>
          <w:p>
            <w:pPr>
              <w:spacing w:after="0" w:line="154" w:lineRule="exact"/>
              <w:rPr>
                <w:sz w:val="20"/>
                <w:szCs w:val="20"/>
                <w:color w:val="auto"/>
              </w:rPr>
            </w:pPr>
            <w:r>
              <w:rPr>
                <w:rFonts w:ascii="Arial" w:cs="Arial" w:eastAsia="Arial" w:hAnsi="Arial"/>
                <w:sz w:val="14"/>
                <w:szCs w:val="14"/>
                <w:color w:val="auto"/>
              </w:rPr>
              <w:t>Adjusted loss from continuing operations, non-GAAP basis</w:t>
            </w:r>
          </w:p>
        </w:tc>
        <w:tc>
          <w:tcPr>
            <w:tcW w:w="780" w:type="dxa"/>
            <w:vAlign w:val="bottom"/>
          </w:tcPr>
          <w:p>
            <w:pPr>
              <w:jc w:val="right"/>
              <w:ind w:right="664"/>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4" w:lineRule="exact"/>
              <w:rPr>
                <w:sz w:val="20"/>
                <w:szCs w:val="20"/>
                <w:color w:val="auto"/>
              </w:rPr>
            </w:pPr>
            <w:r>
              <w:rPr>
                <w:rFonts w:ascii="Arial" w:cs="Arial" w:eastAsia="Arial" w:hAnsi="Arial"/>
                <w:sz w:val="14"/>
                <w:szCs w:val="14"/>
                <w:color w:val="auto"/>
              </w:rPr>
              <w:t>(4.9)</w:t>
            </w:r>
          </w:p>
        </w:tc>
        <w:tc>
          <w:tcPr>
            <w:tcW w:w="260" w:type="dxa"/>
            <w:vAlign w:val="bottom"/>
          </w:tcPr>
          <w:p>
            <w:pPr>
              <w:spacing w:after="0"/>
              <w:rPr>
                <w:sz w:val="13"/>
                <w:szCs w:val="13"/>
                <w:color w:val="auto"/>
              </w:rPr>
            </w:pPr>
          </w:p>
        </w:tc>
        <w:tc>
          <w:tcPr>
            <w:tcW w:w="220" w:type="dxa"/>
            <w:vAlign w:val="bottom"/>
          </w:tcPr>
          <w:p>
            <w:pPr>
              <w:jc w:val="right"/>
              <w:ind w:right="69"/>
              <w:spacing w:after="0" w:line="154"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4" w:lineRule="exact"/>
              <w:rPr>
                <w:sz w:val="20"/>
                <w:szCs w:val="20"/>
                <w:color w:val="auto"/>
              </w:rPr>
            </w:pPr>
            <w:r>
              <w:rPr>
                <w:rFonts w:ascii="Arial" w:cs="Arial" w:eastAsia="Arial" w:hAnsi="Arial"/>
                <w:sz w:val="14"/>
                <w:szCs w:val="14"/>
                <w:color w:val="auto"/>
              </w:rPr>
              <w:t>(0.10)</w:t>
            </w:r>
          </w:p>
        </w:tc>
        <w:tc>
          <w:tcPr>
            <w:tcW w:w="240" w:type="dxa"/>
            <w:vAlign w:val="bottom"/>
          </w:tcPr>
          <w:p>
            <w:pPr>
              <w:spacing w:after="0"/>
              <w:rPr>
                <w:sz w:val="13"/>
                <w:szCs w:val="13"/>
                <w:color w:val="auto"/>
              </w:rPr>
            </w:pPr>
          </w:p>
        </w:tc>
        <w:tc>
          <w:tcPr>
            <w:tcW w:w="320" w:type="dxa"/>
            <w:vAlign w:val="bottom"/>
          </w:tcPr>
          <w:p>
            <w:pPr>
              <w:jc w:val="right"/>
              <w:ind w:right="169"/>
              <w:spacing w:after="0" w:line="154"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4"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3"/>
                <w:szCs w:val="13"/>
                <w:color w:val="auto"/>
              </w:rPr>
            </w:pPr>
          </w:p>
        </w:tc>
        <w:tc>
          <w:tcPr>
            <w:tcW w:w="220" w:type="dxa"/>
            <w:vAlign w:val="bottom"/>
          </w:tcPr>
          <w:p>
            <w:pPr>
              <w:jc w:val="right"/>
              <w:ind w:right="69"/>
              <w:spacing w:after="0" w:line="154"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4" w:lineRule="exact"/>
              <w:rPr>
                <w:sz w:val="20"/>
                <w:szCs w:val="20"/>
                <w:color w:val="auto"/>
              </w:rPr>
            </w:pPr>
            <w:r>
              <w:rPr>
                <w:rFonts w:ascii="Arial" w:cs="Arial" w:eastAsia="Arial" w:hAnsi="Arial"/>
                <w:sz w:val="14"/>
                <w:szCs w:val="14"/>
                <w:color w:val="auto"/>
              </w:rPr>
              <w:t>(0.13)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9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Loss from discontinued operations, GAAP basis</w:t>
            </w:r>
          </w:p>
        </w:tc>
        <w:tc>
          <w:tcPr>
            <w:tcW w:w="7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94"/>
        </w:trPr>
        <w:tc>
          <w:tcPr>
            <w:tcW w:w="5920" w:type="dxa"/>
            <w:vAlign w:val="bottom"/>
            <w:tcBorders>
              <w:bottom w:val="single" w:sz="8" w:color="CFF0FC"/>
            </w:tcBorders>
            <w:gridSpan w:val="3"/>
          </w:tcPr>
          <w:p>
            <w:pPr>
              <w:spacing w:after="0" w:line="154" w:lineRule="exact"/>
              <w:rPr>
                <w:sz w:val="20"/>
                <w:szCs w:val="20"/>
                <w:color w:val="auto"/>
              </w:rPr>
            </w:pPr>
            <w:r>
              <w:rPr>
                <w:rFonts w:ascii="Arial" w:cs="Arial" w:eastAsia="Arial" w:hAnsi="Arial"/>
                <w:sz w:val="14"/>
                <w:szCs w:val="14"/>
                <w:color w:val="auto"/>
              </w:rPr>
              <w:t>Adjusted net loss, non-GAAP basis</w:t>
            </w:r>
          </w:p>
        </w:tc>
        <w:tc>
          <w:tcPr>
            <w:tcW w:w="78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(4.9)</w:t>
            </w:r>
          </w:p>
        </w:tc>
        <w:tc>
          <w:tcPr>
            <w:tcW w:w="260" w:type="dxa"/>
            <w:vAlign w:val="bottom"/>
            <w:tcBorders>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(0.10)</w:t>
            </w:r>
          </w:p>
        </w:tc>
        <w:tc>
          <w:tcPr>
            <w:tcW w:w="24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line="154"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(7.7)</w:t>
            </w:r>
          </w:p>
        </w:tc>
        <w:tc>
          <w:tcPr>
            <w:tcW w:w="240" w:type="dxa"/>
            <w:vAlign w:val="bottom"/>
            <w:tcBorders>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(0.16)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920" w:type="dxa"/>
            <w:vAlign w:val="bottom"/>
            <w:gridSpan w:val="3"/>
            <w:shd w:val="clear" w:color="auto" w:fill="CFF0FC"/>
          </w:tcPr>
          <w:p>
            <w:pPr>
              <w:spacing w:after="0" w:line="141" w:lineRule="exact"/>
              <w:rPr>
                <w:sz w:val="20"/>
                <w:szCs w:val="20"/>
                <w:color w:val="auto"/>
              </w:rPr>
            </w:pPr>
            <w:r>
              <w:rPr>
                <w:rFonts w:ascii="Arial" w:cs="Arial" w:eastAsia="Arial" w:hAnsi="Arial"/>
                <w:sz w:val="14"/>
                <w:szCs w:val="14"/>
                <w:color w:val="auto"/>
              </w:rPr>
              <w:t>Weighted average number of common shares outstanding on a diluted basis</w:t>
            </w:r>
          </w:p>
        </w:tc>
        <w:tc>
          <w:tcPr>
            <w:tcW w:w="7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49.1</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48.7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8980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93"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Arial" w:cs="Arial" w:eastAsia="Arial" w:hAnsi="Arial"/>
          <w:sz w:val="25"/>
          <w:szCs w:val="25"/>
          <w:b w:val="1"/>
          <w:bCs w:val="1"/>
          <w:color w:val="auto"/>
        </w:rPr>
        <w:t>DESTINATION XL GROUP, INC.</w:t>
      </w:r>
    </w:p>
    <w:p>
      <w:pPr>
        <w:spacing w:after="0" w:line="35" w:lineRule="exact"/>
        <w:rPr>
          <w:sz w:val="20"/>
          <w:szCs w:val="20"/>
          <w:color w:val="auto"/>
        </w:rPr>
      </w:pPr>
    </w:p>
    <w:p>
      <w:pPr>
        <w:ind w:left="2100"/>
        <w:spacing w:after="0"/>
        <w:rPr>
          <w:sz w:val="20"/>
          <w:szCs w:val="20"/>
          <w:color w:val="auto"/>
        </w:rPr>
      </w:pPr>
      <w:r>
        <w:rPr>
          <w:rFonts w:ascii="Arial" w:cs="Arial" w:eastAsia="Arial" w:hAnsi="Arial"/>
          <w:sz w:val="25"/>
          <w:szCs w:val="25"/>
          <w:b w:val="1"/>
          <w:bCs w:val="1"/>
          <w:color w:val="auto"/>
        </w:rPr>
        <w:t>2016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839470</wp:posOffset>
            </wp:positionV>
            <wp:extent cx="728980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20"/>
          </w:cols>
          <w:pgMar w:left="1440" w:top="33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1"/>
        </w:trPr>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0" w:type="dxa"/>
            <w:vAlign w:val="bottom"/>
          </w:tcPr>
          <w:p>
            <w:pPr>
              <w:jc w:val="right"/>
              <w:ind w:right="4028"/>
              <w:spacing w:after="0"/>
              <w:rPr>
                <w:sz w:val="20"/>
                <w:szCs w:val="20"/>
                <w:color w:val="auto"/>
              </w:rPr>
            </w:pPr>
            <w:r>
              <w:rPr>
                <w:rFonts w:ascii="Arial" w:cs="Arial" w:eastAsia="Arial" w:hAnsi="Arial"/>
                <w:sz w:val="21"/>
                <w:szCs w:val="21"/>
                <w:b w:val="1"/>
                <w:bCs w:val="1"/>
                <w:color w:val="auto"/>
              </w:rPr>
              <w:t>DESTINATION XL GROUP, INC.</w:t>
            </w:r>
          </w:p>
        </w:tc>
      </w:tr>
      <w:tr>
        <w:trPr>
          <w:trHeight w:val="279"/>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0" w:type="dxa"/>
            <w:vAlign w:val="bottom"/>
          </w:tcPr>
          <w:p>
            <w:pPr>
              <w:jc w:val="right"/>
              <w:ind w:right="3568"/>
              <w:spacing w:after="0"/>
              <w:rPr>
                <w:sz w:val="20"/>
                <w:szCs w:val="20"/>
                <w:color w:val="auto"/>
              </w:rPr>
            </w:pPr>
            <w:r>
              <w:rPr>
                <w:rFonts w:ascii="Arial" w:cs="Arial" w:eastAsia="Arial" w:hAnsi="Arial"/>
                <w:sz w:val="21"/>
                <w:szCs w:val="21"/>
                <w:b w:val="1"/>
                <w:bCs w:val="1"/>
                <w:color w:val="auto"/>
              </w:rPr>
              <w:t>2016 INCENTIVE COMPENSATION PLAN</w:t>
            </w:r>
          </w:p>
        </w:tc>
      </w:tr>
      <w:tr>
        <w:trPr>
          <w:trHeight w:val="405"/>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3120" w:type="dxa"/>
            <w:vAlign w:val="bottom"/>
            <w:gridSpan w:val="1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Purpose</w:t>
              </w:r>
            </w:hyperlink>
          </w:p>
        </w:tc>
        <w:tc>
          <w:tcPr>
            <w:tcW w:w="80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2.</w:t>
            </w:r>
          </w:p>
        </w:tc>
        <w:tc>
          <w:tcPr>
            <w:tcW w:w="820" w:type="dxa"/>
            <w:vAlign w:val="bottom"/>
            <w:tcBorders>
              <w:bottom w:val="single" w:sz="8" w:color="0000EE"/>
            </w:tcBorders>
            <w:gridSpan w:val="2"/>
          </w:tcPr>
          <w:p>
            <w:pPr>
              <w:spacing w:after="0" w:line="195"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Definitions</w:t>
              </w:r>
            </w:hyperlink>
          </w:p>
        </w:tc>
        <w:tc>
          <w:tcPr>
            <w:tcW w:w="2300" w:type="dxa"/>
            <w:vAlign w:val="bottom"/>
            <w:gridSpan w:val="10"/>
          </w:tcPr>
          <w:p>
            <w:pPr>
              <w:spacing w:after="0"/>
              <w:rPr>
                <w:sz w:val="16"/>
                <w:szCs w:val="16"/>
                <w:color w:val="auto"/>
              </w:rPr>
            </w:pPr>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B-1</w:t>
            </w: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3.</w:t>
            </w:r>
          </w:p>
        </w:tc>
        <w:tc>
          <w:tcPr>
            <w:tcW w:w="3120" w:type="dxa"/>
            <w:vAlign w:val="bottom"/>
            <w:gridSpan w:val="12"/>
          </w:tcPr>
          <w:p>
            <w:pPr>
              <w:spacing w:after="0" w:line="195" w:lineRule="exact"/>
              <w:rPr>
                <w:rFonts w:ascii="Arial" w:cs="Arial" w:eastAsia="Arial" w:hAnsi="Arial"/>
                <w:sz w:val="18"/>
                <w:szCs w:val="18"/>
                <w:color w:val="0000EE"/>
              </w:rPr>
            </w:pPr>
            <w:hyperlink w:anchor="page63">
              <w:r>
                <w:rPr>
                  <w:rFonts w:ascii="Arial" w:cs="Arial" w:eastAsia="Arial" w:hAnsi="Arial"/>
                  <w:sz w:val="18"/>
                  <w:szCs w:val="18"/>
                  <w:color w:val="0000EE"/>
                </w:rPr>
                <w:t>Administration</w:t>
              </w:r>
            </w:hyperlink>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B-4</w:t>
            </w:r>
          </w:p>
        </w:tc>
      </w:tr>
      <w:tr>
        <w:trPr>
          <w:trHeight w:val="20"/>
        </w:trPr>
        <w:tc>
          <w:tcPr>
            <w:tcW w:w="3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4.</w:t>
            </w:r>
          </w:p>
        </w:tc>
        <w:tc>
          <w:tcPr>
            <w:tcW w:w="1620" w:type="dxa"/>
            <w:vAlign w:val="bottom"/>
            <w:tcBorders>
              <w:bottom w:val="single" w:sz="8" w:color="0000EE"/>
            </w:tcBorders>
            <w:gridSpan w:val="6"/>
          </w:tcPr>
          <w:p>
            <w:pPr>
              <w:spacing w:after="0" w:line="195"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Shares Subject to Plan</w:t>
              </w:r>
            </w:hyperlink>
          </w:p>
        </w:tc>
        <w:tc>
          <w:tcPr>
            <w:tcW w:w="1500" w:type="dxa"/>
            <w:vAlign w:val="bottom"/>
            <w:gridSpan w:val="6"/>
          </w:tcPr>
          <w:p>
            <w:pPr>
              <w:spacing w:after="0"/>
              <w:rPr>
                <w:sz w:val="16"/>
                <w:szCs w:val="16"/>
                <w:color w:val="auto"/>
              </w:rPr>
            </w:pPr>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B-5</w:t>
            </w: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5.</w:t>
            </w:r>
          </w:p>
        </w:tc>
        <w:tc>
          <w:tcPr>
            <w:tcW w:w="3120" w:type="dxa"/>
            <w:vAlign w:val="bottom"/>
            <w:gridSpan w:val="12"/>
          </w:tcPr>
          <w:p>
            <w:pPr>
              <w:spacing w:after="0" w:line="195" w:lineRule="exact"/>
              <w:rPr>
                <w:rFonts w:ascii="Arial" w:cs="Arial" w:eastAsia="Arial" w:hAnsi="Arial"/>
                <w:sz w:val="18"/>
                <w:szCs w:val="18"/>
                <w:color w:val="0000EE"/>
              </w:rPr>
            </w:pPr>
            <w:hyperlink w:anchor="page65">
              <w:r>
                <w:rPr>
                  <w:rFonts w:ascii="Arial" w:cs="Arial" w:eastAsia="Arial" w:hAnsi="Arial"/>
                  <w:sz w:val="18"/>
                  <w:szCs w:val="18"/>
                  <w:color w:val="0000EE"/>
                </w:rPr>
                <w:t>Eligibility; Per-Participation Limitations</w:t>
              </w:r>
            </w:hyperlink>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B-6</w:t>
            </w: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6.</w:t>
            </w:r>
          </w:p>
        </w:tc>
        <w:tc>
          <w:tcPr>
            <w:tcW w:w="2900" w:type="dxa"/>
            <w:vAlign w:val="bottom"/>
            <w:tcBorders>
              <w:top w:val="single" w:sz="8" w:color="0000EE"/>
            </w:tcBorders>
            <w:gridSpan w:val="10"/>
          </w:tcPr>
          <w:p>
            <w:pPr>
              <w:spacing w:after="0" w:line="195" w:lineRule="exact"/>
              <w:rPr>
                <w:rFonts w:ascii="Arial" w:cs="Arial" w:eastAsia="Arial" w:hAnsi="Arial"/>
                <w:sz w:val="18"/>
                <w:szCs w:val="18"/>
                <w:color w:val="0000EE"/>
              </w:rPr>
            </w:pPr>
            <w:hyperlink w:anchor="page65">
              <w:r>
                <w:rPr>
                  <w:rFonts w:ascii="Arial" w:cs="Arial" w:eastAsia="Arial" w:hAnsi="Arial"/>
                  <w:sz w:val="18"/>
                  <w:szCs w:val="18"/>
                  <w:color w:val="0000EE"/>
                </w:rPr>
                <w:t>Award Vesting Limitations</w:t>
              </w:r>
            </w:hyperlink>
          </w:p>
        </w:tc>
        <w:tc>
          <w:tcPr>
            <w:tcW w:w="220" w:type="dxa"/>
            <w:vAlign w:val="bottom"/>
            <w:gridSpan w:val="2"/>
          </w:tcPr>
          <w:p>
            <w:pPr>
              <w:spacing w:after="0"/>
              <w:rPr>
                <w:sz w:val="16"/>
                <w:szCs w:val="16"/>
                <w:color w:val="auto"/>
              </w:rPr>
            </w:pPr>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B-6</w:t>
            </w: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7.</w:t>
            </w:r>
          </w:p>
        </w:tc>
        <w:tc>
          <w:tcPr>
            <w:tcW w:w="18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Specific Terms of Awards</w:t>
              </w:r>
            </w:hyperlink>
          </w:p>
        </w:tc>
        <w:tc>
          <w:tcPr>
            <w:tcW w:w="60" w:type="dxa"/>
            <w:vAlign w:val="bottom"/>
            <w:tcBorders>
              <w:top w:val="single" w:sz="8" w:color="0000EE"/>
            </w:tcBorders>
          </w:tcPr>
          <w:p>
            <w:pPr>
              <w:spacing w:after="0"/>
              <w:rPr>
                <w:sz w:val="16"/>
                <w:szCs w:val="16"/>
                <w:color w:val="auto"/>
              </w:rPr>
            </w:pPr>
          </w:p>
        </w:tc>
        <w:tc>
          <w:tcPr>
            <w:tcW w:w="1200" w:type="dxa"/>
            <w:vAlign w:val="bottom"/>
            <w:gridSpan w:val="4"/>
          </w:tcPr>
          <w:p>
            <w:pPr>
              <w:spacing w:after="0"/>
              <w:rPr>
                <w:sz w:val="16"/>
                <w:szCs w:val="16"/>
                <w:color w:val="auto"/>
              </w:rPr>
            </w:pPr>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B-6</w:t>
            </w: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8.</w:t>
            </w:r>
          </w:p>
        </w:tc>
        <w:tc>
          <w:tcPr>
            <w:tcW w:w="3120" w:type="dxa"/>
            <w:vAlign w:val="bottom"/>
            <w:gridSpan w:val="12"/>
          </w:tcPr>
          <w:p>
            <w:pPr>
              <w:spacing w:after="0" w:line="195"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Certain Provisions Applicable to Awards</w:t>
              </w:r>
            </w:hyperlink>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B-10</w:t>
            </w: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9.</w:t>
            </w:r>
          </w:p>
        </w:tc>
        <w:tc>
          <w:tcPr>
            <w:tcW w:w="234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Code Section 162(m) Provisions</w:t>
              </w:r>
            </w:hyperlink>
          </w:p>
        </w:tc>
        <w:tc>
          <w:tcPr>
            <w:tcW w:w="580" w:type="dxa"/>
            <w:vAlign w:val="bottom"/>
            <w:tcBorders>
              <w:top w:val="single" w:sz="8" w:color="0000EE"/>
            </w:tcBorders>
            <w:gridSpan w:val="2"/>
          </w:tcPr>
          <w:p>
            <w:pPr>
              <w:spacing w:after="0"/>
              <w:rPr>
                <w:sz w:val="16"/>
                <w:szCs w:val="16"/>
                <w:color w:val="auto"/>
              </w:rPr>
            </w:pPr>
          </w:p>
        </w:tc>
        <w:tc>
          <w:tcPr>
            <w:tcW w:w="200" w:type="dxa"/>
            <w:vAlign w:val="bottom"/>
          </w:tcPr>
          <w:p>
            <w:pPr>
              <w:spacing w:after="0"/>
              <w:rPr>
                <w:sz w:val="16"/>
                <w:szCs w:val="16"/>
                <w:color w:val="auto"/>
              </w:rPr>
            </w:pPr>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B-12</w:t>
            </w: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10.</w:t>
            </w:r>
          </w:p>
        </w:tc>
        <w:tc>
          <w:tcPr>
            <w:tcW w:w="3120" w:type="dxa"/>
            <w:vAlign w:val="bottom"/>
            <w:gridSpan w:val="12"/>
          </w:tcPr>
          <w:p>
            <w:pPr>
              <w:spacing w:after="0" w:line="195" w:lineRule="exact"/>
              <w:rPr>
                <w:rFonts w:ascii="Arial" w:cs="Arial" w:eastAsia="Arial" w:hAnsi="Arial"/>
                <w:sz w:val="18"/>
                <w:szCs w:val="18"/>
                <w:color w:val="0000EE"/>
              </w:rPr>
            </w:pPr>
            <w:hyperlink w:anchor="page71">
              <w:r>
                <w:rPr>
                  <w:rFonts w:ascii="Arial" w:cs="Arial" w:eastAsia="Arial" w:hAnsi="Arial"/>
                  <w:sz w:val="18"/>
                  <w:szCs w:val="18"/>
                  <w:color w:val="0000EE"/>
                </w:rPr>
                <w:t>Change in Control</w:t>
              </w:r>
            </w:hyperlink>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B-12</w:t>
            </w:r>
          </w:p>
        </w:tc>
      </w:tr>
      <w:tr>
        <w:trPr>
          <w:trHeight w:val="20"/>
        </w:trPr>
        <w:tc>
          <w:tcPr>
            <w:tcW w:w="3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94"/>
        </w:trPr>
        <w:tc>
          <w:tcPr>
            <w:tcW w:w="32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3120" w:type="dxa"/>
            <w:vAlign w:val="bottom"/>
            <w:gridSpan w:val="12"/>
          </w:tcPr>
          <w:p>
            <w:pPr>
              <w:spacing w:after="0" w:line="195" w:lineRule="exact"/>
              <w:rPr>
                <w:rFonts w:ascii="Arial" w:cs="Arial" w:eastAsia="Arial" w:hAnsi="Arial"/>
                <w:sz w:val="18"/>
                <w:szCs w:val="18"/>
                <w:color w:val="0000EE"/>
              </w:rPr>
            </w:pPr>
            <w:hyperlink w:anchor="page73">
              <w:r>
                <w:rPr>
                  <w:rFonts w:ascii="Arial" w:cs="Arial" w:eastAsia="Arial" w:hAnsi="Arial"/>
                  <w:sz w:val="18"/>
                  <w:szCs w:val="18"/>
                  <w:color w:val="0000EE"/>
                </w:rPr>
                <w:t>General Provisions</w:t>
              </w:r>
            </w:hyperlink>
          </w:p>
        </w:tc>
        <w:tc>
          <w:tcPr>
            <w:tcW w:w="8000" w:type="dxa"/>
            <w:vAlign w:val="bottom"/>
          </w:tcPr>
          <w:p>
            <w:pPr>
              <w:jc w:val="right"/>
              <w:spacing w:after="0" w:line="195" w:lineRule="exact"/>
              <w:rPr>
                <w:sz w:val="20"/>
                <w:szCs w:val="20"/>
                <w:color w:val="auto"/>
              </w:rPr>
            </w:pPr>
            <w:r>
              <w:rPr>
                <w:rFonts w:ascii="Arial" w:cs="Arial" w:eastAsia="Arial" w:hAnsi="Arial"/>
                <w:sz w:val="18"/>
                <w:szCs w:val="18"/>
                <w:color w:val="auto"/>
              </w:rPr>
              <w:t>B-14</w:t>
            </w:r>
          </w:p>
        </w:tc>
      </w:tr>
      <w:tr>
        <w:trPr>
          <w:trHeight w:val="1728"/>
        </w:trPr>
        <w:tc>
          <w:tcPr>
            <w:tcW w:w="32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59" w:name="page60"/>
    <w:bookmarkEnd w:id="59"/>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4" w:lineRule="exact"/>
        <w:rPr>
          <w:sz w:val="20"/>
          <w:szCs w:val="20"/>
          <w:color w:val="auto"/>
        </w:rPr>
      </w:pPr>
    </w:p>
    <w:p>
      <w:pPr>
        <w:ind w:left="3640"/>
        <w:spacing w:after="0"/>
        <w:rPr>
          <w:sz w:val="20"/>
          <w:szCs w:val="20"/>
          <w:color w:val="auto"/>
        </w:rPr>
      </w:pPr>
      <w:r>
        <w:rPr>
          <w:rFonts w:ascii="Arial" w:cs="Arial" w:eastAsia="Arial" w:hAnsi="Arial"/>
          <w:sz w:val="21"/>
          <w:szCs w:val="21"/>
          <w:b w:val="1"/>
          <w:bCs w:val="1"/>
          <w:color w:val="auto"/>
        </w:rPr>
        <w:t>2016 INCENTIVE COMPENSATION PLAN</w:t>
      </w:r>
    </w:p>
    <w:p>
      <w:pPr>
        <w:spacing w:after="0" w:line="203" w:lineRule="exact"/>
        <w:rPr>
          <w:sz w:val="20"/>
          <w:szCs w:val="20"/>
          <w:color w:val="auto"/>
        </w:rPr>
      </w:pPr>
    </w:p>
    <w:p>
      <w:pPr>
        <w:jc w:val="both"/>
        <w:ind w:firstLine="784"/>
        <w:spacing w:after="0" w:line="290" w:lineRule="auto"/>
        <w:tabs>
          <w:tab w:leader="none" w:pos="1554"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DESTINATION XL GROUP, INC. 2016 INCENTIVE COMPENSATION PLAN (the “Plan”) is to assist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w:t>
      </w:r>
    </w:p>
    <w:p>
      <w:pPr>
        <w:spacing w:after="0" w:line="166" w:lineRule="exact"/>
        <w:rPr>
          <w:rFonts w:ascii="Arial" w:cs="Arial" w:eastAsia="Arial" w:hAnsi="Arial"/>
          <w:sz w:val="16"/>
          <w:szCs w:val="16"/>
          <w:color w:val="auto"/>
        </w:rPr>
      </w:pPr>
    </w:p>
    <w:p>
      <w:pPr>
        <w:ind w:firstLine="784"/>
        <w:spacing w:after="0" w:line="271" w:lineRule="auto"/>
        <w:tabs>
          <w:tab w:leader="none" w:pos="1554"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5" w:lineRule="exact"/>
        <w:rPr>
          <w:rFonts w:ascii="Arial" w:cs="Arial" w:eastAsia="Arial" w:hAnsi="Arial"/>
          <w:sz w:val="18"/>
          <w:szCs w:val="18"/>
          <w:color w:val="auto"/>
        </w:rPr>
      </w:pPr>
    </w:p>
    <w:p>
      <w:pPr>
        <w:jc w:val="both"/>
        <w:ind w:firstLine="1561"/>
        <w:spacing w:after="0" w:line="260" w:lineRule="auto"/>
        <w:tabs>
          <w:tab w:leader="none" w:pos="23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4" w:lineRule="exact"/>
        <w:rPr>
          <w:rFonts w:ascii="Arial" w:cs="Arial" w:eastAsia="Arial" w:hAnsi="Arial"/>
          <w:sz w:val="18"/>
          <w:szCs w:val="18"/>
          <w:color w:val="auto"/>
        </w:rPr>
      </w:pPr>
    </w:p>
    <w:p>
      <w:pPr>
        <w:ind w:left="2420" w:hanging="859"/>
        <w:spacing w:after="0"/>
        <w:tabs>
          <w:tab w:leader="none" w:pos="24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Committee hereunder.</w:t>
      </w:r>
    </w:p>
    <w:p>
      <w:pPr>
        <w:spacing w:after="0" w:line="208" w:lineRule="exact"/>
        <w:rPr>
          <w:rFonts w:ascii="Arial" w:cs="Arial" w:eastAsia="Arial" w:hAnsi="Arial"/>
          <w:sz w:val="16"/>
          <w:szCs w:val="16"/>
          <w:color w:val="auto"/>
        </w:rPr>
      </w:pPr>
    </w:p>
    <w:p>
      <w:pPr>
        <w:jc w:val="both"/>
        <w:ind w:firstLine="1561"/>
        <w:spacing w:after="0" w:line="256" w:lineRule="auto"/>
        <w:tabs>
          <w:tab w:leader="none" w:pos="23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88" w:lineRule="exact"/>
        <w:rPr>
          <w:rFonts w:ascii="Arial" w:cs="Arial" w:eastAsia="Arial" w:hAnsi="Arial"/>
          <w:sz w:val="18"/>
          <w:szCs w:val="18"/>
          <w:color w:val="auto"/>
        </w:rPr>
      </w:pPr>
    </w:p>
    <w:p>
      <w:pPr>
        <w:ind w:left="2420" w:hanging="859"/>
        <w:spacing w:after="0" w:line="184" w:lineRule="exact"/>
        <w:tabs>
          <w:tab w:leader="none" w:pos="24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w:t>
      </w:r>
      <w:r>
        <w:rPr>
          <w:rFonts w:ascii="MS PGothic" w:cs="MS PGothic" w:eastAsia="MS PGothic" w:hAnsi="MS PGothic"/>
          <w:sz w:val="16"/>
          <w:szCs w:val="16"/>
          <w:color w:val="auto"/>
        </w:rPr>
        <w:t>‑</w:t>
      </w:r>
      <w:r>
        <w:rPr>
          <w:rFonts w:ascii="Arial" w:cs="Arial" w:eastAsia="Arial" w:hAnsi="Arial"/>
          <w:sz w:val="16"/>
          <w:szCs w:val="16"/>
          <w:color w:val="auto"/>
        </w:rPr>
        <w:t>3 under the Exchange Act and any successor</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such Rule.</w:t>
      </w:r>
    </w:p>
    <w:p>
      <w:pPr>
        <w:spacing w:after="0" w:line="208" w:lineRule="exact"/>
        <w:rPr>
          <w:rFonts w:ascii="Arial" w:cs="Arial" w:eastAsia="Arial" w:hAnsi="Arial"/>
          <w:sz w:val="16"/>
          <w:szCs w:val="16"/>
          <w:color w:val="auto"/>
        </w:rPr>
      </w:pPr>
    </w:p>
    <w:p>
      <w:pPr>
        <w:ind w:left="2400" w:hanging="839"/>
        <w:spacing w:after="0"/>
        <w:tabs>
          <w:tab w:leader="none" w:pos="2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1" w:lineRule="exact"/>
        <w:rPr>
          <w:rFonts w:ascii="Arial" w:cs="Arial" w:eastAsia="Arial" w:hAnsi="Arial"/>
          <w:sz w:val="18"/>
          <w:szCs w:val="18"/>
          <w:color w:val="auto"/>
        </w:rPr>
      </w:pPr>
    </w:p>
    <w:p>
      <w:pPr>
        <w:ind w:left="2380" w:hanging="819"/>
        <w:spacing w:after="0"/>
        <w:tabs>
          <w:tab w:leader="none" w:pos="2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1" w:lineRule="exact"/>
        <w:rPr>
          <w:rFonts w:ascii="Arial" w:cs="Arial" w:eastAsia="Arial" w:hAnsi="Arial"/>
          <w:sz w:val="18"/>
          <w:szCs w:val="18"/>
          <w:color w:val="auto"/>
        </w:rPr>
      </w:pPr>
    </w:p>
    <w:p>
      <w:pPr>
        <w:ind w:firstLine="1561"/>
        <w:spacing w:after="0" w:line="271" w:lineRule="auto"/>
        <w:tabs>
          <w:tab w:leader="none" w:pos="24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5" w:lineRule="exact"/>
        <w:rPr>
          <w:rFonts w:ascii="Arial" w:cs="Arial" w:eastAsia="Arial" w:hAnsi="Arial"/>
          <w:sz w:val="18"/>
          <w:szCs w:val="18"/>
          <w:color w:val="auto"/>
        </w:rPr>
      </w:pPr>
    </w:p>
    <w:p>
      <w:pPr>
        <w:jc w:val="both"/>
        <w:ind w:firstLine="1561"/>
        <w:spacing w:after="0" w:line="252" w:lineRule="auto"/>
        <w:tabs>
          <w:tab w:leader="none" w:pos="24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93" w:lineRule="exact"/>
        <w:rPr>
          <w:rFonts w:ascii="Arial" w:cs="Arial" w:eastAsia="Arial" w:hAnsi="Arial"/>
          <w:sz w:val="18"/>
          <w:szCs w:val="18"/>
          <w:color w:val="auto"/>
        </w:rPr>
      </w:pPr>
    </w:p>
    <w:p>
      <w:pPr>
        <w:jc w:val="both"/>
        <w:ind w:firstLine="1561"/>
        <w:spacing w:after="0" w:line="260" w:lineRule="auto"/>
        <w:tabs>
          <w:tab w:leader="none" w:pos="23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4" w:lineRule="exact"/>
        <w:rPr>
          <w:rFonts w:ascii="Arial" w:cs="Arial" w:eastAsia="Arial" w:hAnsi="Arial"/>
          <w:sz w:val="18"/>
          <w:szCs w:val="18"/>
          <w:color w:val="auto"/>
        </w:rPr>
      </w:pPr>
    </w:p>
    <w:p>
      <w:pPr>
        <w:jc w:val="both"/>
        <w:ind w:firstLine="1561"/>
        <w:spacing w:after="0" w:line="253" w:lineRule="auto"/>
        <w:tabs>
          <w:tab w:leader="none" w:pos="23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60" w:name="page61"/>
    <w:bookmarkEnd w:id="60"/>
    <w:p>
      <w:pPr>
        <w:ind w:firstLine="1561"/>
        <w:spacing w:after="0" w:line="271" w:lineRule="auto"/>
        <w:tabs>
          <w:tab w:leader="none" w:pos="24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5" w:lineRule="exact"/>
        <w:rPr>
          <w:rFonts w:ascii="Arial" w:cs="Arial" w:eastAsia="Arial" w:hAnsi="Arial"/>
          <w:sz w:val="18"/>
          <w:szCs w:val="18"/>
          <w:color w:val="auto"/>
        </w:rPr>
      </w:pPr>
    </w:p>
    <w:p>
      <w:pPr>
        <w:jc w:val="both"/>
        <w:ind w:firstLine="1561"/>
        <w:spacing w:after="0" w:line="260" w:lineRule="auto"/>
        <w:tabs>
          <w:tab w:leader="none" w:pos="23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4" w:lineRule="exact"/>
        <w:rPr>
          <w:rFonts w:ascii="Arial" w:cs="Arial" w:eastAsia="Arial" w:hAnsi="Arial"/>
          <w:sz w:val="18"/>
          <w:szCs w:val="18"/>
          <w:color w:val="auto"/>
        </w:rPr>
      </w:pPr>
    </w:p>
    <w:p>
      <w:pPr>
        <w:ind w:left="2460" w:hanging="899"/>
        <w:spacing w:after="0"/>
        <w:tabs>
          <w:tab w:leader="none" w:pos="2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 7(e)</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08" w:lineRule="exact"/>
        <w:rPr>
          <w:rFonts w:ascii="Arial" w:cs="Arial" w:eastAsia="Arial" w:hAnsi="Arial"/>
          <w:sz w:val="16"/>
          <w:szCs w:val="16"/>
          <w:color w:val="auto"/>
        </w:rPr>
      </w:pPr>
    </w:p>
    <w:p>
      <w:pPr>
        <w:ind w:left="2420" w:hanging="859"/>
        <w:spacing w:after="0"/>
        <w:tabs>
          <w:tab w:leader="none" w:pos="2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1" w:lineRule="exact"/>
        <w:rPr>
          <w:rFonts w:ascii="Arial" w:cs="Arial" w:eastAsia="Arial" w:hAnsi="Arial"/>
          <w:sz w:val="18"/>
          <w:szCs w:val="18"/>
          <w:color w:val="auto"/>
        </w:rPr>
      </w:pPr>
    </w:p>
    <w:p>
      <w:pPr>
        <w:ind w:firstLine="1561"/>
        <w:spacing w:after="0" w:line="271" w:lineRule="auto"/>
        <w:tabs>
          <w:tab w:leader="none" w:pos="24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5" w:lineRule="exact"/>
        <w:rPr>
          <w:rFonts w:ascii="Arial" w:cs="Arial" w:eastAsia="Arial" w:hAnsi="Arial"/>
          <w:sz w:val="18"/>
          <w:szCs w:val="18"/>
          <w:color w:val="auto"/>
        </w:rPr>
      </w:pPr>
    </w:p>
    <w:p>
      <w:pPr>
        <w:ind w:firstLine="1561"/>
        <w:spacing w:after="0" w:line="302" w:lineRule="auto"/>
        <w:tabs>
          <w:tab w:leader="none" w:pos="24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51" w:lineRule="exact"/>
        <w:rPr>
          <w:rFonts w:ascii="Arial" w:cs="Arial" w:eastAsia="Arial" w:hAnsi="Arial"/>
          <w:sz w:val="17"/>
          <w:szCs w:val="17"/>
          <w:color w:val="auto"/>
        </w:rPr>
      </w:pPr>
    </w:p>
    <w:p>
      <w:pPr>
        <w:ind w:left="2420" w:hanging="859"/>
        <w:spacing w:after="0"/>
        <w:tabs>
          <w:tab w:leader="none" w:pos="2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1" w:lineRule="exact"/>
        <w:rPr>
          <w:rFonts w:ascii="Arial" w:cs="Arial" w:eastAsia="Arial" w:hAnsi="Arial"/>
          <w:sz w:val="18"/>
          <w:szCs w:val="18"/>
          <w:color w:val="auto"/>
        </w:rPr>
      </w:pPr>
    </w:p>
    <w:p>
      <w:pPr>
        <w:jc w:val="both"/>
        <w:ind w:firstLine="1561"/>
        <w:spacing w:after="0" w:line="252" w:lineRule="auto"/>
        <w:tabs>
          <w:tab w:leader="none" w:pos="23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93" w:lineRule="exact"/>
        <w:rPr>
          <w:rFonts w:ascii="Arial" w:cs="Arial" w:eastAsia="Arial" w:hAnsi="Arial"/>
          <w:sz w:val="18"/>
          <w:szCs w:val="18"/>
          <w:color w:val="auto"/>
        </w:rPr>
      </w:pPr>
    </w:p>
    <w:p>
      <w:pPr>
        <w:jc w:val="both"/>
        <w:ind w:firstLine="1561"/>
        <w:spacing w:after="0" w:line="256" w:lineRule="auto"/>
        <w:tabs>
          <w:tab w:leader="none" w:pos="23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8" w:lineRule="exact"/>
        <w:rPr>
          <w:rFonts w:ascii="Arial" w:cs="Arial" w:eastAsia="Arial" w:hAnsi="Arial"/>
          <w:sz w:val="18"/>
          <w:szCs w:val="18"/>
          <w:color w:val="auto"/>
        </w:rPr>
      </w:pPr>
    </w:p>
    <w:p>
      <w:pPr>
        <w:ind w:firstLine="1561"/>
        <w:spacing w:after="0" w:line="271" w:lineRule="auto"/>
        <w:tabs>
          <w:tab w:leader="none" w:pos="23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5" w:lineRule="exact"/>
        <w:rPr>
          <w:rFonts w:ascii="Arial" w:cs="Arial" w:eastAsia="Arial" w:hAnsi="Arial"/>
          <w:sz w:val="18"/>
          <w:szCs w:val="18"/>
          <w:color w:val="auto"/>
        </w:rPr>
      </w:pPr>
    </w:p>
    <w:p>
      <w:pPr>
        <w:jc w:val="both"/>
        <w:ind w:firstLine="1561"/>
        <w:spacing w:after="0" w:line="254" w:lineRule="auto"/>
        <w:tabs>
          <w:tab w:leader="none" w:pos="24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90" w:lineRule="exact"/>
        <w:rPr>
          <w:rFonts w:ascii="Arial" w:cs="Arial" w:eastAsia="Arial" w:hAnsi="Arial"/>
          <w:sz w:val="18"/>
          <w:szCs w:val="18"/>
          <w:color w:val="auto"/>
        </w:rPr>
      </w:pPr>
    </w:p>
    <w:p>
      <w:pPr>
        <w:ind w:left="2420" w:hanging="859"/>
        <w:spacing w:after="0"/>
        <w:tabs>
          <w:tab w:leader="none" w:pos="2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Full Value Award</w:t>
      </w:r>
      <w:r>
        <w:rPr>
          <w:rFonts w:ascii="Arial" w:cs="Arial" w:eastAsia="Arial" w:hAnsi="Arial"/>
          <w:sz w:val="17"/>
          <w:szCs w:val="17"/>
          <w:color w:val="auto"/>
        </w:rPr>
        <w:t>” means any Award other than an option or a Stock Appreciation Right and that is settled in Shares.</w:t>
      </w:r>
    </w:p>
    <w:p>
      <w:pPr>
        <w:spacing w:after="0" w:line="233" w:lineRule="exact"/>
        <w:rPr>
          <w:rFonts w:ascii="Arial" w:cs="Arial" w:eastAsia="Arial" w:hAnsi="Arial"/>
          <w:sz w:val="17"/>
          <w:szCs w:val="17"/>
          <w:color w:val="auto"/>
        </w:rPr>
      </w:pPr>
    </w:p>
    <w:p>
      <w:pPr>
        <w:jc w:val="both"/>
        <w:ind w:firstLine="1561"/>
        <w:spacing w:after="0" w:line="285" w:lineRule="auto"/>
        <w:tabs>
          <w:tab w:leader="none" w:pos="24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8"/>
          <w:szCs w:val="18"/>
          <w:color w:val="auto"/>
        </w:rPr>
        <w:t>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91" w:lineRule="exact"/>
        <w:rPr>
          <w:sz w:val="20"/>
          <w:szCs w:val="20"/>
          <w:color w:val="auto"/>
        </w:rPr>
      </w:pPr>
    </w:p>
    <w:p>
      <w:pPr>
        <w:ind w:firstLine="1561"/>
        <w:spacing w:after="0" w:line="271" w:lineRule="auto"/>
        <w:tabs>
          <w:tab w:leader="none" w:pos="24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5" w:lineRule="exact"/>
        <w:rPr>
          <w:rFonts w:ascii="Arial" w:cs="Arial" w:eastAsia="Arial" w:hAnsi="Arial"/>
          <w:sz w:val="18"/>
          <w:szCs w:val="18"/>
          <w:color w:val="auto"/>
        </w:rPr>
      </w:pPr>
    </w:p>
    <w:p>
      <w:pPr>
        <w:jc w:val="both"/>
        <w:ind w:firstLine="1561"/>
        <w:spacing w:after="0" w:line="260" w:lineRule="auto"/>
        <w:tabs>
          <w:tab w:leader="none" w:pos="24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4" w:lineRule="exact"/>
        <w:rPr>
          <w:rFonts w:ascii="Arial" w:cs="Arial" w:eastAsia="Arial" w:hAnsi="Arial"/>
          <w:sz w:val="18"/>
          <w:szCs w:val="18"/>
          <w:color w:val="auto"/>
        </w:rPr>
      </w:pPr>
    </w:p>
    <w:p>
      <w:pPr>
        <w:ind w:left="2400" w:hanging="839"/>
        <w:spacing w:after="0"/>
        <w:tabs>
          <w:tab w:leader="none" w:pos="2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2" w:lineRule="exact"/>
        <w:rPr>
          <w:sz w:val="20"/>
          <w:szCs w:val="20"/>
          <w:color w:val="auto"/>
        </w:rPr>
      </w:pPr>
    </w:p>
    <w:p>
      <w:pPr>
        <w:jc w:val="both"/>
        <w:ind w:firstLine="1561"/>
        <w:spacing w:after="0" w:line="285" w:lineRule="auto"/>
        <w:tabs>
          <w:tab w:leader="none" w:pos="2474"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Justifiable Cause</w:t>
      </w:r>
      <w:r>
        <w:rPr>
          <w:rFonts w:ascii="Arial" w:cs="Arial" w:eastAsia="Arial" w:hAnsi="Arial"/>
          <w:sz w:val="16"/>
          <w:szCs w:val="16"/>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72" w:lineRule="exact"/>
        <w:rPr>
          <w:rFonts w:ascii="Arial" w:cs="Arial" w:eastAsia="Arial" w:hAnsi="Arial"/>
          <w:sz w:val="16"/>
          <w:szCs w:val="16"/>
          <w:color w:val="auto"/>
        </w:rPr>
      </w:pPr>
    </w:p>
    <w:p>
      <w:pPr>
        <w:ind w:right="20" w:firstLine="1561"/>
        <w:spacing w:after="0" w:line="335" w:lineRule="auto"/>
        <w:tabs>
          <w:tab w:leader="none" w:pos="24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9" w:lineRule="exact"/>
        <w:rPr>
          <w:rFonts w:ascii="Arial" w:cs="Arial" w:eastAsia="Arial" w:hAnsi="Arial"/>
          <w:sz w:val="16"/>
          <w:szCs w:val="16"/>
          <w:color w:val="auto"/>
        </w:rPr>
      </w:pPr>
    </w:p>
    <w:p>
      <w:pPr>
        <w:ind w:firstLine="1561"/>
        <w:spacing w:after="0" w:line="271" w:lineRule="auto"/>
        <w:tabs>
          <w:tab w:leader="none" w:pos="24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5" w:lineRule="exact"/>
        <w:rPr>
          <w:rFonts w:ascii="Arial" w:cs="Arial" w:eastAsia="Arial" w:hAnsi="Arial"/>
          <w:sz w:val="18"/>
          <w:szCs w:val="18"/>
          <w:color w:val="auto"/>
        </w:rPr>
      </w:pPr>
    </w:p>
    <w:p>
      <w:pPr>
        <w:ind w:left="2500" w:hanging="939"/>
        <w:spacing w:after="0"/>
        <w:tabs>
          <w:tab w:leader="none" w:pos="2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under this Plan.</w:t>
      </w:r>
    </w:p>
    <w:p>
      <w:pPr>
        <w:spacing w:after="0" w:line="208" w:lineRule="exact"/>
        <w:rPr>
          <w:rFonts w:ascii="Arial" w:cs="Arial" w:eastAsia="Arial" w:hAnsi="Arial"/>
          <w:sz w:val="16"/>
          <w:szCs w:val="16"/>
          <w:color w:val="auto"/>
        </w:rPr>
      </w:pPr>
    </w:p>
    <w:p>
      <w:pPr>
        <w:ind w:left="2480" w:hanging="919"/>
        <w:spacing w:after="0"/>
        <w:tabs>
          <w:tab w:leader="none" w:pos="2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1" w:lineRule="exact"/>
        <w:rPr>
          <w:rFonts w:ascii="Arial" w:cs="Arial" w:eastAsia="Arial" w:hAnsi="Arial"/>
          <w:sz w:val="18"/>
          <w:szCs w:val="18"/>
          <w:color w:val="auto"/>
        </w:rPr>
      </w:pPr>
    </w:p>
    <w:p>
      <w:pPr>
        <w:ind w:right="20" w:firstLine="1561"/>
        <w:spacing w:after="0" w:line="271" w:lineRule="auto"/>
        <w:tabs>
          <w:tab w:leader="none" w:pos="24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5" w:lineRule="exact"/>
        <w:rPr>
          <w:rFonts w:ascii="Arial" w:cs="Arial" w:eastAsia="Arial" w:hAnsi="Arial"/>
          <w:sz w:val="18"/>
          <w:szCs w:val="18"/>
          <w:color w:val="auto"/>
        </w:rPr>
      </w:pPr>
    </w:p>
    <w:p>
      <w:pPr>
        <w:ind w:left="2500" w:hanging="939"/>
        <w:spacing w:after="0"/>
        <w:tabs>
          <w:tab w:leader="none" w:pos="2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any Award of Performance Shares or Performance Units granted pursuant to Section 7(h).</w:t>
      </w:r>
    </w:p>
    <w:p>
      <w:pPr>
        <w:spacing w:after="0" w:line="244" w:lineRule="exact"/>
        <w:rPr>
          <w:rFonts w:ascii="Arial" w:cs="Arial" w:eastAsia="Arial" w:hAnsi="Arial"/>
          <w:sz w:val="16"/>
          <w:szCs w:val="16"/>
          <w:color w:val="auto"/>
        </w:rPr>
      </w:pPr>
    </w:p>
    <w:p>
      <w:pPr>
        <w:ind w:firstLine="1561"/>
        <w:spacing w:after="0" w:line="302" w:lineRule="auto"/>
        <w:tabs>
          <w:tab w:leader="none" w:pos="24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51" w:lineRule="exact"/>
        <w:rPr>
          <w:rFonts w:ascii="Arial" w:cs="Arial" w:eastAsia="Arial" w:hAnsi="Arial"/>
          <w:sz w:val="17"/>
          <w:szCs w:val="17"/>
          <w:color w:val="auto"/>
        </w:rPr>
      </w:pPr>
    </w:p>
    <w:p>
      <w:pPr>
        <w:jc w:val="both"/>
        <w:ind w:firstLine="1561"/>
        <w:spacing w:after="0" w:line="256" w:lineRule="auto"/>
        <w:tabs>
          <w:tab w:leader="none" w:pos="241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8" w:lineRule="exact"/>
        <w:rPr>
          <w:rFonts w:ascii="Arial" w:cs="Arial" w:eastAsia="Arial" w:hAnsi="Arial"/>
          <w:sz w:val="18"/>
          <w:szCs w:val="18"/>
          <w:color w:val="auto"/>
        </w:rPr>
      </w:pPr>
    </w:p>
    <w:p>
      <w:pPr>
        <w:jc w:val="both"/>
        <w:ind w:firstLine="1561"/>
        <w:spacing w:after="0" w:line="256" w:lineRule="auto"/>
        <w:tabs>
          <w:tab w:leader="none" w:pos="241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2" w:name="page63"/>
    <w:bookmarkEnd w:id="62"/>
    <w:p>
      <w:pPr>
        <w:ind w:firstLine="1561"/>
        <w:spacing w:after="0" w:line="271" w:lineRule="auto"/>
        <w:tabs>
          <w:tab w:leader="none" w:pos="24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5" w:lineRule="exact"/>
        <w:rPr>
          <w:rFonts w:ascii="Arial" w:cs="Arial" w:eastAsia="Arial" w:hAnsi="Arial"/>
          <w:sz w:val="18"/>
          <w:szCs w:val="18"/>
          <w:color w:val="auto"/>
        </w:rPr>
      </w:pPr>
    </w:p>
    <w:p>
      <w:pPr>
        <w:ind w:left="2420" w:hanging="859"/>
        <w:spacing w:after="0"/>
        <w:tabs>
          <w:tab w:leader="none" w:pos="2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1" w:lineRule="exact"/>
        <w:rPr>
          <w:rFonts w:ascii="Arial" w:cs="Arial" w:eastAsia="Arial" w:hAnsi="Arial"/>
          <w:sz w:val="18"/>
          <w:szCs w:val="18"/>
          <w:color w:val="auto"/>
        </w:rPr>
      </w:pPr>
    </w:p>
    <w:p>
      <w:pPr>
        <w:jc w:val="both"/>
        <w:ind w:firstLine="1561"/>
        <w:spacing w:after="0" w:line="254" w:lineRule="auto"/>
        <w:tabs>
          <w:tab w:leader="none" w:pos="25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90" w:lineRule="exact"/>
        <w:rPr>
          <w:rFonts w:ascii="Arial" w:cs="Arial" w:eastAsia="Arial" w:hAnsi="Arial"/>
          <w:sz w:val="18"/>
          <w:szCs w:val="18"/>
          <w:color w:val="auto"/>
        </w:rPr>
      </w:pPr>
    </w:p>
    <w:p>
      <w:pPr>
        <w:jc w:val="both"/>
        <w:ind w:firstLine="1561"/>
        <w:spacing w:after="0" w:line="282" w:lineRule="auto"/>
        <w:tabs>
          <w:tab w:leader="none" w:pos="2494" w:val="left"/>
        </w:tabs>
        <w:numPr>
          <w:ilvl w:val="1"/>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8" w:lineRule="exact"/>
        <w:rPr>
          <w:rFonts w:ascii="Arial" w:cs="Arial" w:eastAsia="Arial" w:hAnsi="Arial"/>
          <w:sz w:val="17"/>
          <w:szCs w:val="17"/>
          <w:color w:val="auto"/>
        </w:rPr>
      </w:pPr>
    </w:p>
    <w:p>
      <w:pPr>
        <w:ind w:left="2500" w:hanging="939"/>
        <w:spacing w:after="0"/>
        <w:tabs>
          <w:tab w:leader="none" w:pos="25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3" w:lineRule="exact"/>
        <w:rPr>
          <w:rFonts w:ascii="Arial" w:cs="Arial" w:eastAsia="Arial" w:hAnsi="Arial"/>
          <w:sz w:val="17"/>
          <w:szCs w:val="17"/>
          <w:color w:val="auto"/>
        </w:rPr>
      </w:pPr>
    </w:p>
    <w:p>
      <w:pPr>
        <w:ind w:firstLine="1561"/>
        <w:spacing w:after="0" w:line="271" w:lineRule="auto"/>
        <w:tabs>
          <w:tab w:leader="none" w:pos="24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5" w:lineRule="exact"/>
        <w:rPr>
          <w:rFonts w:ascii="Arial" w:cs="Arial" w:eastAsia="Arial" w:hAnsi="Arial"/>
          <w:sz w:val="18"/>
          <w:szCs w:val="18"/>
          <w:color w:val="auto"/>
        </w:rPr>
      </w:pPr>
    </w:p>
    <w:p>
      <w:pPr>
        <w:ind w:left="2500" w:hanging="939"/>
        <w:spacing w:after="0"/>
        <w:tabs>
          <w:tab w:leader="none" w:pos="25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an Award of Restricted Stock Unit granted to a Participant under Section 7(e) hereof.</w:t>
      </w:r>
    </w:p>
    <w:p>
      <w:pPr>
        <w:spacing w:after="0" w:line="244" w:lineRule="exact"/>
        <w:rPr>
          <w:rFonts w:ascii="Arial" w:cs="Arial" w:eastAsia="Arial" w:hAnsi="Arial"/>
          <w:sz w:val="16"/>
          <w:szCs w:val="16"/>
          <w:color w:val="auto"/>
        </w:rPr>
      </w:pPr>
    </w:p>
    <w:p>
      <w:pPr>
        <w:ind w:firstLine="1561"/>
        <w:spacing w:after="0" w:line="271" w:lineRule="auto"/>
        <w:tabs>
          <w:tab w:leader="none" w:pos="243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5" w:lineRule="exact"/>
        <w:rPr>
          <w:rFonts w:ascii="Arial" w:cs="Arial" w:eastAsia="Arial" w:hAnsi="Arial"/>
          <w:sz w:val="18"/>
          <w:szCs w:val="18"/>
          <w:color w:val="auto"/>
        </w:rPr>
      </w:pPr>
    </w:p>
    <w:p>
      <w:pPr>
        <w:jc w:val="both"/>
        <w:ind w:firstLine="1561"/>
        <w:spacing w:after="0" w:line="260" w:lineRule="auto"/>
        <w:tabs>
          <w:tab w:leader="none" w:pos="24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4" w:lineRule="exact"/>
        <w:rPr>
          <w:rFonts w:ascii="Arial" w:cs="Arial" w:eastAsia="Arial" w:hAnsi="Arial"/>
          <w:sz w:val="18"/>
          <w:szCs w:val="18"/>
          <w:color w:val="auto"/>
        </w:rPr>
      </w:pPr>
    </w:p>
    <w:p>
      <w:pPr>
        <w:ind w:firstLine="1561"/>
        <w:spacing w:after="0" w:line="271" w:lineRule="auto"/>
        <w:tabs>
          <w:tab w:leader="none" w:pos="241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5" w:lineRule="exact"/>
        <w:rPr>
          <w:rFonts w:ascii="Arial" w:cs="Arial" w:eastAsia="Arial" w:hAnsi="Arial"/>
          <w:sz w:val="18"/>
          <w:szCs w:val="18"/>
          <w:color w:val="auto"/>
        </w:rPr>
      </w:pPr>
    </w:p>
    <w:p>
      <w:pPr>
        <w:ind w:left="2500" w:hanging="939"/>
        <w:spacing w:after="0"/>
        <w:tabs>
          <w:tab w:leader="none" w:pos="25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1" w:lineRule="exact"/>
        <w:rPr>
          <w:rFonts w:ascii="Arial" w:cs="Arial" w:eastAsia="Arial" w:hAnsi="Arial"/>
          <w:sz w:val="18"/>
          <w:szCs w:val="18"/>
          <w:color w:val="auto"/>
        </w:rPr>
      </w:pPr>
    </w:p>
    <w:p>
      <w:pPr>
        <w:jc w:val="both"/>
        <w:ind w:firstLine="1561"/>
        <w:spacing w:after="0" w:line="256" w:lineRule="auto"/>
        <w:tabs>
          <w:tab w:leader="none" w:pos="24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8" w:lineRule="exact"/>
        <w:rPr>
          <w:rFonts w:ascii="Arial" w:cs="Arial" w:eastAsia="Arial" w:hAnsi="Arial"/>
          <w:sz w:val="18"/>
          <w:szCs w:val="18"/>
          <w:color w:val="auto"/>
        </w:rPr>
      </w:pPr>
    </w:p>
    <w:p>
      <w:pPr>
        <w:jc w:val="both"/>
        <w:ind w:firstLine="1561"/>
        <w:spacing w:after="0" w:line="260" w:lineRule="auto"/>
        <w:tabs>
          <w:tab w:leader="none" w:pos="25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4" w:lineRule="exact"/>
        <w:rPr>
          <w:rFonts w:ascii="Arial" w:cs="Arial" w:eastAsia="Arial" w:hAnsi="Arial"/>
          <w:sz w:val="18"/>
          <w:szCs w:val="18"/>
          <w:color w:val="auto"/>
        </w:rPr>
      </w:pPr>
    </w:p>
    <w:p>
      <w:pPr>
        <w:ind w:left="1560" w:hanging="776"/>
        <w:spacing w:after="0"/>
        <w:tabs>
          <w:tab w:leader="none" w:pos="15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561"/>
        <w:spacing w:after="0" w:line="267" w:lineRule="auto"/>
        <w:tabs>
          <w:tab w:leader="none" w:pos="2394"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3" w:name="page64"/>
    <w:bookmarkEnd w:id="63"/>
    <w:p>
      <w:pPr>
        <w:jc w:val="both"/>
        <w:ind w:firstLine="1561"/>
        <w:spacing w:after="0" w:line="284" w:lineRule="auto"/>
        <w:tabs>
          <w:tab w:leader="none" w:pos="2404"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73" w:lineRule="exact"/>
        <w:rPr>
          <w:rFonts w:ascii="Arial" w:cs="Arial" w:eastAsia="Arial" w:hAnsi="Arial"/>
          <w:sz w:val="16"/>
          <w:szCs w:val="16"/>
          <w:color w:val="auto"/>
        </w:rPr>
      </w:pPr>
    </w:p>
    <w:p>
      <w:pPr>
        <w:jc w:val="both"/>
        <w:ind w:firstLine="1561"/>
        <w:spacing w:after="0" w:line="272" w:lineRule="auto"/>
        <w:tabs>
          <w:tab w:leader="none" w:pos="2394"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of Liability</w:t>
      </w:r>
      <w:r>
        <w:rPr>
          <w:rFonts w:ascii="Arial" w:cs="Arial" w:eastAsia="Arial" w:hAnsi="Arial"/>
          <w:sz w:val="17"/>
          <w:szCs w:val="17"/>
          <w:color w:val="auto"/>
        </w:rPr>
        <w:t>. The Committee and the Board, and each member thereof, shall be entitled to, in good faith, rely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8" w:lineRule="exact"/>
        <w:rPr>
          <w:rFonts w:ascii="Arial" w:cs="Arial" w:eastAsia="Arial" w:hAnsi="Arial"/>
          <w:sz w:val="17"/>
          <w:szCs w:val="17"/>
          <w:color w:val="auto"/>
        </w:rPr>
      </w:pPr>
    </w:p>
    <w:p>
      <w:pPr>
        <w:ind w:left="1560" w:hanging="776"/>
        <w:spacing w:after="0"/>
        <w:tabs>
          <w:tab w:leader="none" w:pos="15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561"/>
        <w:spacing w:after="0" w:line="252" w:lineRule="auto"/>
        <w:tabs>
          <w:tab w:leader="none" w:pos="2394"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11(c) hereof, the aggregate number of Shares reserved and available for delivery under the Plan shall be equal to the sum of (i) 5,200,000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93" w:lineRule="exact"/>
        <w:rPr>
          <w:rFonts w:ascii="Arial" w:cs="Arial" w:eastAsia="Arial" w:hAnsi="Arial"/>
          <w:sz w:val="18"/>
          <w:szCs w:val="18"/>
          <w:color w:val="auto"/>
        </w:rPr>
      </w:pPr>
    </w:p>
    <w:p>
      <w:pPr>
        <w:jc w:val="both"/>
        <w:ind w:firstLine="1561"/>
        <w:spacing w:after="0" w:line="254" w:lineRule="auto"/>
        <w:tabs>
          <w:tab w:leader="none" w:pos="2404"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90" w:lineRule="exact"/>
        <w:rPr>
          <w:rFonts w:ascii="Arial" w:cs="Arial" w:eastAsia="Arial" w:hAnsi="Arial"/>
          <w:sz w:val="18"/>
          <w:szCs w:val="18"/>
          <w:color w:val="auto"/>
        </w:rPr>
      </w:pPr>
    </w:p>
    <w:p>
      <w:pPr>
        <w:ind w:left="2400" w:hanging="839"/>
        <w:spacing w:after="0"/>
        <w:tabs>
          <w:tab w:leader="none" w:pos="2400"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2338"/>
        <w:spacing w:after="0" w:line="252" w:lineRule="auto"/>
        <w:tabs>
          <w:tab w:leader="none" w:pos="3142" w:val="left"/>
        </w:tabs>
        <w:numPr>
          <w:ilvl w:val="2"/>
          <w:numId w:val="65"/>
        </w:numPr>
        <w:rPr>
          <w:rFonts w:ascii="Arial" w:cs="Arial" w:eastAsia="Arial" w:hAnsi="Arial"/>
          <w:sz w:val="18"/>
          <w:szCs w:val="18"/>
          <w:color w:val="auto"/>
        </w:rPr>
      </w:pPr>
      <w:r>
        <w:rPr>
          <w:rFonts w:ascii="Arial" w:cs="Arial" w:eastAsia="Arial" w:hAnsi="Arial"/>
          <w:sz w:val="18"/>
          <w:szCs w:val="18"/>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93" w:lineRule="exact"/>
        <w:rPr>
          <w:rFonts w:ascii="Arial" w:cs="Arial" w:eastAsia="Arial" w:hAnsi="Arial"/>
          <w:sz w:val="18"/>
          <w:szCs w:val="18"/>
          <w:color w:val="auto"/>
        </w:rPr>
      </w:pPr>
    </w:p>
    <w:p>
      <w:pPr>
        <w:jc w:val="both"/>
        <w:ind w:firstLine="2338"/>
        <w:spacing w:after="0" w:line="282" w:lineRule="auto"/>
        <w:tabs>
          <w:tab w:leader="none" w:pos="3192" w:val="left"/>
        </w:tabs>
        <w:numPr>
          <w:ilvl w:val="2"/>
          <w:numId w:val="65"/>
        </w:numPr>
        <w:rPr>
          <w:rFonts w:ascii="Arial" w:cs="Arial" w:eastAsia="Arial" w:hAnsi="Arial"/>
          <w:sz w:val="17"/>
          <w:szCs w:val="17"/>
          <w:color w:val="auto"/>
        </w:rPr>
      </w:pPr>
      <w:r>
        <w:rPr>
          <w:rFonts w:ascii="Arial" w:cs="Arial" w:eastAsia="Arial" w:hAnsi="Arial"/>
          <w:sz w:val="17"/>
          <w:szCs w:val="17"/>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68" w:lineRule="exact"/>
        <w:rPr>
          <w:rFonts w:ascii="Arial" w:cs="Arial" w:eastAsia="Arial" w:hAnsi="Arial"/>
          <w:sz w:val="17"/>
          <w:szCs w:val="17"/>
          <w:color w:val="auto"/>
        </w:rPr>
      </w:pPr>
    </w:p>
    <w:p>
      <w:pPr>
        <w:jc w:val="both"/>
        <w:ind w:firstLine="2338"/>
        <w:spacing w:after="0" w:line="256" w:lineRule="auto"/>
        <w:tabs>
          <w:tab w:leader="none" w:pos="3241" w:val="left"/>
        </w:tabs>
        <w:numPr>
          <w:ilvl w:val="2"/>
          <w:numId w:val="65"/>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4" w:name="page65"/>
    <w:bookmarkEnd w:id="64"/>
    <w:p>
      <w:pPr>
        <w:jc w:val="both"/>
        <w:spacing w:after="0" w:line="270" w:lineRule="auto"/>
        <w:rPr>
          <w:sz w:val="20"/>
          <w:szCs w:val="20"/>
          <w:color w:val="auto"/>
        </w:rPr>
      </w:pPr>
      <w:r>
        <w:rPr>
          <w:rFonts w:ascii="Arial" w:cs="Arial" w:eastAsia="Arial" w:hAnsi="Arial"/>
          <w:sz w:val="17"/>
          <w:szCs w:val="17"/>
          <w:color w:val="auto"/>
        </w:rPr>
        <w:t>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1" w:lineRule="exact"/>
        <w:rPr>
          <w:sz w:val="20"/>
          <w:szCs w:val="20"/>
          <w:color w:val="auto"/>
        </w:rPr>
      </w:pPr>
    </w:p>
    <w:p>
      <w:pPr>
        <w:jc w:val="both"/>
        <w:ind w:firstLine="2338"/>
        <w:spacing w:after="0" w:line="256" w:lineRule="auto"/>
        <w:tabs>
          <w:tab w:leader="none" w:pos="3231" w:val="left"/>
        </w:tabs>
        <w:numPr>
          <w:ilvl w:val="2"/>
          <w:numId w:val="66"/>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11(c) hereof, the maximum aggregate number of Shares that may be delivered under the Plan as a result of the exercise of the Incentive Stock Options shall be 5,200,000 Shares. In no event shall any Incentive Stock Options be granted under the Plan after the tenth anniversary of the date on which the Board adopts the Plan.</w:t>
      </w:r>
    </w:p>
    <w:p>
      <w:pPr>
        <w:spacing w:after="0" w:line="188" w:lineRule="exact"/>
        <w:rPr>
          <w:rFonts w:ascii="Arial" w:cs="Arial" w:eastAsia="Arial" w:hAnsi="Arial"/>
          <w:sz w:val="18"/>
          <w:szCs w:val="18"/>
          <w:color w:val="auto"/>
        </w:rPr>
      </w:pPr>
    </w:p>
    <w:p>
      <w:pPr>
        <w:jc w:val="both"/>
        <w:ind w:firstLine="2338"/>
        <w:spacing w:after="0" w:line="256" w:lineRule="auto"/>
        <w:tabs>
          <w:tab w:leader="none" w:pos="3182" w:val="left"/>
        </w:tabs>
        <w:numPr>
          <w:ilvl w:val="2"/>
          <w:numId w:val="66"/>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8" w:lineRule="exact"/>
        <w:rPr>
          <w:rFonts w:ascii="Arial" w:cs="Arial" w:eastAsia="Arial" w:hAnsi="Arial"/>
          <w:sz w:val="18"/>
          <w:szCs w:val="18"/>
          <w:color w:val="auto"/>
        </w:rPr>
      </w:pPr>
    </w:p>
    <w:p>
      <w:pPr>
        <w:ind w:left="2420" w:hanging="859"/>
        <w:spacing w:after="0"/>
        <w:tabs>
          <w:tab w:leader="none" w:pos="2420"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3" w:lineRule="exact"/>
        <w:rPr>
          <w:rFonts w:ascii="Arial" w:cs="Arial" w:eastAsia="Arial" w:hAnsi="Arial"/>
          <w:sz w:val="17"/>
          <w:szCs w:val="17"/>
          <w:color w:val="auto"/>
        </w:rPr>
      </w:pPr>
    </w:p>
    <w:p>
      <w:pPr>
        <w:jc w:val="both"/>
        <w:ind w:firstLine="784"/>
        <w:spacing w:after="0" w:line="269" w:lineRule="auto"/>
        <w:tabs>
          <w:tab w:leader="none" w:pos="1554"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Eligibility; Per-Participant Limitations</w:t>
      </w:r>
      <w:r>
        <w:rPr>
          <w:rFonts w:ascii="Arial" w:cs="Arial" w:eastAsia="Arial" w:hAnsi="Arial"/>
          <w:sz w:val="17"/>
          <w:szCs w:val="17"/>
          <w:color w:val="auto"/>
        </w:rPr>
        <w:t>. Awards may be granted under the Plan only to Eligible Persons. Subject to adjustment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81" w:lineRule="exact"/>
        <w:rPr>
          <w:rFonts w:ascii="Arial" w:cs="Arial" w:eastAsia="Arial" w:hAnsi="Arial"/>
          <w:sz w:val="17"/>
          <w:szCs w:val="17"/>
          <w:color w:val="auto"/>
        </w:rPr>
      </w:pPr>
    </w:p>
    <w:p>
      <w:pPr>
        <w:jc w:val="both"/>
        <w:ind w:firstLine="784"/>
        <w:spacing w:after="0" w:line="253" w:lineRule="auto"/>
        <w:tabs>
          <w:tab w:leader="none" w:pos="1554"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191" w:lineRule="exact"/>
        <w:rPr>
          <w:rFonts w:ascii="Arial" w:cs="Arial" w:eastAsia="Arial" w:hAnsi="Arial"/>
          <w:sz w:val="18"/>
          <w:szCs w:val="18"/>
          <w:color w:val="auto"/>
        </w:rPr>
      </w:pPr>
    </w:p>
    <w:p>
      <w:pPr>
        <w:ind w:left="1560" w:hanging="77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561"/>
        <w:spacing w:after="0" w:line="251" w:lineRule="auto"/>
        <w:tabs>
          <w:tab w:leader="none" w:pos="2394"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97" w:lineRule="exact"/>
        <w:rPr>
          <w:rFonts w:ascii="Arial" w:cs="Arial" w:eastAsia="Arial" w:hAnsi="Arial"/>
          <w:sz w:val="18"/>
          <w:szCs w:val="18"/>
          <w:color w:val="auto"/>
        </w:rPr>
      </w:pPr>
    </w:p>
    <w:p>
      <w:pPr>
        <w:ind w:left="2420" w:hanging="859"/>
        <w:spacing w:after="0"/>
        <w:tabs>
          <w:tab w:leader="none" w:pos="2420"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3" w:lineRule="exact"/>
        <w:rPr>
          <w:rFonts w:ascii="Arial" w:cs="Arial" w:eastAsia="Arial" w:hAnsi="Arial"/>
          <w:sz w:val="17"/>
          <w:szCs w:val="17"/>
          <w:color w:val="auto"/>
        </w:rPr>
      </w:pPr>
    </w:p>
    <w:p>
      <w:pPr>
        <w:jc w:val="both"/>
        <w:ind w:firstLine="2338"/>
        <w:spacing w:after="0" w:line="253" w:lineRule="auto"/>
        <w:tabs>
          <w:tab w:leader="none" w:pos="3142" w:val="left"/>
        </w:tabs>
        <w:numPr>
          <w:ilvl w:val="2"/>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Other than in connection with Substitute Awards, the exercise price per Share purchasable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5" w:name="page66"/>
    <w:bookmarkEnd w:id="65"/>
    <w:p>
      <w:pPr>
        <w:jc w:val="both"/>
        <w:spacing w:after="0" w:line="288" w:lineRule="auto"/>
        <w:rPr>
          <w:sz w:val="20"/>
          <w:szCs w:val="20"/>
          <w:color w:val="auto"/>
        </w:rPr>
      </w:pPr>
      <w:r>
        <w:rPr>
          <w:rFonts w:ascii="Arial" w:cs="Arial" w:eastAsia="Arial" w:hAnsi="Arial"/>
          <w:sz w:val="16"/>
          <w:szCs w:val="16"/>
          <w:color w:val="auto"/>
        </w:rPr>
        <w:t>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69" w:lineRule="exact"/>
        <w:rPr>
          <w:sz w:val="20"/>
          <w:szCs w:val="20"/>
          <w:color w:val="auto"/>
        </w:rPr>
      </w:pPr>
    </w:p>
    <w:p>
      <w:pPr>
        <w:jc w:val="both"/>
        <w:ind w:firstLine="2338"/>
        <w:spacing w:after="0" w:line="267" w:lineRule="auto"/>
        <w:tabs>
          <w:tab w:leader="none" w:pos="3192" w:val="left"/>
        </w:tabs>
        <w:numPr>
          <w:ilvl w:val="1"/>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3" w:lineRule="exact"/>
        <w:rPr>
          <w:rFonts w:ascii="Arial" w:cs="Arial" w:eastAsia="Arial" w:hAnsi="Arial"/>
          <w:sz w:val="17"/>
          <w:szCs w:val="17"/>
          <w:color w:val="auto"/>
        </w:rPr>
      </w:pPr>
    </w:p>
    <w:p>
      <w:pPr>
        <w:ind w:right="20" w:firstLine="2338"/>
        <w:spacing w:after="0" w:line="271" w:lineRule="auto"/>
        <w:tabs>
          <w:tab w:leader="none" w:pos="3241" w:val="left"/>
        </w:tabs>
        <w:numPr>
          <w:ilvl w:val="1"/>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5" w:lineRule="exact"/>
        <w:rPr>
          <w:rFonts w:ascii="Arial" w:cs="Arial" w:eastAsia="Arial" w:hAnsi="Arial"/>
          <w:sz w:val="18"/>
          <w:szCs w:val="18"/>
          <w:color w:val="auto"/>
        </w:rPr>
      </w:pPr>
    </w:p>
    <w:p>
      <w:pPr>
        <w:jc w:val="both"/>
        <w:ind w:firstLine="2338"/>
        <w:spacing w:after="0" w:line="270" w:lineRule="auto"/>
        <w:tabs>
          <w:tab w:leader="none" w:pos="3231" w:val="left"/>
        </w:tabs>
        <w:numPr>
          <w:ilvl w:val="1"/>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Incentive Stock Options</w:t>
      </w:r>
      <w:r>
        <w:rPr>
          <w:rFonts w:ascii="Arial" w:cs="Arial" w:eastAsia="Arial" w:hAnsi="Arial"/>
          <w:sz w:val="17"/>
          <w:szCs w:val="17"/>
          <w:color w:val="auto"/>
        </w:rPr>
        <w:t>. The terms of any Incentive Stock Option granted under the Plan shall comply in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80" w:lineRule="exact"/>
        <w:rPr>
          <w:rFonts w:ascii="Arial" w:cs="Arial" w:eastAsia="Arial" w:hAnsi="Arial"/>
          <w:sz w:val="17"/>
          <w:szCs w:val="17"/>
          <w:color w:val="auto"/>
        </w:rPr>
      </w:pPr>
    </w:p>
    <w:p>
      <w:pPr>
        <w:jc w:val="both"/>
        <w:ind w:firstLine="3114"/>
        <w:spacing w:after="0" w:line="293" w:lineRule="auto"/>
        <w:tabs>
          <w:tab w:leader="none" w:pos="3998"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62" w:lineRule="exact"/>
        <w:rPr>
          <w:rFonts w:ascii="Arial" w:cs="Arial" w:eastAsia="Arial" w:hAnsi="Arial"/>
          <w:sz w:val="16"/>
          <w:szCs w:val="16"/>
          <w:color w:val="auto"/>
        </w:rPr>
      </w:pPr>
    </w:p>
    <w:p>
      <w:pPr>
        <w:jc w:val="both"/>
        <w:ind w:firstLine="3114"/>
        <w:spacing w:after="0" w:line="298" w:lineRule="auto"/>
        <w:tabs>
          <w:tab w:leader="none" w:pos="3988"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57" w:lineRule="exact"/>
        <w:rPr>
          <w:rFonts w:ascii="Arial" w:cs="Arial" w:eastAsia="Arial" w:hAnsi="Arial"/>
          <w:sz w:val="16"/>
          <w:szCs w:val="16"/>
          <w:color w:val="auto"/>
        </w:rPr>
      </w:pPr>
    </w:p>
    <w:p>
      <w:pPr>
        <w:jc w:val="both"/>
        <w:ind w:firstLine="3114"/>
        <w:spacing w:after="0" w:line="256" w:lineRule="auto"/>
        <w:tabs>
          <w:tab w:leader="none" w:pos="3988" w:val="left"/>
        </w:tabs>
        <w:numPr>
          <w:ilvl w:val="2"/>
          <w:numId w:val="69"/>
        </w:numPr>
        <w:rPr>
          <w:rFonts w:ascii="Arial" w:cs="Arial" w:eastAsia="Arial" w:hAnsi="Arial"/>
          <w:sz w:val="18"/>
          <w:szCs w:val="18"/>
          <w:color w:val="auto"/>
        </w:rPr>
      </w:pPr>
      <w:r>
        <w:rPr>
          <w:rFonts w:ascii="Arial" w:cs="Arial" w:eastAsia="Arial" w:hAnsi="Arial"/>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8" w:lineRule="exact"/>
        <w:rPr>
          <w:rFonts w:ascii="Arial" w:cs="Arial" w:eastAsia="Arial" w:hAnsi="Arial"/>
          <w:sz w:val="18"/>
          <w:szCs w:val="18"/>
          <w:color w:val="auto"/>
        </w:rPr>
      </w:pPr>
    </w:p>
    <w:p>
      <w:pPr>
        <w:jc w:val="both"/>
        <w:ind w:firstLine="1561"/>
        <w:spacing w:after="0" w:line="260" w:lineRule="auto"/>
        <w:tabs>
          <w:tab w:leader="none" w:pos="2394"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4" w:lineRule="exact"/>
        <w:rPr>
          <w:rFonts w:ascii="Arial" w:cs="Arial" w:eastAsia="Arial" w:hAnsi="Arial"/>
          <w:sz w:val="18"/>
          <w:szCs w:val="18"/>
          <w:color w:val="auto"/>
        </w:rPr>
      </w:pPr>
    </w:p>
    <w:p>
      <w:pPr>
        <w:jc w:val="both"/>
        <w:ind w:firstLine="2338"/>
        <w:spacing w:after="0" w:line="254" w:lineRule="auto"/>
        <w:tabs>
          <w:tab w:leader="none" w:pos="3142" w:val="left"/>
        </w:tabs>
        <w:numPr>
          <w:ilvl w:val="1"/>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6" w:name="page67"/>
    <w:bookmarkEnd w:id="66"/>
    <w:p>
      <w:pPr>
        <w:jc w:val="both"/>
        <w:spacing w:after="0" w:line="270" w:lineRule="auto"/>
        <w:rPr>
          <w:sz w:val="20"/>
          <w:szCs w:val="20"/>
          <w:color w:val="auto"/>
        </w:rPr>
      </w:pPr>
      <w:r>
        <w:rPr>
          <w:rFonts w:ascii="Arial" w:cs="Arial" w:eastAsia="Arial" w:hAnsi="Arial"/>
          <w:sz w:val="17"/>
          <w:szCs w:val="17"/>
          <w:color w:val="auto"/>
        </w:rPr>
        <w:t>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1" w:lineRule="exact"/>
        <w:rPr>
          <w:sz w:val="20"/>
          <w:szCs w:val="20"/>
          <w:color w:val="auto"/>
        </w:rPr>
      </w:pPr>
    </w:p>
    <w:p>
      <w:pPr>
        <w:jc w:val="both"/>
        <w:ind w:firstLine="2338"/>
        <w:spacing w:after="0" w:line="252" w:lineRule="auto"/>
        <w:tabs>
          <w:tab w:leader="none" w:pos="3192" w:val="left"/>
        </w:tabs>
        <w:numPr>
          <w:ilvl w:val="1"/>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93" w:lineRule="exact"/>
        <w:rPr>
          <w:rFonts w:ascii="Arial" w:cs="Arial" w:eastAsia="Arial" w:hAnsi="Arial"/>
          <w:sz w:val="18"/>
          <w:szCs w:val="18"/>
          <w:color w:val="auto"/>
        </w:rPr>
      </w:pPr>
    </w:p>
    <w:p>
      <w:pPr>
        <w:ind w:left="2420" w:hanging="859"/>
        <w:spacing w:after="0"/>
        <w:tabs>
          <w:tab w:leader="none" w:pos="242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08" w:lineRule="exact"/>
        <w:rPr>
          <w:rFonts w:ascii="Arial" w:cs="Arial" w:eastAsia="Arial" w:hAnsi="Arial"/>
          <w:sz w:val="16"/>
          <w:szCs w:val="16"/>
          <w:color w:val="auto"/>
        </w:rPr>
      </w:pPr>
    </w:p>
    <w:p>
      <w:pPr>
        <w:jc w:val="both"/>
        <w:ind w:firstLine="2338"/>
        <w:spacing w:after="0" w:line="285" w:lineRule="auto"/>
        <w:tabs>
          <w:tab w:leader="none" w:pos="3142"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73" w:lineRule="exact"/>
        <w:rPr>
          <w:sz w:val="20"/>
          <w:szCs w:val="20"/>
          <w:color w:val="auto"/>
        </w:rPr>
      </w:pPr>
    </w:p>
    <w:p>
      <w:pPr>
        <w:jc w:val="both"/>
        <w:ind w:firstLine="2338"/>
        <w:spacing w:after="0" w:line="270" w:lineRule="auto"/>
        <w:tabs>
          <w:tab w:leader="none" w:pos="3192"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80" w:lineRule="exact"/>
        <w:rPr>
          <w:rFonts w:ascii="Arial" w:cs="Arial" w:eastAsia="Arial" w:hAnsi="Arial"/>
          <w:sz w:val="17"/>
          <w:szCs w:val="17"/>
          <w:color w:val="auto"/>
        </w:rPr>
      </w:pPr>
    </w:p>
    <w:p>
      <w:pPr>
        <w:jc w:val="both"/>
        <w:ind w:firstLine="2338"/>
        <w:spacing w:after="0" w:line="298" w:lineRule="auto"/>
        <w:tabs>
          <w:tab w:leader="none" w:pos="3241"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7" w:lineRule="exact"/>
        <w:rPr>
          <w:rFonts w:ascii="Arial" w:cs="Arial" w:eastAsia="Arial" w:hAnsi="Arial"/>
          <w:sz w:val="16"/>
          <w:szCs w:val="16"/>
          <w:color w:val="auto"/>
        </w:rPr>
      </w:pPr>
    </w:p>
    <w:p>
      <w:pPr>
        <w:jc w:val="both"/>
        <w:ind w:firstLine="2338"/>
        <w:spacing w:after="0" w:line="268" w:lineRule="auto"/>
        <w:tabs>
          <w:tab w:leader="none" w:pos="3231"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83" w:lineRule="exact"/>
        <w:rPr>
          <w:sz w:val="20"/>
          <w:szCs w:val="20"/>
          <w:color w:val="auto"/>
        </w:rPr>
      </w:pPr>
    </w:p>
    <w:p>
      <w:pPr>
        <w:ind w:firstLine="1561"/>
        <w:spacing w:after="0" w:line="271" w:lineRule="auto"/>
        <w:tabs>
          <w:tab w:leader="none" w:pos="2394"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7" w:name="page68"/>
    <w:bookmarkEnd w:id="67"/>
    <w:p>
      <w:pPr>
        <w:jc w:val="both"/>
        <w:ind w:firstLine="2338"/>
        <w:spacing w:after="0" w:line="267" w:lineRule="auto"/>
        <w:tabs>
          <w:tab w:leader="none" w:pos="3142" w:val="left"/>
        </w:tabs>
        <w:numPr>
          <w:ilvl w:val="2"/>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Award and Restrictions</w:t>
      </w:r>
      <w:r>
        <w:rPr>
          <w:rFonts w:ascii="Arial" w:cs="Arial" w:eastAsia="Arial" w:hAnsi="Arial"/>
          <w:sz w:val="17"/>
          <w:szCs w:val="17"/>
          <w:color w:val="auto"/>
        </w:rPr>
        <w:t>. Satisfaction of a Deferred Award shall occur upon expiration of the deferral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83" w:lineRule="exact"/>
        <w:rPr>
          <w:rFonts w:ascii="Arial" w:cs="Arial" w:eastAsia="Arial" w:hAnsi="Arial"/>
          <w:sz w:val="17"/>
          <w:szCs w:val="17"/>
          <w:color w:val="auto"/>
        </w:rPr>
      </w:pPr>
    </w:p>
    <w:p>
      <w:pPr>
        <w:jc w:val="both"/>
        <w:ind w:firstLine="2338"/>
        <w:spacing w:after="0" w:line="269" w:lineRule="auto"/>
        <w:tabs>
          <w:tab w:leader="none" w:pos="3192" w:val="left"/>
        </w:tabs>
        <w:numPr>
          <w:ilvl w:val="2"/>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81" w:lineRule="exact"/>
        <w:rPr>
          <w:rFonts w:ascii="Arial" w:cs="Arial" w:eastAsia="Arial" w:hAnsi="Arial"/>
          <w:sz w:val="17"/>
          <w:szCs w:val="17"/>
          <w:color w:val="auto"/>
        </w:rPr>
      </w:pPr>
    </w:p>
    <w:p>
      <w:pPr>
        <w:jc w:val="both"/>
        <w:ind w:firstLine="2338"/>
        <w:spacing w:after="0" w:line="287" w:lineRule="auto"/>
        <w:tabs>
          <w:tab w:leader="none" w:pos="3241" w:val="left"/>
        </w:tabs>
        <w:numPr>
          <w:ilvl w:val="2"/>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spacing w:after="0" w:line="1" w:lineRule="exact"/>
        <w:rPr>
          <w:rFonts w:ascii="Arial" w:cs="Arial" w:eastAsia="Arial" w:hAnsi="Arial"/>
          <w:sz w:val="16"/>
          <w:szCs w:val="16"/>
          <w:color w:val="auto"/>
        </w:rPr>
      </w:pPr>
    </w:p>
    <w:p>
      <w:pPr>
        <w:jc w:val="both"/>
        <w:ind w:firstLine="7"/>
        <w:spacing w:after="0" w:line="267" w:lineRule="auto"/>
        <w:tabs>
          <w:tab w:leader="none" w:pos="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79" w:lineRule="exact"/>
        <w:rPr>
          <w:rFonts w:ascii="Arial" w:cs="Arial" w:eastAsia="Arial" w:hAnsi="Arial"/>
          <w:sz w:val="17"/>
          <w:szCs w:val="17"/>
          <w:color w:val="auto"/>
        </w:rPr>
      </w:pPr>
    </w:p>
    <w:p>
      <w:pPr>
        <w:jc w:val="both"/>
        <w:ind w:firstLine="1561"/>
        <w:spacing w:after="0" w:line="293" w:lineRule="auto"/>
        <w:tabs>
          <w:tab w:leader="none" w:pos="2375"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62" w:lineRule="exact"/>
        <w:rPr>
          <w:rFonts w:ascii="Arial" w:cs="Arial" w:eastAsia="Arial" w:hAnsi="Arial"/>
          <w:sz w:val="16"/>
          <w:szCs w:val="16"/>
          <w:color w:val="auto"/>
        </w:rPr>
      </w:pPr>
    </w:p>
    <w:p>
      <w:pPr>
        <w:jc w:val="both"/>
        <w:ind w:firstLine="1561"/>
        <w:spacing w:after="0" w:line="268" w:lineRule="auto"/>
        <w:tabs>
          <w:tab w:leader="none" w:pos="2404" w:val="left"/>
        </w:tabs>
        <w:numPr>
          <w:ilvl w:val="1"/>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78" w:lineRule="exact"/>
        <w:rPr>
          <w:rFonts w:ascii="Arial" w:cs="Arial" w:eastAsia="Arial" w:hAnsi="Arial"/>
          <w:sz w:val="17"/>
          <w:szCs w:val="17"/>
          <w:color w:val="auto"/>
        </w:rPr>
      </w:pPr>
    </w:p>
    <w:p>
      <w:pPr>
        <w:jc w:val="both"/>
        <w:ind w:firstLine="1561"/>
        <w:spacing w:after="0" w:line="268" w:lineRule="auto"/>
        <w:tabs>
          <w:tab w:leader="none" w:pos="2404" w:val="left"/>
        </w:tabs>
        <w:numPr>
          <w:ilvl w:val="1"/>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18"/>
          <w:szCs w:val="18"/>
          <w:color w:val="auto"/>
        </w:rPr>
        <w:t>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5" w:lineRule="exact"/>
        <w:rPr>
          <w:sz w:val="20"/>
          <w:szCs w:val="20"/>
          <w:color w:val="auto"/>
        </w:rPr>
      </w:pPr>
    </w:p>
    <w:p>
      <w:pPr>
        <w:jc w:val="both"/>
        <w:ind w:firstLine="1561"/>
        <w:spacing w:after="0" w:line="268" w:lineRule="auto"/>
        <w:tabs>
          <w:tab w:leader="none" w:pos="2365" w:val="left"/>
        </w:tabs>
        <w:numPr>
          <w:ilvl w:val="1"/>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The Committee is authorized, subject to limitations under applicable law, to grant to any Eligible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78" w:lineRule="exact"/>
        <w:rPr>
          <w:rFonts w:ascii="Arial" w:cs="Arial" w:eastAsia="Arial" w:hAnsi="Arial"/>
          <w:sz w:val="17"/>
          <w:szCs w:val="17"/>
          <w:color w:val="auto"/>
        </w:rPr>
      </w:pPr>
    </w:p>
    <w:p>
      <w:pPr>
        <w:ind w:left="1560" w:hanging="776"/>
        <w:spacing w:after="0"/>
        <w:tabs>
          <w:tab w:leader="none" w:pos="15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561"/>
        <w:spacing w:after="0" w:line="285" w:lineRule="auto"/>
        <w:tabs>
          <w:tab w:leader="none" w:pos="2394"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68" w:lineRule="exact"/>
        <w:rPr>
          <w:rFonts w:ascii="Arial" w:cs="Arial" w:eastAsia="Arial" w:hAnsi="Arial"/>
          <w:sz w:val="16"/>
          <w:szCs w:val="16"/>
          <w:color w:val="auto"/>
        </w:rPr>
      </w:pPr>
    </w:p>
    <w:p>
      <w:pPr>
        <w:jc w:val="both"/>
        <w:ind w:firstLine="1561"/>
        <w:spacing w:after="0" w:line="260" w:lineRule="auto"/>
        <w:tabs>
          <w:tab w:leader="none" w:pos="2404"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event shall the term of any Option or Stock Appreciation Right exceed a period of ten years (or in the case of an Incentive Stock Option such shorter term as may be required under Section 422 of the Code).</w:t>
      </w:r>
    </w:p>
    <w:p>
      <w:pPr>
        <w:spacing w:after="0" w:line="184" w:lineRule="exact"/>
        <w:rPr>
          <w:rFonts w:ascii="Arial" w:cs="Arial" w:eastAsia="Arial" w:hAnsi="Arial"/>
          <w:sz w:val="18"/>
          <w:szCs w:val="18"/>
          <w:color w:val="auto"/>
        </w:rPr>
      </w:pPr>
    </w:p>
    <w:p>
      <w:pPr>
        <w:jc w:val="both"/>
        <w:ind w:firstLine="1561"/>
        <w:spacing w:after="0" w:line="283" w:lineRule="auto"/>
        <w:tabs>
          <w:tab w:leader="none" w:pos="2394"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7" w:lineRule="exact"/>
        <w:rPr>
          <w:rFonts w:ascii="Arial" w:cs="Arial" w:eastAsia="Arial" w:hAnsi="Arial"/>
          <w:sz w:val="16"/>
          <w:szCs w:val="16"/>
          <w:color w:val="auto"/>
        </w:rPr>
      </w:pPr>
    </w:p>
    <w:p>
      <w:pPr>
        <w:jc w:val="both"/>
        <w:ind w:firstLine="1561"/>
        <w:spacing w:after="0" w:line="293" w:lineRule="auto"/>
        <w:tabs>
          <w:tab w:leader="none" w:pos="2404"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9" w:name="page70"/>
    <w:bookmarkEnd w:id="69"/>
    <w:p>
      <w:pPr>
        <w:ind w:firstLine="1561"/>
        <w:spacing w:after="0" w:line="271" w:lineRule="auto"/>
        <w:tabs>
          <w:tab w:leader="none" w:pos="2394"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5" w:lineRule="exact"/>
        <w:rPr>
          <w:rFonts w:ascii="Arial" w:cs="Arial" w:eastAsia="Arial" w:hAnsi="Arial"/>
          <w:sz w:val="18"/>
          <w:szCs w:val="18"/>
          <w:color w:val="auto"/>
        </w:rPr>
      </w:pPr>
    </w:p>
    <w:p>
      <w:pPr>
        <w:jc w:val="both"/>
        <w:ind w:firstLine="2338"/>
        <w:spacing w:after="0" w:line="272" w:lineRule="auto"/>
        <w:tabs>
          <w:tab w:leader="none" w:pos="3142"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78" w:lineRule="exact"/>
        <w:rPr>
          <w:rFonts w:ascii="Arial" w:cs="Arial" w:eastAsia="Arial" w:hAnsi="Arial"/>
          <w:sz w:val="17"/>
          <w:szCs w:val="17"/>
          <w:color w:val="auto"/>
        </w:rPr>
      </w:pPr>
    </w:p>
    <w:p>
      <w:pPr>
        <w:ind w:right="20" w:firstLine="2338"/>
        <w:spacing w:after="0" w:line="271" w:lineRule="auto"/>
        <w:tabs>
          <w:tab w:leader="none" w:pos="31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5" w:lineRule="exact"/>
        <w:rPr>
          <w:rFonts w:ascii="Arial" w:cs="Arial" w:eastAsia="Arial" w:hAnsi="Arial"/>
          <w:sz w:val="18"/>
          <w:szCs w:val="18"/>
          <w:color w:val="auto"/>
        </w:rPr>
      </w:pPr>
    </w:p>
    <w:p>
      <w:pPr>
        <w:jc w:val="both"/>
        <w:ind w:firstLine="3114"/>
        <w:spacing w:after="0" w:line="276" w:lineRule="auto"/>
        <w:tabs>
          <w:tab w:leader="none" w:pos="3998" w:val="left"/>
        </w:tabs>
        <w:numPr>
          <w:ilvl w:val="2"/>
          <w:numId w:val="79"/>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2" w:lineRule="exact"/>
        <w:rPr>
          <w:rFonts w:ascii="Arial" w:cs="Arial" w:eastAsia="Arial" w:hAnsi="Arial"/>
          <w:sz w:val="17"/>
          <w:szCs w:val="17"/>
          <w:color w:val="auto"/>
        </w:rPr>
      </w:pPr>
    </w:p>
    <w:p>
      <w:pPr>
        <w:ind w:left="4000" w:hanging="886"/>
        <w:spacing w:after="0"/>
        <w:tabs>
          <w:tab w:leader="none" w:pos="4000"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 to</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extent provided in applicable Treasury Regulations or other applicable guidance issued by the Internal Revenue Service;</w:t>
      </w:r>
    </w:p>
    <w:p>
      <w:pPr>
        <w:spacing w:after="0" w:line="208" w:lineRule="exact"/>
        <w:rPr>
          <w:rFonts w:ascii="Arial" w:cs="Arial" w:eastAsia="Arial" w:hAnsi="Arial"/>
          <w:sz w:val="16"/>
          <w:szCs w:val="16"/>
          <w:color w:val="auto"/>
        </w:rPr>
      </w:pPr>
    </w:p>
    <w:p>
      <w:pPr>
        <w:ind w:firstLine="3114"/>
        <w:spacing w:after="0" w:line="271" w:lineRule="auto"/>
        <w:tabs>
          <w:tab w:leader="none" w:pos="3988" w:val="left"/>
        </w:tabs>
        <w:numPr>
          <w:ilvl w:val="2"/>
          <w:numId w:val="79"/>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75" w:lineRule="exact"/>
        <w:rPr>
          <w:rFonts w:ascii="Arial" w:cs="Arial" w:eastAsia="Arial" w:hAnsi="Arial"/>
          <w:sz w:val="18"/>
          <w:szCs w:val="18"/>
          <w:color w:val="auto"/>
        </w:rPr>
      </w:pPr>
    </w:p>
    <w:p>
      <w:pPr>
        <w:jc w:val="both"/>
        <w:ind w:firstLine="3114"/>
        <w:spacing w:after="0" w:line="260" w:lineRule="auto"/>
        <w:tabs>
          <w:tab w:leader="none" w:pos="3998" w:val="left"/>
        </w:tabs>
        <w:numPr>
          <w:ilvl w:val="2"/>
          <w:numId w:val="79"/>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5" w:lineRule="exact"/>
        <w:rPr>
          <w:sz w:val="20"/>
          <w:szCs w:val="20"/>
          <w:color w:val="auto"/>
        </w:rPr>
      </w:pPr>
    </w:p>
    <w:p>
      <w:pPr>
        <w:jc w:val="both"/>
        <w:ind w:firstLine="2338"/>
        <w:spacing w:after="0" w:line="253" w:lineRule="auto"/>
        <w:tabs>
          <w:tab w:leader="none" w:pos="3241"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91" w:lineRule="exact"/>
        <w:rPr>
          <w:rFonts w:ascii="Arial" w:cs="Arial" w:eastAsia="Arial" w:hAnsi="Arial"/>
          <w:sz w:val="18"/>
          <w:szCs w:val="18"/>
          <w:color w:val="auto"/>
        </w:rPr>
      </w:pPr>
    </w:p>
    <w:p>
      <w:pPr>
        <w:ind w:left="2380" w:hanging="819"/>
        <w:spacing w:after="0"/>
        <w:tabs>
          <w:tab w:leader="none" w:pos="23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2338"/>
        <w:spacing w:after="0" w:line="267" w:lineRule="auto"/>
        <w:tabs>
          <w:tab w:leader="none" w:pos="3213"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3" w:lineRule="exact"/>
        <w:rPr>
          <w:sz w:val="20"/>
          <w:szCs w:val="20"/>
          <w:color w:val="auto"/>
        </w:rPr>
      </w:pPr>
    </w:p>
    <w:p>
      <w:pPr>
        <w:jc w:val="both"/>
        <w:ind w:firstLine="2338"/>
        <w:spacing w:after="0" w:line="254" w:lineRule="auto"/>
        <w:tabs>
          <w:tab w:leader="none" w:pos="319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0" w:name="page71"/>
    <w:bookmarkEnd w:id="70"/>
    <w:p>
      <w:pPr>
        <w:jc w:val="both"/>
        <w:spacing w:after="0" w:line="256" w:lineRule="auto"/>
        <w:rPr>
          <w:sz w:val="20"/>
          <w:szCs w:val="20"/>
          <w:color w:val="auto"/>
        </w:rPr>
      </w:pPr>
      <w:r>
        <w:rPr>
          <w:rFonts w:ascii="Arial" w:cs="Arial" w:eastAsia="Arial" w:hAnsi="Arial"/>
          <w:sz w:val="18"/>
          <w:szCs w:val="18"/>
          <w:color w:val="auto"/>
        </w:rPr>
        <w:t>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89" w:lineRule="exact"/>
        <w:rPr>
          <w:sz w:val="20"/>
          <w:szCs w:val="20"/>
          <w:color w:val="auto"/>
        </w:rPr>
      </w:pPr>
    </w:p>
    <w:p>
      <w:pPr>
        <w:ind w:left="1560" w:hanging="776"/>
        <w:spacing w:after="0"/>
        <w:tabs>
          <w:tab w:leader="none" w:pos="1560" w:val="left"/>
        </w:tabs>
        <w:numPr>
          <w:ilvl w:val="1"/>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561"/>
        <w:spacing w:after="0" w:line="260" w:lineRule="auto"/>
        <w:tabs>
          <w:tab w:leader="none" w:pos="2394" w:val="left"/>
        </w:tabs>
        <w:numPr>
          <w:ilvl w:val="2"/>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is, or is likely to be, as of the end of the tax year in which the Company would claim a tax deduction in connection with such Award, a Covered Employee, that the provisions of this Section 9 shall be applicable to such Award.</w:t>
      </w:r>
    </w:p>
    <w:p>
      <w:pPr>
        <w:spacing w:after="0" w:line="184" w:lineRule="exact"/>
        <w:rPr>
          <w:rFonts w:ascii="Arial" w:cs="Arial" w:eastAsia="Arial" w:hAnsi="Arial"/>
          <w:sz w:val="18"/>
          <w:szCs w:val="18"/>
          <w:color w:val="auto"/>
        </w:rPr>
      </w:pPr>
    </w:p>
    <w:p>
      <w:pPr>
        <w:jc w:val="both"/>
        <w:ind w:firstLine="1561"/>
        <w:spacing w:after="0" w:line="281" w:lineRule="auto"/>
        <w:tabs>
          <w:tab w:leader="none" w:pos="2404" w:val="left"/>
        </w:tabs>
        <w:numPr>
          <w:ilvl w:val="2"/>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w:t>
      </w:r>
    </w:p>
    <w:p>
      <w:pPr>
        <w:jc w:val="both"/>
        <w:ind w:firstLine="7"/>
        <w:spacing w:after="0" w:line="266" w:lineRule="auto"/>
        <w:tabs>
          <w:tab w:leader="none" w:pos="3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83" w:lineRule="exact"/>
        <w:rPr>
          <w:rFonts w:ascii="Arial" w:cs="Arial" w:eastAsia="Arial" w:hAnsi="Arial"/>
          <w:sz w:val="17"/>
          <w:szCs w:val="17"/>
          <w:color w:val="auto"/>
        </w:rPr>
      </w:pPr>
    </w:p>
    <w:p>
      <w:pPr>
        <w:jc w:val="both"/>
        <w:ind w:firstLine="1561"/>
        <w:spacing w:after="0" w:line="254" w:lineRule="auto"/>
        <w:tabs>
          <w:tab w:leader="none" w:pos="2394" w:val="left"/>
        </w:tabs>
        <w:numPr>
          <w:ilvl w:val="2"/>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90" w:lineRule="exact"/>
        <w:rPr>
          <w:rFonts w:ascii="Arial" w:cs="Arial" w:eastAsia="Arial" w:hAnsi="Arial"/>
          <w:sz w:val="18"/>
          <w:szCs w:val="18"/>
          <w:color w:val="auto"/>
        </w:rPr>
      </w:pPr>
    </w:p>
    <w:p>
      <w:pPr>
        <w:jc w:val="both"/>
        <w:ind w:firstLine="1561"/>
        <w:spacing w:after="0" w:line="256" w:lineRule="auto"/>
        <w:tabs>
          <w:tab w:leader="none" w:pos="2404" w:val="left"/>
        </w:tabs>
        <w:numPr>
          <w:ilvl w:val="2"/>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88" w:lineRule="exact"/>
        <w:rPr>
          <w:rFonts w:ascii="Arial" w:cs="Arial" w:eastAsia="Arial" w:hAnsi="Arial"/>
          <w:sz w:val="18"/>
          <w:szCs w:val="18"/>
          <w:color w:val="auto"/>
        </w:rPr>
      </w:pPr>
    </w:p>
    <w:p>
      <w:pPr>
        <w:jc w:val="both"/>
        <w:ind w:firstLine="1561"/>
        <w:spacing w:after="0" w:line="256" w:lineRule="auto"/>
        <w:tabs>
          <w:tab w:leader="none" w:pos="2394" w:val="left"/>
        </w:tabs>
        <w:numPr>
          <w:ilvl w:val="2"/>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8" w:lineRule="exact"/>
        <w:rPr>
          <w:rFonts w:ascii="Arial" w:cs="Arial" w:eastAsia="Arial" w:hAnsi="Arial"/>
          <w:sz w:val="18"/>
          <w:szCs w:val="18"/>
          <w:color w:val="auto"/>
        </w:rPr>
      </w:pPr>
    </w:p>
    <w:p>
      <w:pPr>
        <w:ind w:left="1660" w:hanging="876"/>
        <w:spacing w:after="0"/>
        <w:tabs>
          <w:tab w:leader="none" w:pos="1660" w:val="left"/>
        </w:tabs>
        <w:numPr>
          <w:ilvl w:val="1"/>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561"/>
        <w:spacing w:after="0" w:line="290" w:lineRule="auto"/>
        <w:tabs>
          <w:tab w:leader="none" w:pos="2394" w:val="left"/>
        </w:tabs>
        <w:numPr>
          <w:ilvl w:val="2"/>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1" w:name="page72"/>
    <w:bookmarkEnd w:id="71"/>
    <w:p>
      <w:pPr>
        <w:jc w:val="both"/>
        <w:spacing w:after="0" w:line="282" w:lineRule="auto"/>
        <w:rPr>
          <w:sz w:val="20"/>
          <w:szCs w:val="20"/>
          <w:color w:val="auto"/>
        </w:rPr>
      </w:pPr>
      <w:r>
        <w:rPr>
          <w:rFonts w:ascii="Arial" w:cs="Arial" w:eastAsia="Arial" w:hAnsi="Arial"/>
          <w:sz w:val="16"/>
          <w:szCs w:val="16"/>
          <w:color w:val="auto"/>
        </w:rPr>
        <w:t>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81" w:lineRule="exact"/>
        <w:rPr>
          <w:sz w:val="20"/>
          <w:szCs w:val="20"/>
          <w:color w:val="auto"/>
        </w:rPr>
      </w:pPr>
    </w:p>
    <w:p>
      <w:pPr>
        <w:ind w:firstLine="1561"/>
        <w:spacing w:after="0" w:line="335" w:lineRule="auto"/>
        <w:tabs>
          <w:tab w:leader="none" w:pos="2404"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 of “Change in Control”</w:t>
      </w:r>
      <w:r>
        <w:rPr>
          <w:rFonts w:ascii="Arial" w:cs="Arial" w:eastAsia="Arial" w:hAnsi="Arial"/>
          <w:sz w:val="16"/>
          <w:szCs w:val="16"/>
          <w:color w:val="auto"/>
        </w:rPr>
        <w:t>. Unless otherwise specified in any employment or other agreement for services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Participant and the Company or any Subsidiary, or in an Award Agreement, a “Change in Control” shall mean the occurrence of any of the following:</w:t>
      </w:r>
    </w:p>
    <w:p>
      <w:pPr>
        <w:spacing w:after="0" w:line="129" w:lineRule="exact"/>
        <w:rPr>
          <w:rFonts w:ascii="Arial" w:cs="Arial" w:eastAsia="Arial" w:hAnsi="Arial"/>
          <w:sz w:val="16"/>
          <w:szCs w:val="16"/>
          <w:color w:val="auto"/>
        </w:rPr>
      </w:pPr>
    </w:p>
    <w:p>
      <w:pPr>
        <w:jc w:val="both"/>
        <w:ind w:firstLine="2338"/>
        <w:spacing w:after="0" w:line="287" w:lineRule="auto"/>
        <w:tabs>
          <w:tab w:leader="none" w:pos="3142"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68" w:lineRule="exact"/>
        <w:rPr>
          <w:rFonts w:ascii="Arial" w:cs="Arial" w:eastAsia="Arial" w:hAnsi="Arial"/>
          <w:sz w:val="16"/>
          <w:szCs w:val="16"/>
          <w:color w:val="auto"/>
        </w:rPr>
      </w:pPr>
    </w:p>
    <w:p>
      <w:pPr>
        <w:jc w:val="both"/>
        <w:ind w:firstLine="2338"/>
        <w:spacing w:after="0" w:line="252" w:lineRule="auto"/>
        <w:tabs>
          <w:tab w:leader="none" w:pos="31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3" w:lineRule="exact"/>
        <w:rPr>
          <w:rFonts w:ascii="Arial" w:cs="Arial" w:eastAsia="Arial" w:hAnsi="Arial"/>
          <w:sz w:val="18"/>
          <w:szCs w:val="18"/>
          <w:color w:val="auto"/>
        </w:rPr>
      </w:pPr>
    </w:p>
    <w:p>
      <w:pPr>
        <w:jc w:val="both"/>
        <w:ind w:firstLine="2338"/>
        <w:spacing w:after="0" w:line="284" w:lineRule="auto"/>
        <w:tabs>
          <w:tab w:leader="none" w:pos="3241" w:val="left"/>
        </w:tabs>
        <w:numPr>
          <w:ilvl w:val="1"/>
          <w:numId w:val="86"/>
        </w:numPr>
        <w:rPr>
          <w:rFonts w:ascii="Arial" w:cs="Arial" w:eastAsia="Arial" w:hAnsi="Arial"/>
          <w:sz w:val="16"/>
          <w:szCs w:val="16"/>
          <w:color w:val="auto"/>
        </w:rPr>
      </w:pPr>
      <w:r>
        <w:rPr>
          <w:rFonts w:ascii="Arial" w:cs="Arial" w:eastAsia="Arial" w:hAnsi="Arial"/>
          <w:sz w:val="16"/>
          <w:szCs w:val="16"/>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2" w:name="page73"/>
    <w:bookmarkEnd w:id="72"/>
    <w:p>
      <w:pPr>
        <w:jc w:val="both"/>
        <w:spacing w:after="0" w:line="254" w:lineRule="auto"/>
        <w:rPr>
          <w:sz w:val="20"/>
          <w:szCs w:val="20"/>
          <w:color w:val="auto"/>
        </w:rPr>
      </w:pPr>
      <w:r>
        <w:rPr>
          <w:rFonts w:ascii="Arial" w:cs="Arial" w:eastAsia="Arial" w:hAnsi="Arial"/>
          <w:sz w:val="18"/>
          <w:szCs w:val="18"/>
          <w:color w:val="auto"/>
        </w:rPr>
        <w:t>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1" w:lineRule="exact"/>
        <w:rPr>
          <w:sz w:val="20"/>
          <w:szCs w:val="20"/>
          <w:color w:val="auto"/>
        </w:rPr>
      </w:pPr>
    </w:p>
    <w:p>
      <w:pPr>
        <w:ind w:left="3240" w:hanging="902"/>
        <w:spacing w:after="0"/>
        <w:tabs>
          <w:tab w:leader="none" w:pos="32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1" w:lineRule="exact"/>
        <w:rPr>
          <w:rFonts w:ascii="Arial" w:cs="Arial" w:eastAsia="Arial" w:hAnsi="Arial"/>
          <w:sz w:val="18"/>
          <w:szCs w:val="18"/>
          <w:color w:val="auto"/>
        </w:rPr>
      </w:pPr>
    </w:p>
    <w:p>
      <w:pPr>
        <w:ind w:left="1640" w:hanging="856"/>
        <w:spacing w:after="0"/>
        <w:tabs>
          <w:tab w:leader="none" w:pos="164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561"/>
        <w:spacing w:after="0" w:line="290" w:lineRule="auto"/>
        <w:tabs>
          <w:tab w:leader="none" w:pos="2394" w:val="left"/>
        </w:tabs>
        <w:numPr>
          <w:ilvl w:val="1"/>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Legal and Other Requirements</w:t>
      </w:r>
      <w:r>
        <w:rPr>
          <w:rFonts w:ascii="Arial" w:cs="Arial" w:eastAsia="Arial" w:hAnsi="Arial"/>
          <w:sz w:val="16"/>
          <w:szCs w:val="16"/>
          <w:color w:val="auto"/>
        </w:rPr>
        <w:t>. The Company may, to the extent deemed necessary or advisable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66" w:lineRule="exact"/>
        <w:rPr>
          <w:rFonts w:ascii="Arial" w:cs="Arial" w:eastAsia="Arial" w:hAnsi="Arial"/>
          <w:sz w:val="16"/>
          <w:szCs w:val="16"/>
          <w:color w:val="auto"/>
        </w:rPr>
      </w:pPr>
    </w:p>
    <w:p>
      <w:pPr>
        <w:jc w:val="both"/>
        <w:ind w:firstLine="1561"/>
        <w:spacing w:after="0" w:line="283" w:lineRule="auto"/>
        <w:tabs>
          <w:tab w:leader="none" w:pos="2404" w:val="left"/>
        </w:tabs>
        <w:numPr>
          <w:ilvl w:val="1"/>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5" w:lineRule="exact"/>
        <w:rPr>
          <w:rFonts w:ascii="Arial" w:cs="Arial" w:eastAsia="Arial" w:hAnsi="Arial"/>
          <w:sz w:val="16"/>
          <w:szCs w:val="16"/>
          <w:color w:val="auto"/>
        </w:rPr>
      </w:pPr>
    </w:p>
    <w:p>
      <w:pPr>
        <w:ind w:left="2400" w:hanging="839"/>
        <w:spacing w:after="0"/>
        <w:tabs>
          <w:tab w:leader="none" w:pos="2400"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2338"/>
        <w:spacing w:after="0" w:line="265" w:lineRule="auto"/>
        <w:tabs>
          <w:tab w:leader="none" w:pos="3142" w:val="left"/>
        </w:tabs>
        <w:numPr>
          <w:ilvl w:val="2"/>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Board Accounting Standards Codification Topic 718, Compensation - Stock Compensation or any other applicable accounting standard.</w:t>
      </w:r>
    </w:p>
    <w:p>
      <w:pPr>
        <w:spacing w:after="0" w:line="222" w:lineRule="exact"/>
        <w:rPr>
          <w:sz w:val="20"/>
          <w:szCs w:val="20"/>
          <w:color w:val="auto"/>
        </w:rPr>
      </w:pPr>
    </w:p>
    <w:p>
      <w:pPr>
        <w:ind w:left="3200" w:hanging="862"/>
        <w:spacing w:after="0"/>
        <w:tabs>
          <w:tab w:leader="none" w:pos="3200" w:val="left"/>
        </w:tabs>
        <w:numPr>
          <w:ilvl w:val="1"/>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3114"/>
        <w:spacing w:after="0" w:line="284" w:lineRule="auto"/>
        <w:tabs>
          <w:tab w:leader="none" w:pos="3998" w:val="left"/>
        </w:tabs>
        <w:numPr>
          <w:ilvl w:val="2"/>
          <w:numId w:val="89"/>
        </w:numPr>
        <w:rPr>
          <w:rFonts w:ascii="Arial" w:cs="Arial" w:eastAsia="Arial" w:hAnsi="Arial"/>
          <w:sz w:val="16"/>
          <w:szCs w:val="16"/>
          <w:color w:val="auto"/>
        </w:rPr>
      </w:pPr>
      <w:r>
        <w:rPr>
          <w:rFonts w:ascii="Arial" w:cs="Arial" w:eastAsia="Arial" w:hAnsi="Arial"/>
          <w:sz w:val="16"/>
          <w:szCs w:val="16"/>
          <w:color w:val="auto"/>
        </w:rPr>
        <w:t>In the event of any merger, consolidation or other reorganization in which the Company does not 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70" w:lineRule="exact"/>
        <w:rPr>
          <w:rFonts w:ascii="Arial" w:cs="Arial" w:eastAsia="Arial" w:hAnsi="Arial"/>
          <w:sz w:val="16"/>
          <w:szCs w:val="16"/>
          <w:color w:val="auto"/>
        </w:rPr>
      </w:pPr>
    </w:p>
    <w:p>
      <w:pPr>
        <w:jc w:val="both"/>
        <w:ind w:firstLine="3114"/>
        <w:spacing w:after="0" w:line="266" w:lineRule="auto"/>
        <w:tabs>
          <w:tab w:leader="none" w:pos="3988" w:val="left"/>
        </w:tabs>
        <w:numPr>
          <w:ilvl w:val="2"/>
          <w:numId w:val="89"/>
        </w:numPr>
        <w:rPr>
          <w:rFonts w:ascii="Arial" w:cs="Arial" w:eastAsia="Arial" w:hAnsi="Arial"/>
          <w:sz w:val="17"/>
          <w:szCs w:val="17"/>
          <w:color w:val="auto"/>
        </w:rPr>
      </w:pPr>
      <w:r>
        <w:rPr>
          <w:rFonts w:ascii="Arial" w:cs="Arial" w:eastAsia="Arial" w:hAnsi="Arial"/>
          <w:sz w:val="17"/>
          <w:szCs w:val="17"/>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84" w:lineRule="exact"/>
        <w:rPr>
          <w:rFonts w:ascii="Arial" w:cs="Arial" w:eastAsia="Arial" w:hAnsi="Arial"/>
          <w:sz w:val="17"/>
          <w:szCs w:val="17"/>
          <w:color w:val="auto"/>
        </w:rPr>
      </w:pPr>
    </w:p>
    <w:p>
      <w:pPr>
        <w:jc w:val="both"/>
        <w:ind w:firstLine="2338"/>
        <w:spacing w:after="0" w:line="285" w:lineRule="auto"/>
        <w:tabs>
          <w:tab w:leader="none" w:pos="3241" w:val="left"/>
        </w:tabs>
        <w:numPr>
          <w:ilvl w:val="1"/>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68" w:lineRule="exact"/>
        <w:rPr>
          <w:rFonts w:ascii="Arial" w:cs="Arial" w:eastAsia="Arial" w:hAnsi="Arial"/>
          <w:sz w:val="16"/>
          <w:szCs w:val="16"/>
          <w:color w:val="auto"/>
        </w:rPr>
      </w:pPr>
    </w:p>
    <w:p>
      <w:pPr>
        <w:jc w:val="both"/>
        <w:ind w:firstLine="1561"/>
        <w:spacing w:after="0" w:line="252" w:lineRule="auto"/>
        <w:tabs>
          <w:tab w:leader="none" w:pos="2404"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Award Agreements</w:t>
      </w:r>
      <w:r>
        <w:rPr>
          <w:rFonts w:ascii="Arial" w:cs="Arial" w:eastAsia="Arial" w:hAnsi="Arial"/>
          <w:sz w:val="18"/>
          <w:szCs w:val="18"/>
          <w:color w:val="auto"/>
        </w:rPr>
        <w:t>. Each Award Agreement shall either be (i) in writing in a form approved by the Committee and executed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4" w:name="page75"/>
    <w:bookmarkEnd w:id="74"/>
    <w:p>
      <w:pPr>
        <w:jc w:val="both"/>
        <w:ind w:firstLine="1561"/>
        <w:spacing w:after="0" w:line="287" w:lineRule="auto"/>
        <w:tabs>
          <w:tab w:leader="none" w:pos="2394"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8" w:lineRule="exact"/>
        <w:rPr>
          <w:rFonts w:ascii="Arial" w:cs="Arial" w:eastAsia="Arial" w:hAnsi="Arial"/>
          <w:sz w:val="16"/>
          <w:szCs w:val="16"/>
          <w:color w:val="auto"/>
        </w:rPr>
      </w:pPr>
    </w:p>
    <w:p>
      <w:pPr>
        <w:jc w:val="both"/>
        <w:ind w:firstLine="1561"/>
        <w:spacing w:after="0" w:line="286" w:lineRule="auto"/>
        <w:tabs>
          <w:tab w:leader="none" w:pos="2375"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70" w:lineRule="exact"/>
        <w:rPr>
          <w:rFonts w:ascii="Arial" w:cs="Arial" w:eastAsia="Arial" w:hAnsi="Arial"/>
          <w:sz w:val="16"/>
          <w:szCs w:val="16"/>
          <w:color w:val="auto"/>
        </w:rPr>
      </w:pPr>
    </w:p>
    <w:p>
      <w:pPr>
        <w:jc w:val="both"/>
        <w:ind w:firstLine="1561"/>
        <w:spacing w:after="0" w:line="284" w:lineRule="auto"/>
        <w:tabs>
          <w:tab w:leader="none" w:pos="2404"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73" w:lineRule="exact"/>
        <w:rPr>
          <w:rFonts w:ascii="Arial" w:cs="Arial" w:eastAsia="Arial" w:hAnsi="Arial"/>
          <w:sz w:val="16"/>
          <w:szCs w:val="16"/>
          <w:color w:val="auto"/>
        </w:rPr>
      </w:pPr>
    </w:p>
    <w:p>
      <w:pPr>
        <w:jc w:val="both"/>
        <w:ind w:firstLine="1561"/>
        <w:spacing w:after="0" w:line="288" w:lineRule="auto"/>
        <w:tabs>
          <w:tab w:leader="none" w:pos="2404"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9" w:lineRule="exact"/>
        <w:rPr>
          <w:rFonts w:ascii="Arial" w:cs="Arial" w:eastAsia="Arial" w:hAnsi="Arial"/>
          <w:sz w:val="16"/>
          <w:szCs w:val="16"/>
          <w:color w:val="auto"/>
        </w:rPr>
      </w:pPr>
    </w:p>
    <w:p>
      <w:pPr>
        <w:jc w:val="both"/>
        <w:ind w:firstLine="1561"/>
        <w:spacing w:after="0" w:line="282" w:lineRule="auto"/>
        <w:tabs>
          <w:tab w:leader="none" w:pos="2365"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68" w:lineRule="exact"/>
        <w:rPr>
          <w:rFonts w:ascii="Arial" w:cs="Arial" w:eastAsia="Arial" w:hAnsi="Arial"/>
          <w:sz w:val="17"/>
          <w:szCs w:val="17"/>
          <w:color w:val="auto"/>
        </w:rPr>
      </w:pPr>
    </w:p>
    <w:p>
      <w:pPr>
        <w:jc w:val="both"/>
        <w:ind w:firstLine="1561"/>
        <w:spacing w:after="0" w:line="254" w:lineRule="auto"/>
        <w:tabs>
          <w:tab w:leader="none" w:pos="2365"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5" w:name="page76"/>
    <w:bookmarkEnd w:id="75"/>
    <w:p>
      <w:pPr>
        <w:jc w:val="both"/>
        <w:ind w:firstLine="1561"/>
        <w:spacing w:after="0" w:line="260" w:lineRule="auto"/>
        <w:tabs>
          <w:tab w:leader="none" w:pos="2404"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 and regulations under the Plan, and any Award Agreement shall be determined in accordance with the laws of the State of Delaware without giving effect to principles of conflict of laws, and applicable federal law.</w:t>
      </w:r>
    </w:p>
    <w:p>
      <w:pPr>
        <w:spacing w:after="0" w:line="184" w:lineRule="exact"/>
        <w:rPr>
          <w:rFonts w:ascii="Arial" w:cs="Arial" w:eastAsia="Arial" w:hAnsi="Arial"/>
          <w:sz w:val="18"/>
          <w:szCs w:val="18"/>
          <w:color w:val="auto"/>
        </w:rPr>
      </w:pPr>
    </w:p>
    <w:p>
      <w:pPr>
        <w:jc w:val="both"/>
        <w:ind w:firstLine="1561"/>
        <w:spacing w:after="0" w:line="282" w:lineRule="auto"/>
        <w:tabs>
          <w:tab w:leader="none" w:pos="2365"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8" w:lineRule="exact"/>
        <w:rPr>
          <w:rFonts w:ascii="Arial" w:cs="Arial" w:eastAsia="Arial" w:hAnsi="Arial"/>
          <w:sz w:val="17"/>
          <w:szCs w:val="17"/>
          <w:color w:val="auto"/>
        </w:rPr>
      </w:pPr>
    </w:p>
    <w:p>
      <w:pPr>
        <w:jc w:val="both"/>
        <w:ind w:firstLine="1561"/>
        <w:spacing w:after="0" w:line="268" w:lineRule="auto"/>
        <w:tabs>
          <w:tab w:leader="none" w:pos="2454"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82" w:lineRule="exact"/>
        <w:rPr>
          <w:rFonts w:ascii="Arial" w:cs="Arial" w:eastAsia="Arial" w:hAnsi="Arial"/>
          <w:sz w:val="17"/>
          <w:szCs w:val="17"/>
          <w:color w:val="auto"/>
        </w:rPr>
      </w:pPr>
    </w:p>
    <w:p>
      <w:pPr>
        <w:jc w:val="both"/>
        <w:ind w:firstLine="1561"/>
        <w:spacing w:after="0" w:line="260" w:lineRule="auto"/>
        <w:tabs>
          <w:tab w:leader="none" w:pos="2404"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4" w:lineRule="exact"/>
        <w:rPr>
          <w:rFonts w:ascii="Arial" w:cs="Arial" w:eastAsia="Arial" w:hAnsi="Arial"/>
          <w:sz w:val="18"/>
          <w:szCs w:val="18"/>
          <w:color w:val="auto"/>
        </w:rPr>
      </w:pPr>
    </w:p>
    <w:p>
      <w:pPr>
        <w:jc w:val="both"/>
        <w:ind w:firstLine="1561"/>
        <w:spacing w:after="0" w:line="260" w:lineRule="auto"/>
        <w:tabs>
          <w:tab w:leader="none" w:pos="2404"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court of law in any jurisdiction, the remaining provisions hereof and thereof shall be severable and enforceable in accordance with their terms, and all provisions shall remain enforceable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6" w:name="page77"/>
    <w:bookmarkEnd w:id="76"/>
    <w:p>
      <w:pPr>
        <w:ind w:left="5020"/>
        <w:spacing w:after="0"/>
        <w:rPr>
          <w:sz w:val="20"/>
          <w:szCs w:val="20"/>
          <w:color w:val="auto"/>
        </w:rPr>
      </w:pPr>
      <w:r>
        <w:rPr>
          <w:rFonts w:ascii="Arial" w:cs="Arial" w:eastAsia="Arial" w:hAnsi="Arial"/>
          <w:sz w:val="17"/>
          <w:szCs w:val="17"/>
          <w:b w:val="1"/>
          <w:bCs w:val="1"/>
          <w:color w:val="auto"/>
        </w:rPr>
        <w:t>DESTINATION XL GROUP, INC.</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Notice of 2016 Annual Meeting of</w:t>
      </w:r>
    </w:p>
    <w:p>
      <w:pPr>
        <w:spacing w:after="0" w:line="30"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Stockholders and Proxy Statement</w:t>
      </w:r>
    </w:p>
    <w:p>
      <w:pPr>
        <w:spacing w:after="0" w:line="3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Thursday, August 4, 2016</w:t>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9:00 A.M. EDT</w:t>
      </w:r>
    </w:p>
    <w:p>
      <w:pPr>
        <w:spacing w:after="0" w:line="9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Destination XL Group, Inc.</w:t>
      </w:r>
    </w:p>
    <w:p>
      <w:pPr>
        <w:spacing w:after="0" w:line="2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555 Turnpike Street</w:t>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Canton, Massachusetts 02021</w:t>
      </w:r>
    </w:p>
    <w:p>
      <w:pPr>
        <w:spacing w:after="0" w:line="9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Please sign your proxy and</w:t>
      </w:r>
    </w:p>
    <w:p>
      <w:pPr>
        <w:spacing w:after="0" w:line="2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return it in the enclosed</w:t>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postage-paid envelope so</w:t>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that you may be represented</w:t>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469265</wp:posOffset>
            </wp:positionV>
            <wp:extent cx="728980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77" w:name="page78"/>
    <w:bookmarkEnd w:id="77"/>
    <w:p>
      <w:pPr>
        <w:jc w:val="center"/>
        <w:ind w:right="-519"/>
        <w:spacing w:after="0"/>
        <w:rPr>
          <w:sz w:val="20"/>
          <w:szCs w:val="20"/>
          <w:color w:val="auto"/>
        </w:rPr>
      </w:pPr>
      <w:r>
        <w:rPr>
          <w:rFonts w:ascii="Arial" w:cs="Arial" w:eastAsia="Arial" w:hAnsi="Arial"/>
          <w:sz w:val="18"/>
          <w:szCs w:val="18"/>
          <w:b w:val="1"/>
          <w:bCs w:val="1"/>
          <w:color w:val="auto"/>
        </w:rPr>
        <w:t>ANNUAL MEETING OF STOCKHOLDERS OF</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21"/>
          <w:szCs w:val="21"/>
          <w:color w:val="auto"/>
        </w:rPr>
        <w:t>DESTINATION XL GROUP, INC.</w:t>
      </w:r>
    </w:p>
    <w:p>
      <w:pPr>
        <w:spacing w:after="0" w:line="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August 4, 2016</w:t>
      </w:r>
    </w:p>
    <w:p>
      <w:pPr>
        <w:spacing w:after="0" w:line="144" w:lineRule="exact"/>
        <w:rPr>
          <w:sz w:val="20"/>
          <w:szCs w:val="20"/>
          <w:color w:val="auto"/>
        </w:rPr>
      </w:pPr>
    </w:p>
    <w:p>
      <w:pPr>
        <w:jc w:val="center"/>
        <w:ind w:right="-519"/>
        <w:spacing w:after="0"/>
        <w:rPr>
          <w:sz w:val="20"/>
          <w:szCs w:val="20"/>
          <w:color w:val="auto"/>
        </w:rPr>
      </w:pPr>
      <w:r>
        <w:rPr>
          <w:rFonts w:ascii="Arial" w:cs="Arial" w:eastAsia="Arial" w:hAnsi="Arial"/>
          <w:sz w:val="9"/>
          <w:szCs w:val="9"/>
          <w:b w:val="1"/>
          <w:bCs w:val="1"/>
          <w:color w:val="auto"/>
        </w:rPr>
        <w:t>GO GREEN</w:t>
      </w:r>
    </w:p>
    <w:p>
      <w:pPr>
        <w:jc w:val="center"/>
        <w:ind w:right="-519"/>
        <w:spacing w:after="0" w:line="218" w:lineRule="auto"/>
        <w:rPr>
          <w:sz w:val="20"/>
          <w:szCs w:val="20"/>
          <w:color w:val="auto"/>
        </w:rPr>
      </w:pPr>
      <w:r>
        <w:rPr>
          <w:rFonts w:ascii="Arial" w:cs="Arial" w:eastAsia="Arial" w:hAnsi="Arial"/>
          <w:sz w:val="9"/>
          <w:szCs w:val="9"/>
          <w:color w:val="auto"/>
        </w:rPr>
        <w:t>e-consent makes it easy to go paperless. With e-consent, you can quickly access your proxy material, statements and other eligible documents online, while reducing costs, clutter and paper</w:t>
      </w:r>
    </w:p>
    <w:p>
      <w:pPr>
        <w:jc w:val="center"/>
        <w:ind w:right="-519"/>
        <w:spacing w:after="0"/>
        <w:rPr>
          <w:sz w:val="20"/>
          <w:szCs w:val="20"/>
          <w:color w:val="auto"/>
        </w:rPr>
      </w:pPr>
      <w:r>
        <w:rPr>
          <w:rFonts w:ascii="Arial" w:cs="Arial" w:eastAsia="Arial" w:hAnsi="Arial"/>
          <w:sz w:val="9"/>
          <w:szCs w:val="9"/>
          <w:color w:val="auto"/>
        </w:rPr>
        <w:t xml:space="preserve">waste. Enroll today via </w:t>
      </w:r>
      <w:r>
        <w:rPr>
          <w:rFonts w:ascii="Arial" w:cs="Arial" w:eastAsia="Arial" w:hAnsi="Arial"/>
          <w:sz w:val="9"/>
          <w:szCs w:val="9"/>
          <w:u w:val="single" w:color="auto"/>
          <w:color w:val="auto"/>
        </w:rPr>
        <w:t>www.amstock.com</w:t>
      </w:r>
      <w:r>
        <w:rPr>
          <w:rFonts w:ascii="Arial" w:cs="Arial" w:eastAsia="Arial" w:hAnsi="Arial"/>
          <w:sz w:val="9"/>
          <w:szCs w:val="9"/>
          <w:color w:val="auto"/>
        </w:rPr>
        <w:t xml:space="preserve"> to enjoy online access.</w:t>
      </w:r>
    </w:p>
    <w:p>
      <w:pPr>
        <w:spacing w:after="0" w:line="127" w:lineRule="exact"/>
        <w:rPr>
          <w:sz w:val="20"/>
          <w:szCs w:val="20"/>
          <w:color w:val="auto"/>
        </w:rPr>
      </w:pPr>
    </w:p>
    <w:p>
      <w:pPr>
        <w:jc w:val="center"/>
        <w:ind w:right="-519"/>
        <w:spacing w:after="0"/>
        <w:rPr>
          <w:sz w:val="20"/>
          <w:szCs w:val="20"/>
          <w:color w:val="auto"/>
        </w:rPr>
      </w:pPr>
      <w:r>
        <w:rPr>
          <w:rFonts w:ascii="Arial" w:cs="Arial" w:eastAsia="Arial" w:hAnsi="Arial"/>
          <w:sz w:val="16"/>
          <w:szCs w:val="16"/>
          <w:u w:val="single" w:color="auto"/>
          <w:color w:val="auto"/>
        </w:rPr>
        <w:t>Important Notice Regarding Internet Availability of Proxy Materials for the Annual Meeting of Stockholders to be Held on August 4, 2016</w:t>
      </w:r>
      <w:r>
        <w:rPr>
          <w:rFonts w:ascii="Arial" w:cs="Arial" w:eastAsia="Arial" w:hAnsi="Arial"/>
          <w:sz w:val="16"/>
          <w:szCs w:val="16"/>
          <w:color w:val="auto"/>
        </w:rPr>
        <w:t>:</w:t>
      </w: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 xml:space="preserve">The Proxy Statement and 2016 Annual Report to Stockholders are available at </w:t>
      </w:r>
      <w:r>
        <w:rPr>
          <w:rFonts w:ascii="Arial" w:cs="Arial" w:eastAsia="Arial" w:hAnsi="Arial"/>
          <w:sz w:val="16"/>
          <w:szCs w:val="16"/>
          <w:u w:val="single" w:color="auto"/>
          <w:color w:val="auto"/>
        </w:rPr>
        <w:t>http://investor.destinationxl.com/proxymaterials.cfm</w:t>
      </w:r>
    </w:p>
    <w:p>
      <w:pPr>
        <w:spacing w:after="0" w:line="150"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PLEASE SIGN, DATE AND MAIL</w:t>
      </w:r>
    </w:p>
    <w:p>
      <w:pPr>
        <w:jc w:val="center"/>
        <w:ind w:right="-519"/>
        <w:spacing w:after="0" w:line="219" w:lineRule="auto"/>
        <w:rPr>
          <w:sz w:val="20"/>
          <w:szCs w:val="20"/>
          <w:color w:val="auto"/>
        </w:rPr>
      </w:pPr>
      <w:r>
        <w:rPr>
          <w:rFonts w:ascii="Arial" w:cs="Arial" w:eastAsia="Arial" w:hAnsi="Arial"/>
          <w:sz w:val="14"/>
          <w:szCs w:val="14"/>
          <w:color w:val="auto"/>
        </w:rPr>
        <w:t>YOUR PROXY CARD IN THE ENVELOPE</w:t>
      </w:r>
    </w:p>
    <w:p>
      <w:pPr>
        <w:jc w:val="center"/>
        <w:ind w:right="-519"/>
        <w:spacing w:after="0" w:line="231" w:lineRule="auto"/>
        <w:rPr>
          <w:sz w:val="20"/>
          <w:szCs w:val="20"/>
          <w:color w:val="auto"/>
        </w:rPr>
      </w:pPr>
      <w:r>
        <w:rPr>
          <w:rFonts w:ascii="Arial" w:cs="Arial" w:eastAsia="Arial" w:hAnsi="Arial"/>
          <w:sz w:val="14"/>
          <w:szCs w:val="14"/>
          <w:color w:val="auto"/>
        </w:rPr>
        <w:t>PROVIDED AS SOON AS POSSIBLE.</w:t>
      </w:r>
    </w:p>
    <w:p>
      <w:pPr>
        <w:ind w:left="4440"/>
        <w:spacing w:after="0"/>
        <w:rPr>
          <w:sz w:val="20"/>
          <w:szCs w:val="20"/>
          <w:color w:val="auto"/>
        </w:rPr>
      </w:pPr>
      <w:r>
        <w:rPr>
          <w:rFonts w:ascii="Arial" w:cs="Arial" w:eastAsia="Arial" w:hAnsi="Arial"/>
          <w:sz w:val="9"/>
          <w:szCs w:val="9"/>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178435</wp:posOffset>
            </wp:positionV>
            <wp:extent cx="7251700" cy="225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700" cy="225425"/>
                    </a:xfrm>
                    <a:prstGeom prst="rect">
                      <a:avLst/>
                    </a:prstGeom>
                    <a:noFill/>
                  </pic:spPr>
                </pic:pic>
              </a:graphicData>
            </a:graphic>
          </wp:anchor>
        </w:drawing>
      </w:r>
    </w:p>
    <w:p>
      <w:pPr>
        <w:spacing w:after="0" w:line="273" w:lineRule="exact"/>
        <w:rPr>
          <w:sz w:val="20"/>
          <w:szCs w:val="20"/>
          <w:color w:val="auto"/>
        </w:rPr>
      </w:pPr>
    </w:p>
    <w:p>
      <w:pPr>
        <w:jc w:val="center"/>
        <w:ind w:right="-519"/>
        <w:spacing w:after="0"/>
        <w:rPr>
          <w:sz w:val="20"/>
          <w:szCs w:val="20"/>
          <w:color w:val="auto"/>
        </w:rPr>
      </w:pPr>
      <w:r>
        <w:rPr>
          <w:rFonts w:ascii="Arial" w:cs="Arial" w:eastAsia="Arial" w:hAnsi="Arial"/>
          <w:sz w:val="12"/>
          <w:szCs w:val="12"/>
          <w:b w:val="1"/>
          <w:bCs w:val="1"/>
          <w:color w:val="auto"/>
        </w:rPr>
        <w:t>THE BOARD OF DIRECTORS RECOMMENDS A VOTE “FOR” THE ELECTION OF DIRECTORS AND “FOR” PROPOSALS 2, 3 AND 4.</w:t>
      </w:r>
    </w:p>
    <w:p>
      <w:pPr>
        <w:spacing w:after="0" w:line="19" w:lineRule="exact"/>
        <w:rPr>
          <w:sz w:val="20"/>
          <w:szCs w:val="20"/>
          <w:color w:val="auto"/>
        </w:rPr>
      </w:pPr>
    </w:p>
    <w:p>
      <w:pPr>
        <w:jc w:val="center"/>
        <w:ind w:right="-539"/>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MAKE YOUR VOTE IN BLUE OR BLACK INK AS SHOWN HERE </w:t>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6932930" cy="51549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32930" cy="5154930"/>
                    </a:xfrm>
                    <a:prstGeom prst="rect">
                      <a:avLst/>
                    </a:prstGeom>
                    <a:noFill/>
                  </pic:spPr>
                </pic:pic>
              </a:graphicData>
            </a:graphic>
          </wp:anchor>
        </w:drawing>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00" w:type="dxa"/>
            <w:vAlign w:val="bottom"/>
          </w:tcPr>
          <w:p>
            <w:pPr>
              <w:jc w:val="right"/>
              <w:ind w:right="634"/>
              <w:spacing w:after="0"/>
              <w:rPr>
                <w:sz w:val="20"/>
                <w:szCs w:val="20"/>
                <w:color w:val="auto"/>
              </w:rPr>
            </w:pPr>
            <w:r>
              <w:rPr>
                <w:rFonts w:ascii="Arial" w:cs="Arial" w:eastAsia="Arial" w:hAnsi="Arial"/>
                <w:sz w:val="13"/>
                <w:szCs w:val="13"/>
                <w:color w:val="auto"/>
                <w:w w:val="73"/>
              </w:rPr>
              <w:t>1.</w:t>
            </w:r>
          </w:p>
        </w:tc>
        <w:tc>
          <w:tcPr>
            <w:tcW w:w="7380" w:type="dxa"/>
            <w:vAlign w:val="bottom"/>
          </w:tcPr>
          <w:p>
            <w:pPr>
              <w:ind w:left="680"/>
              <w:spacing w:after="0"/>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ALL NOMINEES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NAMED BELOW.</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800" w:type="dxa"/>
            <w:vAlign w:val="bottom"/>
          </w:tcPr>
          <w:p>
            <w:pPr>
              <w:spacing w:after="0"/>
              <w:rPr>
                <w:sz w:val="23"/>
                <w:szCs w:val="23"/>
                <w:color w:val="auto"/>
              </w:rPr>
            </w:pPr>
          </w:p>
        </w:tc>
        <w:tc>
          <w:tcPr>
            <w:tcW w:w="73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Nominees: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60" w:type="dxa"/>
            <w:vAlign w:val="bottom"/>
          </w:tcPr>
          <w:p>
            <w:pPr>
              <w:jc w:val="center"/>
              <w:ind w:left="129"/>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73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Seymour Holtzman</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David A. Levin</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Alan S. Bernikow</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Jesse Choper</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John E. Kyees</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Willem Mesdag</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Ward K. Mooney</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George T. Porter, Jr.</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Mitchell S. Presser</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Ivy Ross</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64"/>
        </w:trPr>
        <w:tc>
          <w:tcPr>
            <w:tcW w:w="800" w:type="dxa"/>
            <w:vAlign w:val="bottom"/>
          </w:tcPr>
          <w:p>
            <w:pPr>
              <w:jc w:val="right"/>
              <w:ind w:right="634"/>
              <w:spacing w:after="0"/>
              <w:rPr>
                <w:sz w:val="20"/>
                <w:szCs w:val="20"/>
                <w:color w:val="auto"/>
              </w:rPr>
            </w:pPr>
            <w:r>
              <w:rPr>
                <w:rFonts w:ascii="Arial" w:cs="Arial" w:eastAsia="Arial" w:hAnsi="Arial"/>
                <w:sz w:val="13"/>
                <w:szCs w:val="13"/>
                <w:color w:val="auto"/>
                <w:w w:val="73"/>
              </w:rPr>
              <w:t>2.</w:t>
            </w:r>
          </w:p>
        </w:tc>
        <w:tc>
          <w:tcPr>
            <w:tcW w:w="7380" w:type="dxa"/>
            <w:vAlign w:val="bottom"/>
          </w:tcPr>
          <w:p>
            <w:pPr>
              <w:ind w:left="680"/>
              <w:spacing w:after="0"/>
              <w:rPr>
                <w:sz w:val="20"/>
                <w:szCs w:val="20"/>
                <w:color w:val="auto"/>
              </w:rPr>
            </w:pPr>
            <w:r>
              <w:rPr>
                <w:rFonts w:ascii="Arial" w:cs="Arial" w:eastAsia="Arial" w:hAnsi="Arial"/>
                <w:sz w:val="14"/>
                <w:szCs w:val="14"/>
                <w:b w:val="1"/>
                <w:bCs w:val="1"/>
                <w:color w:val="auto"/>
              </w:rPr>
              <w:t xml:space="preserve">To approve the adoption of the 2016 Incentive Compensation Plan. </w:t>
            </w:r>
            <w:r>
              <w:rPr>
                <w:rFonts w:ascii="Arial" w:cs="Arial" w:eastAsia="Arial" w:hAnsi="Arial"/>
                <w:sz w:val="14"/>
                <w:szCs w:val="14"/>
                <w:color w:val="auto"/>
              </w:rPr>
              <w:t>THE BOARD OF DIRECTORS</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RECOMMENDS A VOTE “FOR” PROPOSAL 2.</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00" w:type="dxa"/>
            <w:vAlign w:val="bottom"/>
          </w:tcPr>
          <w:p>
            <w:pPr>
              <w:jc w:val="right"/>
              <w:ind w:right="634"/>
              <w:spacing w:after="0"/>
              <w:rPr>
                <w:sz w:val="20"/>
                <w:szCs w:val="20"/>
                <w:color w:val="auto"/>
              </w:rPr>
            </w:pPr>
            <w:r>
              <w:rPr>
                <w:rFonts w:ascii="Arial" w:cs="Arial" w:eastAsia="Arial" w:hAnsi="Arial"/>
                <w:sz w:val="13"/>
                <w:szCs w:val="13"/>
                <w:color w:val="auto"/>
                <w:w w:val="73"/>
              </w:rPr>
              <w:t>3.</w:t>
            </w:r>
          </w:p>
        </w:tc>
        <w:tc>
          <w:tcPr>
            <w:tcW w:w="7380" w:type="dxa"/>
            <w:vAlign w:val="bottom"/>
          </w:tcPr>
          <w:p>
            <w:pPr>
              <w:ind w:left="680"/>
              <w:spacing w:after="0"/>
              <w:rPr>
                <w:sz w:val="20"/>
                <w:szCs w:val="20"/>
                <w:color w:val="auto"/>
              </w:rPr>
            </w:pPr>
            <w:r>
              <w:rPr>
                <w:rFonts w:ascii="Arial" w:cs="Arial" w:eastAsia="Arial" w:hAnsi="Arial"/>
                <w:sz w:val="14"/>
                <w:szCs w:val="14"/>
                <w:b w:val="1"/>
                <w:bCs w:val="1"/>
                <w:color w:val="auto"/>
                <w:w w:val="97"/>
              </w:rPr>
              <w:t xml:space="preserve">To approve, on an advisory basis, named executive officer compensation. </w:t>
            </w:r>
            <w:r>
              <w:rPr>
                <w:rFonts w:ascii="Arial" w:cs="Arial" w:eastAsia="Arial" w:hAnsi="Arial"/>
                <w:sz w:val="14"/>
                <w:szCs w:val="14"/>
                <w:color w:val="auto"/>
                <w:w w:val="97"/>
              </w:rPr>
              <w:t>THE BOARD OF DIRECTORS</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7380" w:type="dxa"/>
            <w:vAlign w:val="bottom"/>
          </w:tcPr>
          <w:p>
            <w:pPr>
              <w:ind w:left="680"/>
              <w:spacing w:after="0"/>
              <w:rPr>
                <w:sz w:val="20"/>
                <w:szCs w:val="20"/>
                <w:color w:val="auto"/>
              </w:rPr>
            </w:pPr>
            <w:r>
              <w:rPr>
                <w:rFonts w:ascii="Arial" w:cs="Arial" w:eastAsia="Arial" w:hAnsi="Arial"/>
                <w:sz w:val="14"/>
                <w:szCs w:val="14"/>
                <w:color w:val="auto"/>
              </w:rPr>
              <w:t>RECOMMENDS A VOTE “FOR” PROPOSAL 3.</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00" w:type="dxa"/>
            <w:vAlign w:val="bottom"/>
          </w:tcPr>
          <w:p>
            <w:pPr>
              <w:jc w:val="right"/>
              <w:ind w:right="634"/>
              <w:spacing w:after="0"/>
              <w:rPr>
                <w:sz w:val="20"/>
                <w:szCs w:val="20"/>
                <w:color w:val="auto"/>
              </w:rPr>
            </w:pPr>
            <w:r>
              <w:rPr>
                <w:rFonts w:ascii="Arial" w:cs="Arial" w:eastAsia="Arial" w:hAnsi="Arial"/>
                <w:sz w:val="13"/>
                <w:szCs w:val="13"/>
                <w:color w:val="auto"/>
                <w:w w:val="73"/>
              </w:rPr>
              <w:t>4.</w:t>
            </w:r>
          </w:p>
        </w:tc>
        <w:tc>
          <w:tcPr>
            <w:tcW w:w="7380" w:type="dxa"/>
            <w:vAlign w:val="bottom"/>
          </w:tcPr>
          <w:p>
            <w:pPr>
              <w:ind w:left="680"/>
              <w:spacing w:after="0"/>
              <w:rPr>
                <w:sz w:val="20"/>
                <w:szCs w:val="20"/>
                <w:color w:val="auto"/>
              </w:rPr>
            </w:pPr>
            <w:r>
              <w:rPr>
                <w:rFonts w:ascii="Arial" w:cs="Arial" w:eastAsia="Arial" w:hAnsi="Arial"/>
                <w:sz w:val="14"/>
                <w:szCs w:val="14"/>
                <w:b w:val="1"/>
                <w:bCs w:val="1"/>
                <w:color w:val="auto"/>
                <w:w w:val="95"/>
              </w:rPr>
              <w:t>To ratify the appointment of KPMG LLP as the Company’s independent registered public accounting firm</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4"/>
        </w:trPr>
        <w:tc>
          <w:tcPr>
            <w:tcW w:w="800" w:type="dxa"/>
            <w:vAlign w:val="bottom"/>
          </w:tcPr>
          <w:p>
            <w:pPr>
              <w:spacing w:after="0"/>
              <w:rPr>
                <w:sz w:val="13"/>
                <w:szCs w:val="13"/>
                <w:color w:val="auto"/>
              </w:rPr>
            </w:pPr>
          </w:p>
        </w:tc>
        <w:tc>
          <w:tcPr>
            <w:tcW w:w="7380" w:type="dxa"/>
            <w:vAlign w:val="bottom"/>
          </w:tcPr>
          <w:p>
            <w:pPr>
              <w:ind w:left="680"/>
              <w:spacing w:after="0" w:line="154" w:lineRule="exact"/>
              <w:rPr>
                <w:sz w:val="20"/>
                <w:szCs w:val="20"/>
                <w:color w:val="auto"/>
              </w:rPr>
            </w:pPr>
            <w:r>
              <w:rPr>
                <w:rFonts w:ascii="Arial" w:cs="Arial" w:eastAsia="Arial" w:hAnsi="Arial"/>
                <w:sz w:val="14"/>
                <w:szCs w:val="14"/>
                <w:b w:val="1"/>
                <w:bCs w:val="1"/>
                <w:color w:val="auto"/>
              </w:rPr>
              <w:t xml:space="preserve">for fiscal year ending January 28, 2017. </w:t>
            </w:r>
            <w:r>
              <w:rPr>
                <w:rFonts w:ascii="Arial" w:cs="Arial" w:eastAsia="Arial" w:hAnsi="Arial"/>
                <w:sz w:val="14"/>
                <w:szCs w:val="14"/>
                <w:color w:val="auto"/>
              </w:rPr>
              <w:t>THE BOARD OF DIRECTORS RECOMMENDS A VOTE “FOR”</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00"/>
        <w:spacing w:after="0"/>
        <w:rPr>
          <w:sz w:val="20"/>
          <w:szCs w:val="20"/>
          <w:color w:val="auto"/>
        </w:rPr>
      </w:pPr>
      <w:r>
        <w:rPr>
          <w:rFonts w:ascii="Arial" w:cs="Arial" w:eastAsia="Arial" w:hAnsi="Arial"/>
          <w:sz w:val="14"/>
          <w:szCs w:val="14"/>
          <w:color w:val="auto"/>
        </w:rPr>
        <w:t>PROPOSAL 4.</w:t>
      </w:r>
    </w:p>
    <w:p>
      <w:pPr>
        <w:sectPr>
          <w:pgSz w:w="11900" w:h="16838" w:orient="portrait"/>
          <w:cols w:equalWidth="0" w:num="1">
            <w:col w:w="10860"/>
          </w:cols>
          <w:pgMar w:left="260" w:top="402" w:right="779" w:bottom="1440" w:gutter="0" w:footer="0" w:header="0"/>
        </w:sectPr>
      </w:pPr>
    </w:p>
    <w:p>
      <w:pPr>
        <w:spacing w:after="0" w:line="95" w:lineRule="exact"/>
        <w:rPr>
          <w:sz w:val="20"/>
          <w:szCs w:val="20"/>
          <w:color w:val="auto"/>
        </w:rPr>
      </w:pPr>
    </w:p>
    <w:p>
      <w:pPr>
        <w:ind w:right="160"/>
        <w:spacing w:after="0" w:line="232"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DIRECTOR NOMINEE AND “FOR” EACH OFTHE OTHER PROPOSALS. RECEIPT IS HEREBY ACKNOWLEDGED OF THE NOTICE OF ANNUAL MEETING AND PROXY STATEMENT OF DESTINATION XL GROUP, INC. DATED June 27, 2016.</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5" w:lineRule="exact"/>
        <w:rPr>
          <w:sz w:val="20"/>
          <w:szCs w:val="20"/>
          <w:color w:val="auto"/>
        </w:rPr>
      </w:pPr>
    </w:p>
    <w:p>
      <w:pPr>
        <w:sectPr>
          <w:pgSz w:w="11900" w:h="16838" w:orient="portrait"/>
          <w:cols w:equalWidth="0" w:num="2">
            <w:col w:w="8240" w:space="500"/>
            <w:col w:w="2120"/>
          </w:cols>
          <w:pgMar w:left="260" w:top="402" w:right="779" w:bottom="1440" w:gutter="0" w:footer="0" w:header="0"/>
          <w:type w:val="continuous"/>
        </w:sectPr>
      </w:pPr>
    </w:p>
    <w:p>
      <w:pPr>
        <w:spacing w:after="0" w:line="236"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lease sign in partnership name by authorized person.</w:t>
      </w:r>
    </w:p>
    <w:p>
      <w:pPr>
        <w:spacing w:after="0" w:line="289" w:lineRule="exact"/>
        <w:rPr>
          <w:sz w:val="20"/>
          <w:szCs w:val="20"/>
          <w:color w:val="auto"/>
        </w:rPr>
      </w:pPr>
    </w:p>
    <w:p>
      <w:pPr>
        <w:ind w:left="260"/>
        <w:spacing w:after="0"/>
        <w:tabs>
          <w:tab w:leader="none" w:pos="3340" w:val="left"/>
          <w:tab w:leader="none" w:pos="5520" w:val="left"/>
          <w:tab w:leader="none" w:pos="958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390525</wp:posOffset>
            </wp:positionV>
            <wp:extent cx="728980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860"/>
          </w:cols>
          <w:pgMar w:left="260" w:top="402" w:right="779" w:bottom="144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-175895</wp:posOffset>
            </wp:positionV>
            <wp:extent cx="7247890" cy="265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7890" cy="2654300"/>
                    </a:xfrm>
                    <a:prstGeom prst="rect">
                      <a:avLst/>
                    </a:prstGeom>
                    <a:noFill/>
                  </pic:spPr>
                </pic:pic>
              </a:graphicData>
            </a:graphic>
          </wp:anchor>
        </w:drawing>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555 Turnpike Street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Massachusetts 02021</w:t>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Annual Meeting Of Stockholders To Be Held On August 4, 2016</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stockholder of Destination XL Group, Inc. (the “Company”) hereby appoints Seymour Holtzman and David A. Levin, and each of them,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4, 2016,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60"/>
      </w:cols>
      <w:pgMar w:left="26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lvl w:ilvl="1">
      <w:lvlJc w:val="left"/>
      <w:lvlText w:val="%2)"/>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1."/>
      <w:numFmt w:val="decimal"/>
      <w:start w:val="3"/>
    </w:lvl>
    <w:lvl w:ilvl="1">
      <w:lvlJc w:val="left"/>
      <w:lvlText w:val="%2."/>
      <w:numFmt w:val="lowerLetter"/>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2"/>
    </w:lvl>
  </w:abstractNum>
  <w:abstractNum w:abstractNumId="13">
    <w:nsid w:val="70C6A529"/>
    <w:multiLevelType w:val="hybridMultilevel"/>
    <w:lvl w:ilvl="0">
      <w:lvlJc w:val="left"/>
      <w:lvlText w:val="Ø"/>
      <w:numFmt w:val="bullet"/>
      <w:start w:val="1"/>
    </w:lvl>
  </w:abstractNum>
  <w:abstractNum w:abstractNumId="14">
    <w:nsid w:val="520EEDD1"/>
    <w:multiLevelType w:val="hybridMultilevel"/>
    <w:lvl w:ilvl="0">
      <w:lvlJc w:val="left"/>
      <w:lvlText w:val="Ø"/>
      <w:numFmt w:val="bullet"/>
      <w:start w:val="1"/>
    </w:lvl>
  </w:abstractNum>
  <w:abstractNum w:abstractNumId="15">
    <w:nsid w:val="374A3FE6"/>
    <w:multiLevelType w:val="hybridMultilevel"/>
    <w:lvl w:ilvl="0">
      <w:lvlJc w:val="left"/>
      <w:lvlText w:val="(%1)"/>
      <w:numFmt w:val="decimal"/>
      <w:start w:val="1"/>
    </w:lvl>
  </w:abstractNum>
  <w:abstractNum w:abstractNumId="16">
    <w:nsid w:val="4F4EF005"/>
    <w:multiLevelType w:val="hybridMultilevel"/>
    <w:lvl w:ilvl="0">
      <w:lvlJc w:val="left"/>
      <w:lvlText w:val="(%1)"/>
      <w:numFmt w:val="decimal"/>
      <w:start w:val="3"/>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lvl w:ilvl="1">
      <w:lvlJc w:val="left"/>
      <w:lvlText w:val="(%2)"/>
      <w:numFmt w:val="decimal"/>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Ø"/>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3"/>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decimal"/>
      <w:start w:val="2"/>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lowerLetter"/>
      <w:start w:val="2"/>
    </w:lvl>
  </w:abstractNum>
  <w:abstractNum w:abstractNumId="47">
    <w:nsid w:val="5F5E7FD0"/>
    <w:multiLevelType w:val="hybridMultilevel"/>
    <w:lvl w:ilvl="0">
      <w:lvlJc w:val="left"/>
      <w:lvlText w:val="(%1)"/>
      <w:numFmt w:val="decimal"/>
      <w:start w:val="4"/>
    </w:lvl>
  </w:abstractNum>
  <w:abstractNum w:abstractNumId="48">
    <w:nsid w:val="98A3148"/>
    <w:multiLevelType w:val="hybridMultilevel"/>
    <w:lvl w:ilvl="0">
      <w:lvlJc w:val="left"/>
      <w:lvlText w:val="(%1)"/>
      <w:numFmt w:val="lowerRoman"/>
      <w:start w:val="1"/>
    </w:lvl>
  </w:abstractNum>
  <w:abstractNum w:abstractNumId="49">
    <w:nsid w:val="799D0247"/>
    <w:multiLevelType w:val="hybridMultilevel"/>
    <w:lvl w:ilvl="0">
      <w:lvlJc w:val="left"/>
      <w:lvlText w:val="(%1)"/>
      <w:numFmt w:val="lowerRoman"/>
      <w:start w:val="4"/>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
      <w:numFmt w:val="bullet"/>
      <w:start w:val="1"/>
    </w:lvl>
    <w:lvl w:ilvl="1">
      <w:lvlJc w:val="left"/>
      <w:lvlText w:val="(%2)"/>
      <w:numFmt w:val="decimal"/>
      <w:start w:val="1"/>
    </w:lvl>
  </w:abstractNum>
  <w:abstractNum w:abstractNumId="57">
    <w:nsid w:val="7BD3EE7B"/>
    <w:multiLevelType w:val="hybridMultilevel"/>
    <w:lvl w:ilvl="0">
      <w:lvlJc w:val="left"/>
      <w:lvlText w:val="%1."/>
      <w:numFmt w:val="decimal"/>
      <w:start w:val="1"/>
    </w:lvl>
    <w:lvl w:ilvl="1">
      <w:lvlJc w:val="left"/>
      <w:lvlText w:val="(%2)"/>
      <w:numFmt w:val="lowerLetter"/>
      <w:start w:val="1"/>
    </w:lvl>
  </w:abstractNum>
  <w:abstractNum w:abstractNumId="58">
    <w:nsid w:val="51D9C564"/>
    <w:multiLevelType w:val="hybridMultilevel"/>
    <w:lvl w:ilvl="0">
      <w:lvlJc w:val="left"/>
      <w:lvlText w:val="(%1)"/>
      <w:numFmt w:val="lowerLetter"/>
      <w:start w:val="11"/>
    </w:lvl>
  </w:abstractNum>
  <w:abstractNum w:abstractNumId="59">
    <w:nsid w:val="613EFDC5"/>
    <w:multiLevelType w:val="hybridMultilevel"/>
    <w:lvl w:ilvl="0">
      <w:lvlJc w:val="left"/>
      <w:lvlText w:val="(%1)"/>
      <w:numFmt w:val="lowerLetter"/>
      <w:start w:val="24"/>
    </w:lvl>
  </w:abstractNum>
  <w:abstractNum w:abstractNumId="60">
    <w:nsid w:val="BF72B14"/>
    <w:multiLevelType w:val="hybridMultilevel"/>
    <w:lvl w:ilvl="0">
      <w:lvlJc w:val="left"/>
      <w:lvlText w:val="(%1)"/>
      <w:numFmt w:val="lowerLetter"/>
      <w:start w:val="27"/>
    </w:lvl>
  </w:abstractNum>
  <w:abstractNum w:abstractNumId="61">
    <w:nsid w:val="11447B73"/>
    <w:multiLevelType w:val="hybridMultilevel"/>
    <w:lvl w:ilvl="0">
      <w:lvlJc w:val="left"/>
      <w:lvlText w:val="%1"/>
      <w:numFmt w:val="decimal"/>
      <w:start w:val="1"/>
    </w:lvl>
    <w:lvl w:ilvl="1">
      <w:lvlJc w:val="left"/>
      <w:lvlText w:val="(%2)"/>
      <w:numFmt w:val="lowerLetter"/>
      <w:start w:val="37"/>
    </w:lvl>
  </w:abstractNum>
  <w:abstractNum w:abstractNumId="62">
    <w:nsid w:val="42963E5A"/>
    <w:multiLevelType w:val="hybridMultilevel"/>
    <w:lvl w:ilvl="0">
      <w:lvlJc w:val="left"/>
      <w:lvlText w:val="%1."/>
      <w:numFmt w:val="decimal"/>
      <w:start w:val="3"/>
    </w:lvl>
    <w:lvl w:ilvl="1">
      <w:lvlJc w:val="left"/>
      <w:lvlText w:val="(%2)"/>
      <w:numFmt w:val="lowerLetter"/>
      <w:start w:val="1"/>
    </w:lvl>
  </w:abstractNum>
  <w:abstractNum w:abstractNumId="63">
    <w:nsid w:val="A0382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
    <w:nsid w:val="8F2B1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5">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6">
    <w:nsid w:val="3B0FD37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7">
    <w:nsid w:val="68EB2F6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8">
    <w:nsid w:val="4962813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9">
    <w:nsid w:val="60B6DF7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0">
    <w:nsid w:val="6A5EE64"/>
    <w:multiLevelType w:val="hybridMultilevel"/>
    <w:lvl w:ilvl="0">
      <w:lvlJc w:val="left"/>
      <w:lvlText w:val="%1"/>
      <w:numFmt w:val="lowerLetter"/>
      <w:start w:val="1"/>
    </w:lvl>
    <w:lvl w:ilvl="1">
      <w:lvlJc w:val="left"/>
      <w:lvlText w:val="(%2)"/>
      <w:numFmt w:val="lowerLetter"/>
      <w:start w:val="35"/>
    </w:lvl>
  </w:abstractNum>
  <w:abstractNum w:abstractNumId="71">
    <w:nsid w:val="14330624"/>
    <w:multiLevelType w:val="hybridMultilevel"/>
    <w:lvl w:ilvl="0">
      <w:lvlJc w:val="left"/>
      <w:lvlText w:val="(%1)"/>
      <w:numFmt w:val="lowerLetter"/>
      <w:start w:val="4"/>
    </w:lvl>
    <w:lvl w:ilvl="1">
      <w:lvlJc w:val="left"/>
      <w:lvlText w:val="(%2)"/>
      <w:numFmt w:val="lowerLetter"/>
      <w:start w:val="9"/>
    </w:lvl>
  </w:abstractNum>
  <w:abstractNum w:abstractNumId="72">
    <w:nsid w:val="7FFFCA11"/>
    <w:multiLevelType w:val="hybridMultilevel"/>
    <w:lvl w:ilvl="0">
      <w:lvlJc w:val="left"/>
      <w:lvlText w:val="(%1)"/>
      <w:numFmt w:val="lowerRoman"/>
      <w:start w:val="2"/>
    </w:lvl>
  </w:abstractNum>
  <w:abstractNum w:abstractNumId="73">
    <w:nsid w:val="1A27709E"/>
    <w:multiLevelType w:val="hybridMultilevel"/>
    <w:lvl w:ilvl="0">
      <w:lvlJc w:val="left"/>
      <w:lvlText w:val="(%1)"/>
      <w:numFmt w:val="lowerLetter"/>
      <w:start w:val="5"/>
    </w:lvl>
  </w:abstractNum>
  <w:abstractNum w:abstractNumId="74">
    <w:nsid w:val="71EA11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5">
    <w:nsid w:val="100F59DC"/>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76">
    <w:nsid w:val="7FB7E0AA"/>
    <w:multiLevelType w:val="hybridMultilevel"/>
    <w:lvl w:ilvl="0">
      <w:lvlJc w:val="left"/>
      <w:lvlText w:val="%1"/>
      <w:numFmt w:val="decimal"/>
      <w:start w:val="1"/>
    </w:lvl>
    <w:lvl w:ilvl="1">
      <w:lvlJc w:val="left"/>
      <w:lvlText w:val="(%2)"/>
      <w:numFmt w:val="lowerLetter"/>
      <w:start w:val="9"/>
    </w:lvl>
  </w:abstractNum>
  <w:abstractNum w:abstractNumId="77">
    <w:nsid w:val="6EB5BD4"/>
    <w:multiLevelType w:val="hybridMultilevel"/>
    <w:lvl w:ilvl="0">
      <w:lvlJc w:val="left"/>
      <w:lvlText w:val="%1."/>
      <w:numFmt w:val="decimal"/>
      <w:start w:val="8"/>
    </w:lvl>
    <w:lvl w:ilvl="1">
      <w:lvlJc w:val="left"/>
      <w:lvlText w:val="(%2)"/>
      <w:numFmt w:val="lowerLetter"/>
      <w:start w:val="1"/>
    </w:lvl>
  </w:abstractNum>
  <w:abstractNum w:abstractNumId="78">
    <w:nsid w:val="6F6DD9A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9">
    <w:nsid w:val="94211F2"/>
    <w:multiLevelType w:val="hybridMultilevel"/>
    <w:lvl w:ilvl="0">
      <w:lvlJc w:val="left"/>
      <w:lvlText w:val="%1"/>
      <w:numFmt w:val="lowerLetter"/>
      <w:start w:val="1"/>
    </w:lvl>
    <w:lvl w:ilvl="1">
      <w:lvlJc w:val="left"/>
      <w:lvlText w:val="(%2)"/>
      <w:numFmt w:val="lowerLetter"/>
      <w:start w:val="61"/>
    </w:lvl>
  </w:abstractNum>
  <w:abstractNum w:abstractNumId="80">
    <w:nsid w:val="885E1B"/>
    <w:multiLevelType w:val="hybridMultilevel"/>
    <w:lvl w:ilvl="0">
      <w:lvlJc w:val="left"/>
      <w:lvlText w:val="(%1)"/>
      <w:numFmt w:val="lowerLetter"/>
      <w:start w:val="6"/>
    </w:lvl>
    <w:lvl w:ilvl="1">
      <w:lvlJc w:val="left"/>
      <w:lvlText w:val="(%2)"/>
      <w:numFmt w:val="lowerLetter"/>
      <w:start w:val="9"/>
    </w:lvl>
  </w:abstractNum>
  <w:abstractNum w:abstractNumId="81">
    <w:nsid w:val="76272110"/>
    <w:multiLevelType w:val="hybridMultilevel"/>
    <w:lvl w:ilvl="0">
      <w:lvlJc w:val="left"/>
      <w:lvlText w:val="(%1)"/>
      <w:numFmt w:val="lowerRoman"/>
      <w:start w:val="2"/>
    </w:lvl>
  </w:abstractNum>
  <w:abstractNum w:abstractNumId="82">
    <w:nsid w:val="4C04A8AF"/>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83">
    <w:nsid w:val="1716703B"/>
    <w:multiLevelType w:val="hybridMultilevel"/>
    <w:lvl w:ilvl="0">
      <w:lvlJc w:val="left"/>
      <w:lvlText w:val="(%1)"/>
      <w:numFmt w:val="decimal"/>
      <w:start w:val="11"/>
    </w:lvl>
    <w:lvl w:ilvl="1">
      <w:lvlJc w:val="left"/>
      <w:lvlText w:val="%2."/>
      <w:numFmt w:val="decimal"/>
      <w:start w:val="9"/>
    </w:lvl>
    <w:lvl w:ilvl="2">
      <w:lvlJc w:val="left"/>
      <w:lvlText w:val="(%3)"/>
      <w:numFmt w:val="lowerLetter"/>
      <w:start w:val="3"/>
    </w:lvl>
  </w:abstractNum>
  <w:abstractNum w:abstractNumId="84">
    <w:nsid w:val="14E17E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5">
    <w:nsid w:val="3222E7CD"/>
    <w:multiLevelType w:val="hybridMultilevel"/>
    <w:lvl w:ilvl="0">
      <w:lvlJc w:val="left"/>
      <w:lvlText w:val="(%1)"/>
      <w:numFmt w:val="lowerLetter"/>
      <w:start w:val="2"/>
    </w:lvl>
    <w:lvl w:ilvl="1">
      <w:lvlJc w:val="left"/>
      <w:lvlText w:val="(%2)"/>
      <w:numFmt w:val="lowerRoman"/>
      <w:start w:val="1"/>
    </w:lvl>
  </w:abstractNum>
  <w:abstractNum w:abstractNumId="86">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7">
    <w:nsid w:val="68EBC55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8">
    <w:nsid w:val="2DF6D64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9">
    <w:nsid w:val="46B7D44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0">
    <w:nsid w:val="4A2AC315"/>
    <w:multiLevelType w:val="hybridMultilevel"/>
    <w:lvl w:ilvl="0">
      <w:lvlJc w:val="left"/>
      <w:lvlText w:val="(%1)"/>
      <w:numFmt w:val="lowerLetter"/>
      <w:start w:val="5"/>
    </w:lvl>
  </w:abstractNum>
  <w:abstractNum w:abstractNumId="91">
    <w:nsid w:val="39EE015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2019-12-05T19:37:25Z</dcterms:created>
  <dcterms:modified xsi:type="dcterms:W3CDTF">2019-12-05T19:37:25Z</dcterms:modified>
</cp:coreProperties>
</file>