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680"/>
        <w:spacing w:after="0"/>
        <w:rPr>
          <w:sz w:val="20"/>
          <w:szCs w:val="20"/>
          <w:color w:val="auto"/>
        </w:rPr>
      </w:pPr>
      <w:r>
        <w:rPr>
          <w:rFonts w:ascii="Arial" w:cs="Arial" w:eastAsia="Arial" w:hAnsi="Arial"/>
          <w:sz w:val="22"/>
          <w:szCs w:val="22"/>
          <w:b w:val="1"/>
          <w:bCs w:val="1"/>
          <w:color w:val="auto"/>
        </w:rPr>
        <w:t>Date of report (Date of earliest event reported): December 7,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65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280"/>
        <w:spacing w:after="0"/>
        <w:rPr>
          <w:sz w:val="20"/>
          <w:szCs w:val="20"/>
          <w:color w:val="auto"/>
        </w:rPr>
      </w:pPr>
      <w:r>
        <w:rPr>
          <w:rFonts w:ascii="Arial" w:cs="Arial" w:eastAsia="Arial" w:hAnsi="Arial"/>
          <w:sz w:val="16"/>
          <w:szCs w:val="16"/>
          <w:b w:val="1"/>
          <w:bCs w:val="1"/>
          <w:color w:val="auto"/>
        </w:rPr>
        <w:t>01-34219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46" w:lineRule="exact"/>
        <w:rPr>
          <w:sz w:val="24"/>
          <w:szCs w:val="24"/>
          <w:color w:val="auto"/>
        </w:rPr>
      </w:pPr>
    </w:p>
    <w:p>
      <w:pPr>
        <w:sectPr>
          <w:pgSz w:w="11900" w:h="16838" w:orient="portrait"/>
          <w:cols w:equalWidth="0" w:num="3">
            <w:col w:w="4780" w:space="720"/>
            <w:col w:w="296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ind w:left="1600"/>
        <w:spacing w:after="0"/>
        <w:rPr>
          <w:sz w:val="20"/>
          <w:szCs w:val="20"/>
          <w:color w:val="auto"/>
        </w:rPr>
      </w:pPr>
      <w:r>
        <w:rPr>
          <w:rFonts w:ascii="Arial" w:cs="Arial" w:eastAsia="Arial" w:hAnsi="Arial"/>
          <w:sz w:val="16"/>
          <w:szCs w:val="16"/>
          <w:b w:val="1"/>
          <w:bCs w:val="1"/>
          <w:color w:val="auto"/>
        </w:rPr>
        <w:t>555 Turnpike Street, Canton, 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02021</w:t>
      </w:r>
    </w:p>
    <w:p>
      <w:pPr>
        <w:spacing w:after="0" w:line="55" w:lineRule="exact"/>
        <w:rPr>
          <w:sz w:val="24"/>
          <w:szCs w:val="24"/>
          <w:color w:val="auto"/>
        </w:rPr>
      </w:pPr>
    </w:p>
    <w:p>
      <w:pPr>
        <w:sectPr>
          <w:pgSz w:w="11900" w:h="16838" w:orient="portrait"/>
          <w:cols w:equalWidth="0" w:num="2">
            <w:col w:w="7740" w:space="720"/>
            <w:col w:w="2300"/>
          </w:cols>
          <w:pgMar w:left="240" w:top="314" w:right="89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380"/>
          </w:cols>
          <w:pgMar w:left="240" w:top="314" w:right="899" w:bottom="1440" w:gutter="0" w:footer="0" w:header="0"/>
          <w:type w:val="continuous"/>
        </w:sectPr>
      </w:pPr>
    </w:p>
    <w:p>
      <w:pPr>
        <w:jc w:val="center"/>
        <w:ind w:right="-679"/>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Reference is made to the disclosure under “Item 3.03 – Material Modifications to Rights of Security Holders” below, which is incorporated by reference herein.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Modifications to Rights of Security Holders.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December 7, 2009, Casual Male Retail Group,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entered into Amendment No. 2 to the Rights Agreement, dated as of December 8, 2008, as amended on June 29, 2009 (as amended, the “</w:t>
      </w:r>
      <w:r>
        <w:rPr>
          <w:rFonts w:ascii="Arial" w:cs="Arial" w:eastAsia="Arial" w:hAnsi="Arial"/>
          <w:sz w:val="18"/>
          <w:szCs w:val="18"/>
          <w:u w:val="single" w:color="auto"/>
          <w:color w:val="auto"/>
        </w:rPr>
        <w:t>Rights Agreement</w:t>
      </w:r>
      <w:r>
        <w:rPr>
          <w:rFonts w:ascii="Arial" w:cs="Arial" w:eastAsia="Arial" w:hAnsi="Arial"/>
          <w:sz w:val="18"/>
          <w:szCs w:val="18"/>
          <w:color w:val="auto"/>
        </w:rPr>
        <w:t>”), between the Company and American Stock Transfer &amp; Trust Company, LLC, a New York limited liability company, as Rights Agent.</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Pursuant to the amendment to the Rights Agreement, the expiration date of the preferred stock purchase rights (the “</w:t>
      </w:r>
      <w:r>
        <w:rPr>
          <w:rFonts w:ascii="Arial" w:cs="Arial" w:eastAsia="Arial" w:hAnsi="Arial"/>
          <w:sz w:val="18"/>
          <w:szCs w:val="18"/>
          <w:u w:val="single" w:color="auto"/>
          <w:color w:val="auto"/>
        </w:rPr>
        <w:t>Rights</w:t>
      </w:r>
      <w:r>
        <w:rPr>
          <w:rFonts w:ascii="Arial" w:cs="Arial" w:eastAsia="Arial" w:hAnsi="Arial"/>
          <w:sz w:val="18"/>
          <w:szCs w:val="18"/>
          <w:color w:val="auto"/>
        </w:rPr>
        <w:t>”) issued pursuant to the Rights Agreement was extended. Following the amendment to the Rights Agreement, the Rights will expire at 12:00 midnight at the end of the day on June 1, 2010, unless the Rights are earlier exchanged or redeemed by the Board of Directors of the Company.</w:t>
      </w:r>
    </w:p>
    <w:p>
      <w:pPr>
        <w:spacing w:after="0" w:line="140"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The Rights issued pursuant to the Rights Agreement are in all respects subject to and governed by the provisions of the Rights Agreement, as amended. Copies of the Rights Agreement and the amendment are available free of charge from the Company. The foregoing description of the amendment to the Rights Agreement does not purport to be complete and is qualified in its entirety by reference to the full text of the amendment, a copy of which is attached hereto as Exhibit 4.1 and incorporated by reference herein.</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4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60" w:type="dxa"/>
            <w:vAlign w:val="bottom"/>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960" w:type="dxa"/>
            <w:vAlign w:val="bottom"/>
          </w:tcPr>
          <w:p>
            <w:pPr>
              <w:spacing w:after="0"/>
              <w:rPr>
                <w:sz w:val="14"/>
                <w:szCs w:val="14"/>
                <w:color w:val="auto"/>
              </w:rPr>
            </w:pPr>
          </w:p>
        </w:tc>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Description of Exhibit</w:t>
            </w:r>
          </w:p>
        </w:tc>
        <w:tc>
          <w:tcPr>
            <w:tcW w:w="4460" w:type="dxa"/>
            <w:vAlign w:val="bottom"/>
          </w:tcPr>
          <w:p>
            <w:pPr>
              <w:spacing w:after="0"/>
              <w:rPr>
                <w:sz w:val="14"/>
                <w:szCs w:val="14"/>
                <w:color w:val="auto"/>
              </w:rPr>
            </w:pPr>
          </w:p>
        </w:tc>
      </w:tr>
      <w:tr>
        <w:trPr>
          <w:trHeight w:val="309"/>
        </w:trPr>
        <w:tc>
          <w:tcPr>
            <w:tcW w:w="540" w:type="dxa"/>
            <w:vAlign w:val="bottom"/>
            <w:gridSpan w:val="2"/>
          </w:tcPr>
          <w:p>
            <w:pPr>
              <w:jc w:val="right"/>
              <w:ind w:right="252"/>
              <w:spacing w:after="0"/>
              <w:rPr>
                <w:sz w:val="20"/>
                <w:szCs w:val="20"/>
                <w:color w:val="auto"/>
              </w:rPr>
            </w:pPr>
            <w:r>
              <w:rPr>
                <w:rFonts w:ascii="Arial" w:cs="Arial" w:eastAsia="Arial" w:hAnsi="Arial"/>
                <w:sz w:val="18"/>
                <w:szCs w:val="18"/>
                <w:color w:val="auto"/>
                <w:w w:val="79"/>
              </w:rPr>
              <w:t>4.1</w:t>
            </w:r>
          </w:p>
        </w:tc>
        <w:tc>
          <w:tcPr>
            <w:tcW w:w="10780" w:type="dxa"/>
            <w:vAlign w:val="bottom"/>
            <w:gridSpan w:val="3"/>
          </w:tcPr>
          <w:p>
            <w:pPr>
              <w:ind w:left="380"/>
              <w:spacing w:after="0"/>
              <w:rPr>
                <w:sz w:val="20"/>
                <w:szCs w:val="20"/>
                <w:color w:val="auto"/>
              </w:rPr>
            </w:pPr>
            <w:r>
              <w:rPr>
                <w:rFonts w:ascii="Arial" w:cs="Arial" w:eastAsia="Arial" w:hAnsi="Arial"/>
                <w:sz w:val="18"/>
                <w:szCs w:val="18"/>
                <w:color w:val="auto"/>
                <w:w w:val="87"/>
              </w:rPr>
              <w:t>Amendment No. 2, dated as of December 7, 2009, to the Rights Agreement, dated as of December 8, 2008, between Casual Male Retail Group, Inc.</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80" w:type="dxa"/>
            <w:vAlign w:val="bottom"/>
            <w:gridSpan w:val="3"/>
          </w:tcPr>
          <w:p>
            <w:pPr>
              <w:ind w:left="380"/>
              <w:spacing w:after="0"/>
              <w:rPr>
                <w:sz w:val="20"/>
                <w:szCs w:val="20"/>
                <w:color w:val="auto"/>
              </w:rPr>
            </w:pPr>
            <w:r>
              <w:rPr>
                <w:rFonts w:ascii="Arial" w:cs="Arial" w:eastAsia="Arial" w:hAnsi="Arial"/>
                <w:sz w:val="18"/>
                <w:szCs w:val="18"/>
                <w:color w:val="auto"/>
              </w:rPr>
              <w:t>and American Stock Transfer &amp; Trust Company, LLC, as Rights Agent.</w:t>
            </w:r>
          </w:p>
        </w:tc>
      </w:tr>
    </w:tbl>
    <w:p>
      <w:pPr>
        <w:sectPr>
          <w:pgSz w:w="11900" w:h="16838" w:orient="portrait"/>
          <w:cols w:equalWidth="0" w:num="1">
            <w:col w:w="11380"/>
          </w:cols>
          <w:pgMar w:left="240" w:top="274"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80" w:type="dxa"/>
            <w:vAlign w:val="bottom"/>
          </w:tcPr>
          <w:p>
            <w:pPr>
              <w:spacing w:after="0"/>
              <w:rPr>
                <w:sz w:val="19"/>
                <w:szCs w:val="19"/>
                <w:color w:val="auto"/>
              </w:rPr>
            </w:pPr>
          </w:p>
        </w:tc>
        <w:tc>
          <w:tcPr>
            <w:tcW w:w="7640" w:type="dxa"/>
            <w:vAlign w:val="bottom"/>
            <w:gridSpan w:val="2"/>
          </w:tcPr>
          <w:p>
            <w:pPr>
              <w:ind w:left="2040"/>
              <w:spacing w:after="0"/>
              <w:rPr>
                <w:sz w:val="20"/>
                <w:szCs w:val="20"/>
                <w:color w:val="auto"/>
              </w:rPr>
            </w:pPr>
            <w:r>
              <w:rPr>
                <w:rFonts w:ascii="Arial" w:cs="Arial" w:eastAsia="Arial" w:hAnsi="Arial"/>
                <w:sz w:val="18"/>
                <w:szCs w:val="18"/>
                <w:b w:val="1"/>
                <w:bCs w:val="1"/>
                <w:color w:val="auto"/>
              </w:rPr>
              <w:t>CASUAL MALE RETAIL GROUP, INC.</w:t>
            </w:r>
          </w:p>
        </w:tc>
      </w:tr>
      <w:tr>
        <w:trPr>
          <w:trHeight w:val="434"/>
        </w:trPr>
        <w:tc>
          <w:tcPr>
            <w:tcW w:w="3780" w:type="dxa"/>
            <w:vAlign w:val="bottom"/>
          </w:tcPr>
          <w:p>
            <w:pPr>
              <w:spacing w:after="0"/>
              <w:rPr>
                <w:sz w:val="20"/>
                <w:szCs w:val="20"/>
                <w:color w:val="auto"/>
              </w:rPr>
            </w:pPr>
            <w:r>
              <w:rPr>
                <w:rFonts w:ascii="Arial" w:cs="Arial" w:eastAsia="Arial" w:hAnsi="Arial"/>
                <w:sz w:val="18"/>
                <w:szCs w:val="18"/>
                <w:color w:val="auto"/>
              </w:rPr>
              <w:t>Date: December 8, 2009</w:t>
            </w:r>
          </w:p>
        </w:tc>
        <w:tc>
          <w:tcPr>
            <w:tcW w:w="2620" w:type="dxa"/>
            <w:vAlign w:val="bottom"/>
          </w:tcPr>
          <w:p>
            <w:pPr>
              <w:ind w:left="20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ENNIS</w:t>
            </w:r>
            <w:r>
              <w:rPr>
                <w:rFonts w:ascii="Arial" w:cs="Arial" w:eastAsia="Arial" w:hAnsi="Arial"/>
                <w:sz w:val="18"/>
                <w:szCs w:val="18"/>
                <w:color w:val="auto"/>
              </w:rPr>
              <w:t xml:space="preserve"> R. H</w:t>
            </w:r>
            <w:r>
              <w:rPr>
                <w:rFonts w:ascii="Arial" w:cs="Arial" w:eastAsia="Arial" w:hAnsi="Arial"/>
                <w:sz w:val="14"/>
                <w:szCs w:val="14"/>
                <w:color w:val="auto"/>
              </w:rPr>
              <w:t>ERNREICH</w:t>
            </w:r>
          </w:p>
        </w:tc>
      </w:tr>
      <w:tr>
        <w:trPr>
          <w:trHeight w:val="210"/>
        </w:trPr>
        <w:tc>
          <w:tcPr>
            <w:tcW w:w="3780" w:type="dxa"/>
            <w:vAlign w:val="bottom"/>
          </w:tcPr>
          <w:p>
            <w:pPr>
              <w:spacing w:after="0"/>
              <w:rPr>
                <w:sz w:val="18"/>
                <w:szCs w:val="18"/>
                <w:color w:val="auto"/>
              </w:rPr>
            </w:pPr>
          </w:p>
        </w:tc>
        <w:tc>
          <w:tcPr>
            <w:tcW w:w="2620" w:type="dxa"/>
            <w:vAlign w:val="bottom"/>
          </w:tcPr>
          <w:p>
            <w:pPr>
              <w:ind w:left="2040"/>
              <w:spacing w:after="0"/>
              <w:rPr>
                <w:sz w:val="20"/>
                <w:szCs w:val="20"/>
                <w:color w:val="auto"/>
              </w:rPr>
            </w:pPr>
            <w:r>
              <w:rPr>
                <w:rFonts w:ascii="Arial" w:cs="Arial" w:eastAsia="Arial" w:hAnsi="Arial"/>
                <w:sz w:val="18"/>
                <w:szCs w:val="18"/>
                <w:color w:val="auto"/>
              </w:rPr>
              <w:t>Name:</w:t>
            </w:r>
          </w:p>
        </w:tc>
        <w:tc>
          <w:tcPr>
            <w:tcW w:w="5020" w:type="dxa"/>
            <w:vAlign w:val="bottom"/>
          </w:tcPr>
          <w:p>
            <w:pPr>
              <w:jc w:val="center"/>
              <w:spacing w:after="0"/>
              <w:rPr>
                <w:sz w:val="20"/>
                <w:szCs w:val="20"/>
                <w:color w:val="auto"/>
              </w:rPr>
            </w:pPr>
            <w:r>
              <w:rPr>
                <w:rFonts w:ascii="Arial" w:cs="Arial" w:eastAsia="Arial" w:hAnsi="Arial"/>
                <w:sz w:val="14"/>
                <w:szCs w:val="14"/>
                <w:b w:val="1"/>
                <w:bCs w:val="1"/>
                <w:color w:val="auto"/>
                <w:w w:val="88"/>
              </w:rPr>
              <w:t>Dennis R. Hernreich</w:t>
            </w:r>
          </w:p>
        </w:tc>
      </w:tr>
      <w:tr>
        <w:trPr>
          <w:trHeight w:val="163"/>
        </w:trPr>
        <w:tc>
          <w:tcPr>
            <w:tcW w:w="3780" w:type="dxa"/>
            <w:vAlign w:val="bottom"/>
          </w:tcPr>
          <w:p>
            <w:pPr>
              <w:spacing w:after="0"/>
              <w:rPr>
                <w:sz w:val="14"/>
                <w:szCs w:val="14"/>
                <w:color w:val="auto"/>
              </w:rPr>
            </w:pPr>
          </w:p>
        </w:tc>
        <w:tc>
          <w:tcPr>
            <w:tcW w:w="2620" w:type="dxa"/>
            <w:vAlign w:val="bottom"/>
          </w:tcPr>
          <w:p>
            <w:pPr>
              <w:ind w:left="2040"/>
              <w:spacing w:after="0" w:line="163" w:lineRule="exact"/>
              <w:rPr>
                <w:sz w:val="20"/>
                <w:szCs w:val="20"/>
                <w:color w:val="auto"/>
              </w:rPr>
            </w:pPr>
            <w:r>
              <w:rPr>
                <w:rFonts w:ascii="Arial" w:cs="Arial" w:eastAsia="Arial" w:hAnsi="Arial"/>
                <w:sz w:val="18"/>
                <w:szCs w:val="18"/>
                <w:color w:val="auto"/>
              </w:rPr>
              <w:t>Title:</w:t>
            </w:r>
          </w:p>
        </w:tc>
        <w:tc>
          <w:tcPr>
            <w:tcW w:w="5020" w:type="dxa"/>
            <w:vAlign w:val="bottom"/>
          </w:tcPr>
          <w:p>
            <w:pPr>
              <w:jc w:val="center"/>
              <w:spacing w:after="0"/>
              <w:rPr>
                <w:sz w:val="20"/>
                <w:szCs w:val="20"/>
                <w:color w:val="auto"/>
              </w:rPr>
            </w:pPr>
            <w:r>
              <w:rPr>
                <w:rFonts w:ascii="Arial" w:cs="Arial" w:eastAsia="Arial" w:hAnsi="Arial"/>
                <w:sz w:val="14"/>
                <w:szCs w:val="14"/>
                <w:b w:val="1"/>
                <w:bCs w:val="1"/>
                <w:color w:val="auto"/>
                <w:w w:val="86"/>
              </w:rPr>
              <w:t>Executive Vice President,</w:t>
            </w:r>
          </w:p>
        </w:tc>
      </w:tr>
      <w:tr>
        <w:trPr>
          <w:trHeight w:val="149"/>
        </w:trPr>
        <w:tc>
          <w:tcPr>
            <w:tcW w:w="37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Chief Operating Officer, Chief Financial Officer,</w:t>
            </w:r>
          </w:p>
        </w:tc>
      </w:tr>
    </w:tbl>
    <w:p>
      <w:pPr>
        <w:ind w:left="8220"/>
        <w:spacing w:after="0"/>
        <w:rPr>
          <w:sz w:val="20"/>
          <w:szCs w:val="20"/>
          <w:color w:val="auto"/>
        </w:rPr>
      </w:pPr>
      <w:r>
        <w:rPr>
          <w:rFonts w:ascii="Arial" w:cs="Arial" w:eastAsia="Arial" w:hAnsi="Arial"/>
          <w:sz w:val="14"/>
          <w:szCs w:val="14"/>
          <w:b w:val="1"/>
          <w:bCs w:val="1"/>
          <w:color w:val="auto"/>
        </w:rPr>
        <w:t>Treasurer and Secretary</w:t>
      </w:r>
    </w:p>
    <w:p>
      <w:pPr>
        <w:sectPr>
          <w:pgSz w:w="11900" w:h="16838" w:orient="portrait"/>
          <w:cols w:equalWidth="0" w:num="1">
            <w:col w:w="11420"/>
          </w:cols>
          <w:pgMar w:left="240" w:top="27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80" w:type="dxa"/>
            <w:vAlign w:val="bottom"/>
            <w:gridSpan w:val="3"/>
          </w:tcPr>
          <w:p>
            <w:pPr>
              <w:ind w:left="450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4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161"/>
        </w:trPr>
        <w:tc>
          <w:tcPr>
            <w:tcW w:w="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960" w:type="dxa"/>
            <w:vAlign w:val="bottom"/>
          </w:tcPr>
          <w:p>
            <w:pPr>
              <w:spacing w:after="0"/>
              <w:rPr>
                <w:sz w:val="14"/>
                <w:szCs w:val="14"/>
                <w:color w:val="auto"/>
              </w:rPr>
            </w:pPr>
          </w:p>
        </w:tc>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Description of Exhibit</w:t>
            </w:r>
          </w:p>
        </w:tc>
        <w:tc>
          <w:tcPr>
            <w:tcW w:w="4460" w:type="dxa"/>
            <w:vAlign w:val="bottom"/>
          </w:tcPr>
          <w:p>
            <w:pPr>
              <w:spacing w:after="0"/>
              <w:rPr>
                <w:sz w:val="14"/>
                <w:szCs w:val="14"/>
                <w:color w:val="auto"/>
              </w:rPr>
            </w:pPr>
          </w:p>
        </w:tc>
      </w:tr>
      <w:tr>
        <w:trPr>
          <w:trHeight w:val="309"/>
        </w:trPr>
        <w:tc>
          <w:tcPr>
            <w:tcW w:w="540" w:type="dxa"/>
            <w:vAlign w:val="bottom"/>
            <w:gridSpan w:val="2"/>
          </w:tcPr>
          <w:p>
            <w:pPr>
              <w:jc w:val="right"/>
              <w:ind w:right="252"/>
              <w:spacing w:after="0"/>
              <w:rPr>
                <w:sz w:val="20"/>
                <w:szCs w:val="20"/>
                <w:color w:val="auto"/>
              </w:rPr>
            </w:pPr>
            <w:r>
              <w:rPr>
                <w:rFonts w:ascii="Arial" w:cs="Arial" w:eastAsia="Arial" w:hAnsi="Arial"/>
                <w:sz w:val="18"/>
                <w:szCs w:val="18"/>
                <w:color w:val="auto"/>
                <w:w w:val="79"/>
              </w:rPr>
              <w:t>4.1</w:t>
            </w:r>
          </w:p>
        </w:tc>
        <w:tc>
          <w:tcPr>
            <w:tcW w:w="10780" w:type="dxa"/>
            <w:vAlign w:val="bottom"/>
            <w:gridSpan w:val="3"/>
          </w:tcPr>
          <w:p>
            <w:pPr>
              <w:ind w:left="380"/>
              <w:spacing w:after="0"/>
              <w:rPr>
                <w:sz w:val="20"/>
                <w:szCs w:val="20"/>
                <w:color w:val="auto"/>
              </w:rPr>
            </w:pPr>
            <w:r>
              <w:rPr>
                <w:rFonts w:ascii="Arial" w:cs="Arial" w:eastAsia="Arial" w:hAnsi="Arial"/>
                <w:sz w:val="18"/>
                <w:szCs w:val="18"/>
                <w:color w:val="auto"/>
                <w:w w:val="87"/>
              </w:rPr>
              <w:t>Amendment No. 2, dated as of December 7, 2009, to the Rights Agreement, dated as of December 8, 2008, between Casual Male Retail Group, Inc.</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80" w:type="dxa"/>
            <w:vAlign w:val="bottom"/>
            <w:gridSpan w:val="3"/>
          </w:tcPr>
          <w:p>
            <w:pPr>
              <w:ind w:left="380"/>
              <w:spacing w:after="0"/>
              <w:rPr>
                <w:sz w:val="20"/>
                <w:szCs w:val="20"/>
                <w:color w:val="auto"/>
              </w:rPr>
            </w:pPr>
            <w:r>
              <w:rPr>
                <w:rFonts w:ascii="Arial" w:cs="Arial" w:eastAsia="Arial" w:hAnsi="Arial"/>
                <w:sz w:val="18"/>
                <w:szCs w:val="18"/>
                <w:color w:val="auto"/>
              </w:rPr>
              <w:t>and American Stock Transfer &amp; Trust Company, LLC, as Rights Agent.</w:t>
            </w:r>
          </w:p>
        </w:tc>
      </w:tr>
    </w:tbl>
    <w:p>
      <w:pPr>
        <w:ind w:left="380"/>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 TO RIGHTS AGREEMENT</w:t>
      </w:r>
    </w:p>
    <w:p>
      <w:pPr>
        <w:spacing w:after="0" w:line="171"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 xml:space="preserve">AMENDMENT NO. 2 </w:t>
      </w:r>
      <w:r>
        <w:rPr>
          <w:rFonts w:ascii="Arial" w:cs="Arial" w:eastAsia="Arial" w:hAnsi="Arial"/>
          <w:sz w:val="16"/>
          <w:szCs w:val="16"/>
          <w:color w:val="auto"/>
        </w:rPr>
        <w:t>(this “</w:t>
      </w:r>
      <w:r>
        <w:rPr>
          <w:rFonts w:ascii="Arial" w:cs="Arial" w:eastAsia="Arial" w:hAnsi="Arial"/>
          <w:sz w:val="16"/>
          <w:szCs w:val="16"/>
          <w:i w:val="1"/>
          <w:iCs w:val="1"/>
          <w:color w:val="auto"/>
        </w:rPr>
        <w:t>Amendment</w:t>
      </w:r>
      <w:r>
        <w:rPr>
          <w:rFonts w:ascii="Arial" w:cs="Arial" w:eastAsia="Arial" w:hAnsi="Arial"/>
          <w:sz w:val="16"/>
          <w:szCs w:val="16"/>
          <w:color w:val="auto"/>
        </w:rPr>
        <w:t>”) dated as of December 7, 2009, to the Rights Agreement, dated as of December 8, 2008, as amended on</w:t>
      </w:r>
    </w:p>
    <w:p>
      <w:pPr>
        <w:spacing w:after="0" w:line="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June 29, 2009 (as amended, the “</w:t>
      </w:r>
      <w:r>
        <w:rPr>
          <w:rFonts w:ascii="Arial" w:cs="Arial" w:eastAsia="Arial" w:hAnsi="Arial"/>
          <w:sz w:val="18"/>
          <w:szCs w:val="18"/>
          <w:i w:val="1"/>
          <w:iCs w:val="1"/>
          <w:color w:val="auto"/>
        </w:rPr>
        <w:t>Agreement</w:t>
      </w:r>
      <w:r>
        <w:rPr>
          <w:rFonts w:ascii="Arial" w:cs="Arial" w:eastAsia="Arial" w:hAnsi="Arial"/>
          <w:sz w:val="18"/>
          <w:szCs w:val="18"/>
          <w:color w:val="auto"/>
        </w:rPr>
        <w:t>”), between Casual Male Retail Group,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and American Stock Transfer &amp; Trust Company, LLC, a New York limited liability company, as rights agent (the “</w:t>
      </w:r>
      <w:r>
        <w:rPr>
          <w:rFonts w:ascii="Arial" w:cs="Arial" w:eastAsia="Arial" w:hAnsi="Arial"/>
          <w:sz w:val="18"/>
          <w:szCs w:val="18"/>
          <w:i w:val="1"/>
          <w:iCs w:val="1"/>
          <w:color w:val="auto"/>
        </w:rPr>
        <w:t>Rights Agent</w:t>
      </w:r>
      <w:r>
        <w:rPr>
          <w:rFonts w:ascii="Arial" w:cs="Arial" w:eastAsia="Arial" w:hAnsi="Arial"/>
          <w:sz w:val="18"/>
          <w:szCs w:val="18"/>
          <w:color w:val="auto"/>
        </w:rPr>
        <w: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171"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(the “</w:t>
      </w:r>
      <w:r>
        <w:rPr>
          <w:rFonts w:ascii="Arial" w:cs="Arial" w:eastAsia="Arial" w:hAnsi="Arial"/>
          <w:sz w:val="18"/>
          <w:szCs w:val="18"/>
          <w:i w:val="1"/>
          <w:iCs w:val="1"/>
          <w:color w:val="auto"/>
        </w:rPr>
        <w:t>Board of Directors</w:t>
      </w:r>
      <w:r>
        <w:rPr>
          <w:rFonts w:ascii="Arial" w:cs="Arial" w:eastAsia="Arial" w:hAnsi="Arial"/>
          <w:sz w:val="18"/>
          <w:szCs w:val="18"/>
          <w:color w:val="auto"/>
        </w:rPr>
        <w:t>”) has determined that it is in the best interests of the Company to amend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set forth in this Amendment;</w:t>
      </w:r>
    </w:p>
    <w:p>
      <w:pPr>
        <w:spacing w:after="0" w:line="120" w:lineRule="exact"/>
        <w:rPr>
          <w:sz w:val="20"/>
          <w:szCs w:val="20"/>
          <w:color w:val="auto"/>
        </w:rPr>
      </w:pPr>
    </w:p>
    <w:p>
      <w:pPr>
        <w:ind w:right="460" w:firstLine="456"/>
        <w:spacing w:after="0" w:line="378"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pursuant to Section 27 of the Agreement, for so long as the Rights are redeemable, the Company may, and the Rights Agent shall, if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so directs, supplement or amend any provision of the Agreement in any respect without the approval of any holders of shares of Common Stock;</w:t>
      </w:r>
    </w:p>
    <w:p>
      <w:pPr>
        <w:spacing w:after="0" w:line="51" w:lineRule="exact"/>
        <w:rPr>
          <w:sz w:val="20"/>
          <w:szCs w:val="20"/>
          <w:color w:val="auto"/>
        </w:rPr>
      </w:pPr>
    </w:p>
    <w:p>
      <w:pPr>
        <w:ind w:right="20" w:firstLine="456"/>
        <w:spacing w:after="0" w:line="33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the terms of the Agreement and in accordance with Section 27 thereof, the Company has directed that the Agreement be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as set forth in this Amendment, and by its execution and delivery hereof, directs the Rights Agent to execute this Amendment; and</w:t>
      </w:r>
    </w:p>
    <w:p>
      <w:pPr>
        <w:spacing w:after="0" w:line="74"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all acts and things necessary to make this Amendment a valid agreement according to its terms have been done and performed,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and delivery of this Amendment by the Company has been in all respects authorized by the Company.</w:t>
      </w:r>
    </w:p>
    <w:p>
      <w:pPr>
        <w:spacing w:after="0" w:line="120"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premises and mutual agreements set forth in the Agreement and this Amendment,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agree as follows:</w:t>
      </w:r>
    </w:p>
    <w:p>
      <w:pPr>
        <w:spacing w:after="0" w:line="166" w:lineRule="exact"/>
        <w:rPr>
          <w:sz w:val="20"/>
          <w:szCs w:val="20"/>
          <w:color w:val="auto"/>
        </w:rPr>
      </w:pPr>
    </w:p>
    <w:p>
      <w:pPr>
        <w:ind w:left="460" w:right="980" w:hanging="452"/>
        <w:spacing w:after="0" w:line="456" w:lineRule="auto"/>
        <w:tabs>
          <w:tab w:leader="none" w:pos="449"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definition of “Final Expiration Date” under Section 1 of the Agreement is hereby modified and replaced in its entirety with the following: ““</w:t>
      </w:r>
      <w:r>
        <w:rPr>
          <w:rFonts w:ascii="Arial" w:cs="Arial" w:eastAsia="Arial" w:hAnsi="Arial"/>
          <w:sz w:val="18"/>
          <w:szCs w:val="18"/>
          <w:i w:val="1"/>
          <w:iCs w:val="1"/>
          <w:color w:val="auto"/>
        </w:rPr>
        <w:t>Final Expiration Date</w:t>
      </w:r>
      <w:r>
        <w:rPr>
          <w:rFonts w:ascii="Arial" w:cs="Arial" w:eastAsia="Arial" w:hAnsi="Arial"/>
          <w:sz w:val="18"/>
          <w:szCs w:val="18"/>
          <w:color w:val="auto"/>
        </w:rPr>
        <w:t>” means 12:00 midnight at the end of the day on June 1, 2010.”</w:t>
      </w:r>
    </w:p>
    <w:p>
      <w:pPr>
        <w:spacing w:after="0" w:line="1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Form of Rights Certificate attached as Exhibit B to the Agreement is hereby amended such that the date “December 8, 2009” is replaced with the date “June 1, 2010” in all places where such date originally appears.</w:t>
      </w:r>
    </w:p>
    <w:p>
      <w:pPr>
        <w:spacing w:after="0" w:line="172"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 C of the Agreement (Summary of Terms) is hereby amended such that the heading “Expiration” is hereby amended and replaced in its entirety as follows:</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Rights will expire on June 1, 2010, unless earlier exchanged or redeemed.”</w:t>
      </w:r>
    </w:p>
    <w:p>
      <w:pPr>
        <w:sectPr>
          <w:pgSz w:w="11900" w:h="16838" w:orient="portrait"/>
          <w:cols w:equalWidth="0" w:num="1">
            <w:col w:w="11420"/>
          </w:cols>
          <w:pgMar w:left="240" w:top="125" w:right="239" w:bottom="1440" w:gutter="0" w:footer="0" w:header="0"/>
        </w:sectPr>
      </w:pPr>
    </w:p>
    <w:bookmarkStart w:id="5" w:name="page6"/>
    <w:bookmarkEnd w:id="5"/>
    <w:p>
      <w:pPr>
        <w:ind w:left="452" w:right="660" w:hanging="452"/>
        <w:spacing w:after="0" w:line="268" w:lineRule="auto"/>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shall be governed by and construed in accordance with the laws of the State of Delaware applicable to contracts to be made and performed entirely within such State.</w:t>
      </w:r>
    </w:p>
    <w:p>
      <w:pPr>
        <w:spacing w:after="0" w:line="172" w:lineRule="exact"/>
        <w:rPr>
          <w:rFonts w:ascii="Arial" w:cs="Arial" w:eastAsia="Arial" w:hAnsi="Arial"/>
          <w:sz w:val="18"/>
          <w:szCs w:val="18"/>
          <w:color w:val="auto"/>
        </w:rPr>
      </w:pPr>
    </w:p>
    <w:p>
      <w:pPr>
        <w:ind w:left="452" w:right="120" w:hanging="452"/>
        <w:spacing w:after="0" w:line="268" w:lineRule="auto"/>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Amendment may be executed in any number of counterparts and each of such counterparts shall for all purposes be deemed an original, and all such counterparts shall together constitute one and the same instrument.</w:t>
      </w:r>
    </w:p>
    <w:p>
      <w:pPr>
        <w:spacing w:after="0" w:line="172" w:lineRule="exact"/>
        <w:rPr>
          <w:rFonts w:ascii="Arial" w:cs="Arial" w:eastAsia="Arial" w:hAnsi="Arial"/>
          <w:sz w:val="18"/>
          <w:szCs w:val="18"/>
          <w:color w:val="auto"/>
        </w:rPr>
      </w:pPr>
    </w:p>
    <w:p>
      <w:pPr>
        <w:ind w:left="452" w:hanging="452"/>
        <w:spacing w:after="0" w:line="259" w:lineRule="auto"/>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Except as expressly set forth herein, this Amendment shall not by implication or otherwise alter, modify, amend or in any way affect any of the terms, conditions, obligations, covenants or agreements contained in the Agreement, all of which are ratified and affirmed in all respects and shall continue in full force and effect.</w:t>
      </w:r>
    </w:p>
    <w:p>
      <w:pPr>
        <w:spacing w:after="0" w:line="180" w:lineRule="exact"/>
        <w:rPr>
          <w:rFonts w:ascii="Arial" w:cs="Arial" w:eastAsia="Arial" w:hAnsi="Arial"/>
          <w:sz w:val="18"/>
          <w:szCs w:val="18"/>
          <w:color w:val="auto"/>
        </w:rPr>
      </w:pPr>
    </w:p>
    <w:p>
      <w:pPr>
        <w:ind w:left="452" w:hanging="452"/>
        <w:spacing w:after="0"/>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Capitalized terms used herein but not defined shall have the meanings given to them in the Agreement.</w:t>
      </w:r>
    </w:p>
    <w:p>
      <w:pPr>
        <w:spacing w:after="0" w:line="17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332"/>
          </w:cols>
          <w:pgMar w:left="248" w:top="280" w:right="31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Amendment to the Agreement to be duly executed as of the day and year first above written.</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9"/>
              </w:rPr>
              <w:t>Executive Vice President, Chief Operating Officer,</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 Treasurer and Secretary</w:t>
            </w:r>
          </w:p>
        </w:tc>
      </w:tr>
    </w:tbl>
    <w:p>
      <w:pPr>
        <w:spacing w:after="0" w:line="21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AMERICAN STOCK TRANSFER &amp; TRUST COMPANY,</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LLC</w:t>
      </w:r>
    </w:p>
    <w:p>
      <w:pPr>
        <w:spacing w:after="0" w:line="219"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Herbert J. 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Herbert J. Lemmer</w:t>
      </w:r>
    </w:p>
    <w:p>
      <w:pPr>
        <w:spacing w:after="0" w:line="1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10960"/>
          </w:cols>
          <w:pgMar w:left="700" w:top="2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CERTIFICATION</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undersigned, the Executive Vice President, Chief Operating Officer, Chief Financial Officer, Treasurer and Secretary of Casual Male Retail Group,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hereby certifies, on behalf of the Company, that the Amendment No. 2, dated as of December 7, 2009, to the Rights Agreement, dated as of December 8, 2008, as amended on June 29, 2009 (as amended, the “</w:t>
      </w:r>
      <w:r>
        <w:rPr>
          <w:rFonts w:ascii="Arial" w:cs="Arial" w:eastAsia="Arial" w:hAnsi="Arial"/>
          <w:sz w:val="18"/>
          <w:szCs w:val="18"/>
          <w:i w:val="1"/>
          <w:iCs w:val="1"/>
          <w:color w:val="auto"/>
        </w:rPr>
        <w:t>Agreement</w:t>
      </w:r>
      <w:r>
        <w:rPr>
          <w:rFonts w:ascii="Arial" w:cs="Arial" w:eastAsia="Arial" w:hAnsi="Arial"/>
          <w:sz w:val="18"/>
          <w:szCs w:val="18"/>
          <w:color w:val="auto"/>
        </w:rPr>
        <w:t>”) between the Company and American Stock Transfer &amp; Trust Company, LLC, a New York limited liability company, as rights agent (the “</w:t>
      </w:r>
      <w:r>
        <w:rPr>
          <w:rFonts w:ascii="Arial" w:cs="Arial" w:eastAsia="Arial" w:hAnsi="Arial"/>
          <w:sz w:val="18"/>
          <w:szCs w:val="18"/>
          <w:i w:val="1"/>
          <w:iCs w:val="1"/>
          <w:color w:val="auto"/>
        </w:rPr>
        <w:t>Rights Agent</w:t>
      </w:r>
      <w:r>
        <w:rPr>
          <w:rFonts w:ascii="Arial" w:cs="Arial" w:eastAsia="Arial" w:hAnsi="Arial"/>
          <w:sz w:val="18"/>
          <w:szCs w:val="18"/>
          <w:color w:val="auto"/>
        </w:rPr>
        <w:t>”), is in compliance with the terms of Section 27 of the Agreement.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Dated: December 7, 2009</w:t>
            </w:r>
          </w:p>
        </w:tc>
        <w:tc>
          <w:tcPr>
            <w:tcW w:w="7780" w:type="dxa"/>
            <w:vAlign w:val="bottom"/>
            <w:gridSpan w:val="2"/>
          </w:tcPr>
          <w:p>
            <w:pPr>
              <w:ind w:left="1840"/>
              <w:spacing w:after="0"/>
              <w:rPr>
                <w:sz w:val="20"/>
                <w:szCs w:val="20"/>
                <w:color w:val="auto"/>
              </w:rPr>
            </w:pPr>
            <w:r>
              <w:rPr>
                <w:rFonts w:ascii="Arial" w:cs="Arial" w:eastAsia="Arial" w:hAnsi="Arial"/>
                <w:sz w:val="18"/>
                <w:szCs w:val="18"/>
                <w:color w:val="auto"/>
              </w:rPr>
              <w:t>CASUAL MALE RETAIL GROUP, INC.</w:t>
            </w:r>
          </w:p>
        </w:tc>
      </w:tr>
      <w:tr>
        <w:trPr>
          <w:trHeight w:val="432"/>
        </w:trPr>
        <w:tc>
          <w:tcPr>
            <w:tcW w:w="3640" w:type="dxa"/>
            <w:vAlign w:val="bottom"/>
          </w:tcPr>
          <w:p>
            <w:pPr>
              <w:spacing w:after="0"/>
              <w:rPr>
                <w:sz w:val="24"/>
                <w:szCs w:val="24"/>
                <w:color w:val="auto"/>
              </w:rPr>
            </w:pPr>
          </w:p>
        </w:tc>
        <w:tc>
          <w:tcPr>
            <w:tcW w:w="2420" w:type="dxa"/>
            <w:vAlign w:val="bottom"/>
          </w:tcPr>
          <w:p>
            <w:pPr>
              <w:ind w:left="184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17"/>
        </w:trPr>
        <w:tc>
          <w:tcPr>
            <w:tcW w:w="3640" w:type="dxa"/>
            <w:vAlign w:val="bottom"/>
          </w:tcPr>
          <w:p>
            <w:pPr>
              <w:spacing w:after="0"/>
              <w:rPr>
                <w:sz w:val="18"/>
                <w:szCs w:val="18"/>
                <w:color w:val="auto"/>
              </w:rPr>
            </w:pPr>
          </w:p>
        </w:tc>
        <w:tc>
          <w:tcPr>
            <w:tcW w:w="2420" w:type="dxa"/>
            <w:vAlign w:val="bottom"/>
          </w:tcPr>
          <w:p>
            <w:pPr>
              <w:ind w:left="1840"/>
              <w:spacing w:after="0"/>
              <w:rPr>
                <w:sz w:val="20"/>
                <w:szCs w:val="20"/>
                <w:color w:val="auto"/>
              </w:rPr>
            </w:pPr>
            <w:r>
              <w:rPr>
                <w:rFonts w:ascii="Arial" w:cs="Arial" w:eastAsia="Arial" w:hAnsi="Arial"/>
                <w:sz w:val="18"/>
                <w:szCs w:val="18"/>
                <w:color w:val="auto"/>
              </w:rPr>
              <w:t>Name:</w:t>
            </w:r>
          </w:p>
        </w:tc>
        <w:tc>
          <w:tcPr>
            <w:tcW w:w="536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16"/>
        </w:trPr>
        <w:tc>
          <w:tcPr>
            <w:tcW w:w="3640" w:type="dxa"/>
            <w:vAlign w:val="bottom"/>
          </w:tcPr>
          <w:p>
            <w:pPr>
              <w:spacing w:after="0"/>
              <w:rPr>
                <w:sz w:val="18"/>
                <w:szCs w:val="18"/>
                <w:color w:val="auto"/>
              </w:rPr>
            </w:pPr>
          </w:p>
        </w:tc>
        <w:tc>
          <w:tcPr>
            <w:tcW w:w="2420" w:type="dxa"/>
            <w:vAlign w:val="bottom"/>
          </w:tcPr>
          <w:p>
            <w:pPr>
              <w:ind w:left="184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Executive Vice President, Chief Operating Officer,</w:t>
            </w:r>
          </w:p>
        </w:tc>
      </w:tr>
      <w:tr>
        <w:trPr>
          <w:trHeight w:val="222"/>
        </w:trPr>
        <w:tc>
          <w:tcPr>
            <w:tcW w:w="36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Financial Officer, Treasurer and Secretary</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2019-12-10T07:39:07Z</dcterms:created>
  <dcterms:modified xsi:type="dcterms:W3CDTF">2019-12-10T07:39:07Z</dcterms:modified>
</cp:coreProperties>
</file>