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22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226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780"/>
          </w:cols>
          <w:pgMar w:left="240" w:top="226" w:right="2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DAVID A</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40"/>
              <w:spacing w:after="0"/>
              <w:rPr>
                <w:sz w:val="20"/>
                <w:szCs w:val="20"/>
                <w:color w:val="auto"/>
              </w:rPr>
            </w:pPr>
            <w:r>
              <w:rPr>
                <w:rFonts w:ascii="Arial" w:cs="Arial" w:eastAsia="Arial" w:hAnsi="Arial"/>
                <w:sz w:val="14"/>
                <w:szCs w:val="14"/>
                <w:color w:val="auto"/>
              </w:rPr>
              <w:t>(First)</w:t>
            </w:r>
          </w:p>
        </w:tc>
        <w:tc>
          <w:tcPr>
            <w:tcW w:w="168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78"/>
        </w:trPr>
        <w:tc>
          <w:tcPr>
            <w:tcW w:w="40" w:type="dxa"/>
            <w:vAlign w:val="bottom"/>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3"/>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20" w:type="dxa"/>
            <w:vAlign w:val="bottom"/>
            <w:gridSpan w:val="3"/>
            <w:vMerge w:val="restart"/>
          </w:tcPr>
          <w:p>
            <w:pPr>
              <w:ind w:left="80"/>
              <w:spacing w:after="0"/>
              <w:rPr>
                <w:sz w:val="20"/>
                <w:szCs w:val="20"/>
                <w:color w:val="auto"/>
              </w:rPr>
            </w:pPr>
            <w:r>
              <w:rPr>
                <w:rFonts w:ascii="Arial" w:cs="Arial" w:eastAsia="Arial" w:hAnsi="Arial"/>
                <w:sz w:val="18"/>
                <w:szCs w:val="18"/>
                <w:color w:val="0000FF"/>
              </w:rPr>
              <w:t>09/12/2013</w:t>
            </w: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00" w:type="dxa"/>
            <w:vAlign w:val="bottom"/>
            <w:gridSpan w:val="2"/>
            <w:vMerge w:val="restart"/>
          </w:tcPr>
          <w:p>
            <w:pPr>
              <w:ind w:left="660"/>
              <w:spacing w:after="0"/>
              <w:rPr>
                <w:sz w:val="20"/>
                <w:szCs w:val="20"/>
                <w:color w:val="auto"/>
              </w:rPr>
            </w:pPr>
            <w:r>
              <w:rPr>
                <w:rFonts w:ascii="Arial" w:cs="Arial" w:eastAsia="Arial" w:hAnsi="Arial"/>
                <w:sz w:val="18"/>
                <w:szCs w:val="18"/>
                <w:color w:val="0000FF"/>
              </w:rPr>
              <w:t>President, CEO</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72" w:lineRule="exact"/>
        <w:rPr>
          <w:sz w:val="24"/>
          <w:szCs w:val="24"/>
          <w:color w:val="auto"/>
        </w:rPr>
      </w:pPr>
    </w:p>
    <w:p>
      <w:pPr>
        <w:sectPr>
          <w:pgSz w:w="11900" w:h="16838" w:orient="portrait"/>
          <w:cols w:equalWidth="0" w:num="2">
            <w:col w:w="3920" w:space="80"/>
            <w:col w:w="7400"/>
          </w:cols>
          <w:pgMar w:left="240" w:top="226"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20" w:type="dxa"/>
            <w:vAlign w:val="bottom"/>
          </w:tcPr>
          <w:p>
            <w:pPr>
              <w:ind w:left="1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70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2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2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 or</w:t>
            </w:r>
          </w:p>
        </w:tc>
        <w:tc>
          <w:tcPr>
            <w:tcW w:w="1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Indirect (I)</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8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4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4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4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3"/>
              </w:rPr>
              <w:t>Common Stock, $0.01 par value</w:t>
            </w:r>
          </w:p>
        </w:tc>
        <w:tc>
          <w:tcPr>
            <w:tcW w:w="1220" w:type="dxa"/>
            <w:vAlign w:val="bottom"/>
            <w:tcBorders>
              <w:bottom w:val="single" w:sz="8" w:color="2C2C2C"/>
            </w:tcBorders>
          </w:tcPr>
          <w:p>
            <w:pPr>
              <w:jc w:val="right"/>
              <w:ind w:right="88"/>
              <w:spacing w:after="0"/>
              <w:rPr>
                <w:sz w:val="20"/>
                <w:szCs w:val="20"/>
                <w:color w:val="auto"/>
              </w:rPr>
            </w:pPr>
            <w:r>
              <w:rPr>
                <w:rFonts w:ascii="Arial" w:cs="Arial" w:eastAsia="Arial" w:hAnsi="Arial"/>
                <w:sz w:val="18"/>
                <w:szCs w:val="18"/>
                <w:color w:val="0000FF"/>
              </w:rPr>
              <w:t>09/12/2013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8"/>
                <w:szCs w:val="18"/>
                <w:color w:val="0000FF"/>
              </w:rPr>
              <w:t>10,000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6.289</w:t>
            </w:r>
            <w:r>
              <w:rPr>
                <w:rFonts w:ascii="Arial" w:cs="Arial" w:eastAsia="Arial" w:hAnsi="Arial"/>
                <w:sz w:val="22"/>
                <w:szCs w:val="22"/>
                <w:color w:val="008000"/>
                <w:w w:val="93"/>
                <w:vertAlign w:val="superscript"/>
              </w:rPr>
              <w:t>(2)</w:t>
            </w:r>
          </w:p>
        </w:tc>
        <w:tc>
          <w:tcPr>
            <w:tcW w:w="1040" w:type="dxa"/>
            <w:vAlign w:val="bottom"/>
            <w:tcBorders>
              <w:bottom w:val="single" w:sz="8" w:color="2C2C2C"/>
            </w:tcBorders>
          </w:tcPr>
          <w:p>
            <w:pPr>
              <w:jc w:val="center"/>
              <w:ind w:left="11"/>
              <w:spacing w:after="0"/>
              <w:rPr>
                <w:sz w:val="20"/>
                <w:szCs w:val="20"/>
                <w:color w:val="auto"/>
              </w:rPr>
            </w:pPr>
            <w:r>
              <w:rPr>
                <w:rFonts w:ascii="Arial" w:cs="Arial" w:eastAsia="Arial" w:hAnsi="Arial"/>
                <w:sz w:val="18"/>
                <w:szCs w:val="18"/>
                <w:color w:val="0000FF"/>
                <w:w w:val="89"/>
              </w:rPr>
              <w:t>1,275,915</w:t>
            </w:r>
          </w:p>
        </w:tc>
        <w:tc>
          <w:tcPr>
            <w:tcW w:w="980" w:type="dxa"/>
            <w:vAlign w:val="bottom"/>
            <w:tcBorders>
              <w:bottom w:val="single" w:sz="8" w:color="2C2C2C"/>
            </w:tcBorders>
          </w:tcPr>
          <w:p>
            <w:pPr>
              <w:jc w:val="center"/>
              <w:ind w:left="7"/>
              <w:spacing w:after="0"/>
              <w:rPr>
                <w:sz w:val="20"/>
                <w:szCs w:val="20"/>
                <w:color w:val="auto"/>
              </w:rPr>
            </w:pPr>
            <w:r>
              <w:rPr>
                <w:rFonts w:ascii="Arial" w:cs="Arial" w:eastAsia="Arial" w:hAnsi="Arial"/>
                <w:sz w:val="18"/>
                <w:szCs w:val="18"/>
                <w:color w:val="0000FF"/>
              </w:rPr>
              <w:t>D</w:t>
            </w:r>
          </w:p>
        </w:tc>
        <w:tc>
          <w:tcPr>
            <w:tcW w:w="17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3"/>
              </w:rPr>
              <w:t>Common Stock, $0.01 par value</w:t>
            </w:r>
          </w:p>
        </w:tc>
        <w:tc>
          <w:tcPr>
            <w:tcW w:w="1220" w:type="dxa"/>
            <w:vAlign w:val="bottom"/>
            <w:tcBorders>
              <w:bottom w:val="single" w:sz="8" w:color="2C2C2C"/>
            </w:tcBorders>
          </w:tcPr>
          <w:p>
            <w:pPr>
              <w:jc w:val="right"/>
              <w:ind w:right="88"/>
              <w:spacing w:after="0"/>
              <w:rPr>
                <w:sz w:val="20"/>
                <w:szCs w:val="20"/>
                <w:color w:val="auto"/>
              </w:rPr>
            </w:pPr>
            <w:r>
              <w:rPr>
                <w:rFonts w:ascii="Arial" w:cs="Arial" w:eastAsia="Arial" w:hAnsi="Arial"/>
                <w:sz w:val="18"/>
                <w:szCs w:val="18"/>
                <w:color w:val="0000FF"/>
              </w:rPr>
              <w:t>09/13/2013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70"/>
              <w:spacing w:after="0"/>
              <w:rPr>
                <w:sz w:val="20"/>
                <w:szCs w:val="20"/>
                <w:color w:val="auto"/>
              </w:rPr>
            </w:pPr>
            <w:r>
              <w:rPr>
                <w:rFonts w:ascii="Arial" w:cs="Arial" w:eastAsia="Arial" w:hAnsi="Arial"/>
                <w:sz w:val="18"/>
                <w:szCs w:val="18"/>
                <w:color w:val="0000FF"/>
              </w:rPr>
              <w:t>5,000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6.193</w:t>
            </w:r>
            <w:r>
              <w:rPr>
                <w:rFonts w:ascii="Arial" w:cs="Arial" w:eastAsia="Arial" w:hAnsi="Arial"/>
                <w:sz w:val="22"/>
                <w:szCs w:val="22"/>
                <w:color w:val="008000"/>
                <w:w w:val="93"/>
                <w:vertAlign w:val="superscript"/>
              </w:rPr>
              <w:t>(3)</w:t>
            </w:r>
          </w:p>
        </w:tc>
        <w:tc>
          <w:tcPr>
            <w:tcW w:w="1040" w:type="dxa"/>
            <w:vAlign w:val="bottom"/>
            <w:tcBorders>
              <w:bottom w:val="single" w:sz="8" w:color="2C2C2C"/>
            </w:tcBorders>
          </w:tcPr>
          <w:p>
            <w:pPr>
              <w:jc w:val="center"/>
              <w:ind w:left="11"/>
              <w:spacing w:after="0"/>
              <w:rPr>
                <w:sz w:val="20"/>
                <w:szCs w:val="20"/>
                <w:color w:val="auto"/>
              </w:rPr>
            </w:pPr>
            <w:r>
              <w:rPr>
                <w:rFonts w:ascii="Arial" w:cs="Arial" w:eastAsia="Arial" w:hAnsi="Arial"/>
                <w:sz w:val="18"/>
                <w:szCs w:val="18"/>
                <w:color w:val="0000FF"/>
                <w:w w:val="89"/>
              </w:rPr>
              <w:t>1,270,915</w:t>
            </w:r>
          </w:p>
        </w:tc>
        <w:tc>
          <w:tcPr>
            <w:tcW w:w="980" w:type="dxa"/>
            <w:vAlign w:val="bottom"/>
            <w:tcBorders>
              <w:bottom w:val="single" w:sz="8" w:color="2C2C2C"/>
            </w:tcBorders>
          </w:tcPr>
          <w:p>
            <w:pPr>
              <w:jc w:val="center"/>
              <w:ind w:left="7"/>
              <w:spacing w:after="0"/>
              <w:rPr>
                <w:sz w:val="20"/>
                <w:szCs w:val="20"/>
                <w:color w:val="auto"/>
              </w:rPr>
            </w:pPr>
            <w:r>
              <w:rPr>
                <w:rFonts w:ascii="Arial" w:cs="Arial" w:eastAsia="Arial" w:hAnsi="Arial"/>
                <w:sz w:val="18"/>
                <w:szCs w:val="18"/>
                <w:color w:val="0000FF"/>
              </w:rPr>
              <w:t>D</w:t>
            </w:r>
          </w:p>
        </w:tc>
        <w:tc>
          <w:tcPr>
            <w:tcW w:w="17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w w:val="93"/>
              </w:rPr>
              <w:t>Common Stock, $0.01 par value</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40" w:type="dxa"/>
            <w:vAlign w:val="bottom"/>
            <w:vMerge w:val="restart"/>
          </w:tcPr>
          <w:p>
            <w:pPr>
              <w:jc w:val="center"/>
              <w:ind w:left="11"/>
              <w:spacing w:after="0"/>
              <w:rPr>
                <w:sz w:val="20"/>
                <w:szCs w:val="20"/>
                <w:color w:val="auto"/>
              </w:rPr>
            </w:pPr>
            <w:r>
              <w:rPr>
                <w:rFonts w:ascii="Arial" w:cs="Arial" w:eastAsia="Arial" w:hAnsi="Arial"/>
                <w:sz w:val="18"/>
                <w:szCs w:val="18"/>
                <w:color w:val="0000FF"/>
                <w:w w:val="87"/>
              </w:rPr>
              <w:t>15,500</w:t>
            </w:r>
          </w:p>
        </w:tc>
        <w:tc>
          <w:tcPr>
            <w:tcW w:w="980" w:type="dxa"/>
            <w:vAlign w:val="bottom"/>
            <w:vMerge w:val="restart"/>
          </w:tcPr>
          <w:p>
            <w:pPr>
              <w:jc w:val="center"/>
              <w:ind w:left="7"/>
              <w:spacing w:after="0"/>
              <w:rPr>
                <w:sz w:val="20"/>
                <w:szCs w:val="20"/>
                <w:color w:val="auto"/>
              </w:rPr>
            </w:pPr>
            <w:r>
              <w:rPr>
                <w:rFonts w:ascii="Arial" w:cs="Arial" w:eastAsia="Arial" w:hAnsi="Arial"/>
                <w:sz w:val="18"/>
                <w:szCs w:val="18"/>
                <w:color w:val="0000FF"/>
              </w:rPr>
              <w:t>I</w:t>
            </w:r>
          </w:p>
        </w:tc>
        <w:tc>
          <w:tcPr>
            <w:tcW w:w="1700" w:type="dxa"/>
            <w:vAlign w:val="bottom"/>
          </w:tcPr>
          <w:p>
            <w:pPr>
              <w:ind w:left="80"/>
              <w:spacing w:after="0"/>
              <w:rPr>
                <w:sz w:val="20"/>
                <w:szCs w:val="20"/>
                <w:color w:val="auto"/>
              </w:rPr>
            </w:pPr>
            <w:r>
              <w:rPr>
                <w:rFonts w:ascii="Arial" w:cs="Arial" w:eastAsia="Arial" w:hAnsi="Arial"/>
                <w:sz w:val="18"/>
                <w:szCs w:val="18"/>
                <w:color w:val="0000FF"/>
              </w:rPr>
              <w:t>By spouse's IRA</w:t>
            </w:r>
          </w:p>
        </w:tc>
        <w:tc>
          <w:tcPr>
            <w:tcW w:w="0" w:type="dxa"/>
            <w:vAlign w:val="bottom"/>
          </w:tcPr>
          <w:p>
            <w:pPr>
              <w:spacing w:after="0"/>
              <w:rPr>
                <w:sz w:val="1"/>
                <w:szCs w:val="1"/>
                <w:color w:val="auto"/>
              </w:rPr>
            </w:pPr>
          </w:p>
        </w:tc>
      </w:tr>
      <w:tr>
        <w:trPr>
          <w:trHeight w:val="114"/>
        </w:trPr>
        <w:tc>
          <w:tcPr>
            <w:tcW w:w="24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700" w:type="dxa"/>
            <w:vAlign w:val="bottom"/>
            <w:vMerge w:val="restart"/>
          </w:tcPr>
          <w:p>
            <w:pPr>
              <w:ind w:left="8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4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00" w:type="dxa"/>
            <w:vAlign w:val="bottom"/>
          </w:tcPr>
          <w:p>
            <w:pPr>
              <w:ind w:left="80"/>
              <w:spacing w:after="0"/>
              <w:rPr>
                <w:sz w:val="20"/>
                <w:szCs w:val="20"/>
                <w:color w:val="auto"/>
              </w:rPr>
            </w:pPr>
            <w:r>
              <w:rPr>
                <w:rFonts w:ascii="Arial" w:cs="Arial" w:eastAsia="Arial" w:hAnsi="Arial"/>
                <w:sz w:val="18"/>
                <w:szCs w:val="18"/>
                <w:color w:val="0000FF"/>
              </w:rPr>
              <w:t>Reporting Person's</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8"/>
                <w:szCs w:val="18"/>
                <w:color w:val="0000FF"/>
              </w:rPr>
              <w:t>shares held in the</w:t>
            </w:r>
          </w:p>
        </w:tc>
        <w:tc>
          <w:tcPr>
            <w:tcW w:w="0" w:type="dxa"/>
            <w:vAlign w:val="bottom"/>
          </w:tcPr>
          <w:p>
            <w:pPr>
              <w:spacing w:after="0"/>
              <w:rPr>
                <w:sz w:val="1"/>
                <w:szCs w:val="1"/>
                <w:color w:val="auto"/>
              </w:rPr>
            </w:pPr>
          </w:p>
        </w:tc>
      </w:tr>
      <w:tr>
        <w:trPr>
          <w:trHeight w:val="216"/>
        </w:trPr>
        <w:tc>
          <w:tcPr>
            <w:tcW w:w="2480" w:type="dxa"/>
            <w:vAlign w:val="bottom"/>
            <w:vMerge w:val="restart"/>
          </w:tcPr>
          <w:p>
            <w:pPr>
              <w:ind w:left="60"/>
              <w:spacing w:after="0"/>
              <w:rPr>
                <w:sz w:val="20"/>
                <w:szCs w:val="20"/>
                <w:color w:val="auto"/>
              </w:rPr>
            </w:pPr>
            <w:r>
              <w:rPr>
                <w:rFonts w:ascii="Arial" w:cs="Arial" w:eastAsia="Arial" w:hAnsi="Arial"/>
                <w:sz w:val="18"/>
                <w:szCs w:val="18"/>
                <w:color w:val="0000FF"/>
                <w:w w:val="93"/>
              </w:rPr>
              <w:t>Common Stock, $0.01 par value</w:t>
            </w: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vMerge w:val="restart"/>
          </w:tcPr>
          <w:p>
            <w:pPr>
              <w:jc w:val="center"/>
              <w:ind w:left="11"/>
              <w:spacing w:after="0"/>
              <w:rPr>
                <w:sz w:val="20"/>
                <w:szCs w:val="20"/>
                <w:color w:val="auto"/>
              </w:rPr>
            </w:pPr>
            <w:r>
              <w:rPr>
                <w:rFonts w:ascii="Arial" w:cs="Arial" w:eastAsia="Arial" w:hAnsi="Arial"/>
                <w:sz w:val="18"/>
                <w:szCs w:val="18"/>
                <w:color w:val="0000FF"/>
                <w:w w:val="88"/>
              </w:rPr>
              <w:t>3,539</w:t>
            </w:r>
          </w:p>
        </w:tc>
        <w:tc>
          <w:tcPr>
            <w:tcW w:w="980" w:type="dxa"/>
            <w:vAlign w:val="bottom"/>
            <w:vMerge w:val="restart"/>
          </w:tcPr>
          <w:p>
            <w:pPr>
              <w:jc w:val="center"/>
              <w:ind w:left="7"/>
              <w:spacing w:after="0"/>
              <w:rPr>
                <w:sz w:val="20"/>
                <w:szCs w:val="20"/>
                <w:color w:val="auto"/>
              </w:rPr>
            </w:pPr>
            <w:r>
              <w:rPr>
                <w:rFonts w:ascii="Arial" w:cs="Arial" w:eastAsia="Arial" w:hAnsi="Arial"/>
                <w:sz w:val="18"/>
                <w:szCs w:val="18"/>
                <w:color w:val="0000FF"/>
              </w:rPr>
              <w:t>I</w:t>
            </w:r>
          </w:p>
        </w:tc>
        <w:tc>
          <w:tcPr>
            <w:tcW w:w="1700" w:type="dxa"/>
            <w:vAlign w:val="bottom"/>
          </w:tcPr>
          <w:p>
            <w:pPr>
              <w:ind w:left="80"/>
              <w:spacing w:after="0"/>
              <w:rPr>
                <w:sz w:val="20"/>
                <w:szCs w:val="20"/>
                <w:color w:val="auto"/>
              </w:rPr>
            </w:pPr>
            <w:r>
              <w:rPr>
                <w:rFonts w:ascii="Arial" w:cs="Arial" w:eastAsia="Arial" w:hAnsi="Arial"/>
                <w:sz w:val="18"/>
                <w:szCs w:val="18"/>
                <w:color w:val="0000FF"/>
                <w:w w:val="90"/>
              </w:rPr>
              <w:t>Company's401(k)Plan</w:t>
            </w:r>
          </w:p>
        </w:tc>
        <w:tc>
          <w:tcPr>
            <w:tcW w:w="0" w:type="dxa"/>
            <w:vAlign w:val="bottom"/>
          </w:tcPr>
          <w:p>
            <w:pPr>
              <w:spacing w:after="0"/>
              <w:rPr>
                <w:sz w:val="1"/>
                <w:szCs w:val="1"/>
                <w:color w:val="auto"/>
              </w:rPr>
            </w:pPr>
          </w:p>
        </w:tc>
      </w:tr>
      <w:tr>
        <w:trPr>
          <w:trHeight w:val="114"/>
        </w:trPr>
        <w:tc>
          <w:tcPr>
            <w:tcW w:w="24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700" w:type="dxa"/>
            <w:vAlign w:val="bottom"/>
            <w:vMerge w:val="restart"/>
          </w:tcPr>
          <w:p>
            <w:pPr>
              <w:ind w:left="80"/>
              <w:spacing w:after="0"/>
              <w:rPr>
                <w:sz w:val="20"/>
                <w:szCs w:val="20"/>
                <w:color w:val="auto"/>
              </w:rPr>
            </w:pPr>
            <w:r>
              <w:rPr>
                <w:rFonts w:ascii="Arial" w:cs="Arial" w:eastAsia="Arial" w:hAnsi="Arial"/>
                <w:sz w:val="18"/>
                <w:szCs w:val="18"/>
                <w:color w:val="0000FF"/>
              </w:rPr>
              <w:t>as stated in Plan</w:t>
            </w: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780"/>
        <w:spacing w:after="0"/>
        <w:rPr>
          <w:sz w:val="20"/>
          <w:szCs w:val="20"/>
          <w:color w:val="auto"/>
        </w:rPr>
      </w:pPr>
      <w:r>
        <w:rPr>
          <w:rFonts w:ascii="Arial" w:cs="Arial" w:eastAsia="Arial" w:hAnsi="Arial"/>
          <w:sz w:val="18"/>
          <w:szCs w:val="18"/>
          <w:color w:val="0000FF"/>
        </w:rPr>
        <w:t>Statement dated</w:t>
      </w:r>
    </w:p>
    <w:p>
      <w:pPr>
        <w:spacing w:after="0" w:line="9" w:lineRule="exact"/>
        <w:rPr>
          <w:sz w:val="24"/>
          <w:szCs w:val="24"/>
          <w:color w:val="auto"/>
        </w:rPr>
      </w:pPr>
    </w:p>
    <w:p>
      <w:pPr>
        <w:ind w:left="9780"/>
        <w:spacing w:after="0"/>
        <w:rPr>
          <w:sz w:val="20"/>
          <w:szCs w:val="20"/>
          <w:color w:val="auto"/>
        </w:rPr>
      </w:pPr>
      <w:r>
        <w:rPr>
          <w:rFonts w:ascii="Arial" w:cs="Arial" w:eastAsia="Arial" w:hAnsi="Arial"/>
          <w:sz w:val="18"/>
          <w:szCs w:val="18"/>
          <w:color w:val="0000FF"/>
        </w:rPr>
        <w:t>9/13/13.</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August 29, 2013.</w:t>
      </w:r>
    </w:p>
    <w:p>
      <w:pPr>
        <w:spacing w:after="0" w:line="41"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This transaction was executed in multiple trades ranging from $6.24 to $6.33. The Reporting Person hereby undertakes to provide upon request to the SEC and the Issuer of any stockholder of the Issuer full information regarding the number of shares and prices at which the transaction was effected.</w:t>
      </w:r>
    </w:p>
    <w:p>
      <w:pPr>
        <w:ind w:left="40" w:right="1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This transaction was executed in multiple trades ranging from $6.15 to $6.22. The Reporting Person hereby undertakes to provide upon request to the SEC and the Issuer of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David A. Levin</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09/16/2013</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79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2019-12-16T05:21:57Z</dcterms:created>
  <dcterms:modified xsi:type="dcterms:W3CDTF">2019-12-16T05:21:57Z</dcterms:modified>
</cp:coreProperties>
</file>