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dxlg-20260902.htm"/>
      <w:bookmarkStart w:id="1" w:name="ksdxlg20260902"/>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DESTINATION XL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001-34219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04-2623104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555 Turnpike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02021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828-9300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DXLG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Appointment of Chief Growth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 2026, the Board of Directors (the “Board”) of Destination XL Group, Inc. (the “Company”) appointed James E. Olsson as Executive Vice President, Chief Growth Officer (“CGO”) effective September 6, 2026.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Biographical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Olsson, 59, brings over two decades of senior executive, growth, and merchandising leadership across high-profile apparel and retail brands. Prior to joining the Company, from September 2025 to September 2026, Mr. Olsson was a consultant to the Company, providing strategic advisory services focused on growth opportunities. Since February 2024, Mr. Olsson has been a partner at Girder NYC, a strategic advisory group that he founded. From October 2022 to January 2024, Mr. Olsson was the chief growth officer and general manager, on a full-time advisory basis, at Tommy John, Inc. From October 2018 until January 2024, he served as an advisory board member to Outerknown, LLC, an omni channel sustainable apparel and accessories brand. During that time, he was employed by Outerknown, LLC and served as their chief growth officer from September 2021 to September 2022. From April 2019 until April 2020, he served as omni-channel apparel brand president for an ecommerce division of Walmart Inc. Previously, Mr. Olsson was also the chief executive officer and co-founder of Todd Snyder, leading the business from inception through its acquisition by American Eagle Outfitters, Inc. Earlier in his career, Mr. Olsson served as president and chief executive officer of Rip Curl North America, and held senior merchandising and leadership roles at Coach Inc., American Eagle Outfitters, Inc. and Gap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September 5, 2025, Mr. Olsson has served as a consultant to the Company, providing strategic advisory services. Pursuant to the consulting arrangement with the Company, Mr. Olsson received a monthly payment of $25,000, payable in arrears, based on 20 hours per week through May 5, 2026, plus out of pocket expenses. From May 6, 2026 until his contract ends on September 5, 2026, Mr. Olsson receives a monthly payment of $37,500, payable in arrears, based on 30 hours per week, plus out of pocket expenses. In total, Mr. Olsson was paid consulting fees and expenses of $111,359.92 in fiscal 2025 and $242,905.88 in fiscal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Company reimbursed Mr. Olsson $28,000 for legal fees incurred in connection with the negotiation and finalization of his employment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no arrangement or understanding between Mr. Olsson and any other person pursuant to which he was selected as an officer of the Company; there are no family relationships between Mr. Olsson and any director, executive officer, or person nominated or chosen by the Company to become a director or executive officer of the Company; and there are no transactions involving Mr. Olsson, other than the consulting arrangement described above, that would require disclosure under Item 404(a) of Regulation 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 2026, the Company issued a press release announcing the appointment of Mr. Olsson as CGO, a copy of which is furnished as Exhibit 99.1 hereto.</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Description of Employment Agreement with Mr. Olsson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Mr. Olsson’s appointment as the Company’s CGO, on September 2, 2026, CMRG Apparel, LLC, a subsidiary of the Company, and Mr. Olsson entered into an employment agreement (the “Employment Agreement”) effective September 6, 2026 (the “Effective Date”).</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Term</w:t>
      </w:r>
      <w:r>
        <w:rPr>
          <w:rFonts w:ascii="Times New Roman" w:hAnsi="Times New Roman"/>
          <w:color w:val="000000"/>
          <w:sz w:val="20"/>
        </w:rPr>
        <w:t>. The term of employment under the Employment Agreement begins on the Effective Date and continues until terminated by either party.</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Location</w:t>
      </w:r>
      <w:r>
        <w:rPr>
          <w:rFonts w:ascii="Times New Roman" w:hAnsi="Times New Roman"/>
          <w:color w:val="000000"/>
          <w:sz w:val="20"/>
        </w:rPr>
        <w:t>. Mr. Olsson’s primary work location will be New Rochelle, NY. Mr. Olsson will endeavor to be present at the Company’s headquarters in Canton, Massachusetts for at least 2 days per visit, during at least 3 weeks of each month, except during any week in which he is traveling on Company business, is on vacation or is absent for sickness.</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Base Salary</w:t>
      </w:r>
      <w:r>
        <w:rPr>
          <w:rFonts w:ascii="Times New Roman" w:hAnsi="Times New Roman"/>
          <w:color w:val="000000"/>
          <w:sz w:val="20"/>
        </w:rPr>
        <w:t>. Beginning on the Effective Date, Mr. Olsson will be paid an annual base salary of $475,000, reviewed at least annually as determined in the Company’s sole discretion.</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Signing Awards</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20"/>
          <w:u w:val="single"/>
        </w:rPr>
        <w:t>Restricted Stock Unit Award</w:t>
      </w:r>
      <w:r>
        <w:rPr>
          <w:rFonts w:ascii="Times New Roman" w:hAnsi="Times New Roman"/>
          <w:color w:val="000000"/>
          <w:sz w:val="20"/>
        </w:rPr>
        <w:t>. On the Effective Date, Mr. Olsson will receive a one-time grant of Restricted Stock Units (the “RSUs”) equal in value to $250,000. The number of RSUs granted will be determined based on the closing price of the Company’s stock on the last trading day prior to the Effective Date. The RSUs will vest in three equal annual installments beginning on September 6, 2027.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0"/>
          <w:u w:val="single"/>
        </w:rPr>
        <w:t>Sign-On Cash Award</w:t>
      </w:r>
      <w:r>
        <w:rPr>
          <w:rFonts w:ascii="Times New Roman" w:hAnsi="Times New Roman"/>
          <w:color w:val="000000"/>
          <w:sz w:val="20"/>
        </w:rPr>
        <w:t>. On the Effective Date, Mr. Olsson will receive a one-time grant of $100,000 cash, that will be payable on December 11, 2026, provided that Mr. Olsson is an employee of the Company and in good standing on such date.</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Annual Incentive Plan</w:t>
      </w:r>
      <w:r>
        <w:rPr>
          <w:rFonts w:ascii="Times New Roman" w:hAnsi="Times New Roman"/>
          <w:i/>
          <w:color w:val="000000"/>
          <w:sz w:val="20"/>
        </w:rPr>
        <w:t xml:space="preserve">. </w:t>
      </w:r>
      <w:r>
        <w:rPr>
          <w:rFonts w:ascii="Times New Roman" w:hAnsi="Times New Roman"/>
          <w:color w:val="000000"/>
          <w:sz w:val="20"/>
        </w:rPr>
        <w:t xml:space="preserve">Mr. Olsson will be eligible to earn an annual target bonus award under the Company’s annual incentive plan then in effect (the “Annual Incentive Plan”) equal to 60% of his actual annual base salary earned during the applicable fiscal year, based on achievement of certain performance goals to be established by the Compensation Committee of the Board (“Committee”). The amount of the annual bonus award under the Annual Incentive Plan in respect of a fiscal year shall range between 50% and 150% of the annual target bonus award.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Long-Term Incentive Plans</w:t>
      </w:r>
      <w:r>
        <w:rPr>
          <w:rFonts w:ascii="Times New Roman" w:hAnsi="Times New Roman"/>
          <w:color w:val="000000"/>
          <w:sz w:val="20"/>
        </w:rPr>
        <w:t>. As of the Effective Date, Mr. Olsson will be eligible to participate in the Company’s Long-Term Incentive Plan, as amended from time-to-time (the “LTIP”). The Employment Agreement provides that Mr. Olsson will be able to participate in the Company’s LTIP at a target incentive rate of no less than 80% of his base salary in effect on the Effective Date of Participation (as defined in the LTIP), for the incentive period, based upon the Company’s targeted performance as defined in the LTIP documents in effect at the time of the award. At the Effective Date, based on Mr. Olsson’s job level, he will participate at 90% of his base salary.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terms of the LTIP, 50% of the awards are time-based awards and 50% are performance-based awards. With respect to the 2024-2026 and 2025-2027 Performance Periods, Mr. Olsson will receive a time-based award, on a pro-rata basis, for each Performance Period. The time-based award for the 2024-2026 Performance Period will vest in two equal tranches, with the first tranche vesting on the first anniversary of the grant date and the remaining tranche vesting on April 1, 2027. The time-based award for the 2025-2027 Performance Period will vest in three equal tranches, with the first tranche vesting on the first anniversary of the grant date and the remaining two tranches vesting on April 1 of each of the following two years thereafter. If and to the extent that the applicable performance targets are achieved, Mr. Olsson will be eligible to receive a performance-based award that will range between 50% and 150% of the Target Cash Value. Any grant of performance-based award will be subject to further vesting through September 6, 2027 and August 31, 2028, respectively, for the 2024-2026 and the 2025-2027 Performance Periods. The Committee has not yet set performance targets for the 2026-2028 Performance Period.</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Employee Benefits.</w:t>
      </w:r>
      <w:r>
        <w:rPr>
          <w:rFonts w:ascii="Times New Roman" w:hAnsi="Times New Roman"/>
          <w:color w:val="000000"/>
          <w:sz w:val="20"/>
        </w:rPr>
        <w:t xml:space="preserve"> During the Employment Term, Mr. Olsson will be eligible for 4 weeks of vacation and is eligible to participate in all employee benefit plans, practices and programs maintained by the Company, on a basis which is no less favorable than is provided to other members of the Company’s executive leadership team.</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Clawback</w:t>
      </w:r>
      <w:r>
        <w:rPr>
          <w:rFonts w:ascii="Times New Roman" w:hAnsi="Times New Roman"/>
          <w:i/>
          <w:color w:val="000000"/>
          <w:sz w:val="20"/>
        </w:rPr>
        <w:t>.</w:t>
      </w:r>
      <w:r>
        <w:rPr>
          <w:rFonts w:ascii="Times New Roman" w:hAnsi="Times New Roman"/>
          <w:color w:val="000000"/>
          <w:sz w:val="20"/>
        </w:rPr>
        <w:t xml:space="preserve"> Any incentive-based compensation paid to Mr. Olsson will be subject to clawback under any Company clawback policy that is applicable to all executive officers and/or senior executives of the Company.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Termination of Employment</w:t>
      </w:r>
      <w:r>
        <w:rPr>
          <w:rFonts w:ascii="Times New Roman" w:hAnsi="Times New Roman"/>
          <w:i/>
          <w:color w:val="000000"/>
          <w:sz w:val="20"/>
        </w:rPr>
        <w:t xml:space="preserve">. </w:t>
      </w:r>
      <w:r>
        <w:rPr>
          <w:rFonts w:ascii="Times New Roman" w:hAnsi="Times New Roman"/>
          <w:color w:val="000000"/>
          <w:sz w:val="20"/>
        </w:rPr>
        <w:t>Either the Company or Mr. Olsson can terminate his employment at any time and for any reason.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Mr. Olsson’s employment is terminated by him for any reason other than “Good Reason” or by the Company for “Justifiable Cause” (each as defined in the Employment Agreement), then Mr. Olsson will be eligible to receive any accrued but unpaid salary for services rendered to the date of termination, any accrued but unpaid expenses required to be reimbursed and any accrued but unused vacation as of the termination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Mr. Olsson terminates his employment for Good Reason or the Company terminates his employment without Justifiable Cause, Mr. Olsson will be entitled to receive (i) six months of base salary, which amount includes payment for the 30-day notice period as described in the Employment Agreement, and (ii) a pro-rated portion of his annual bonus under the AIP for the fiscal year in which such termination occurs, calculated based upon target performance and prorated based on the number of days Mr. Olsson was employed during such fiscal year.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Termination of Employment in Connection with a Change of Control</w:t>
      </w:r>
      <w:r>
        <w:rPr>
          <w:rFonts w:ascii="Times New Roman" w:hAnsi="Times New Roman"/>
          <w:color w:val="000000"/>
          <w:sz w:val="20"/>
        </w:rPr>
        <w:t xml:space="preserve">. If Mr. Olsson’s employment is terminated by him for Good Reason or by the Company without Justifiable Cause and the termination occurs within one year following a Change of Control, Mr. Olsson is entitled to receive an amount equal to twelve months of his highest base salary in effect at any time during the six month period ending on the date of the Change of Control, net of any cash severance already received under a Termination of Employment for Good Reason or without Justifiable Cause.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Mr. Olsson’s Employment Agreement, a Change of Control is defined as a “Change of Control” under the Company’s current Incentive Compensation Plan provided, however, that a merger between the Company or any of its affiliate(s) with FBB Holdings I, Inc. or any of its affiliate(s) shall not be a Change of Control for purposes of this Employment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Employment Agreement also contains customary covenants regarding confidentiality, non-disclosure, non-competition, non-solicitation, non-disparagement, and proprietary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summary does not purport to be complete and is subject to and qualified in its entirety by reference to the text of the Employment Agreement, included as Exhibit 10.1 to this filing, and is incorporated herein by reference.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2, 2026, the Company issued a press release announcing the appointment of Mr. Olsson as Chief Growth Officer of the Company, effective September 6, 2026. A copy of this press release is furnished herewith as Exhibit 99.1.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934"/>
        <w:gridCol w:w="146"/>
        <w:gridCol w:w="146"/>
        <w:gridCol w:w="8979"/>
      </w:tblGrid>
      <w:tr>
        <w:trPr/>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79" w:type="dxa"/>
            <w:tcBorders/>
            <w:vAlign w:val="center"/>
          </w:tcPr>
          <w:p>
            <w:pPr>
              <w:pStyle w:val="TableContents"/>
              <w:bidi w:val="0"/>
              <w:spacing w:before="0" w:after="283"/>
              <w:jc w:val="left"/>
              <w:rPr>
                <w:sz w:val="4"/>
                <w:szCs w:val="4"/>
              </w:rPr>
            </w:pPr>
            <w:r>
              <w:rPr>
                <w:sz w:val="4"/>
                <w:szCs w:val="4"/>
              </w:rPr>
            </w:r>
          </w:p>
        </w:tc>
      </w:tr>
      <w:tr>
        <w:trPr/>
        <w:tc>
          <w:tcPr>
            <w:tcW w:w="9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Exhibit No</w:t>
            </w:r>
            <w:r>
              <w:rPr>
                <w:rFonts w:ascii="Times New Roman" w:hAnsi="Times New Roman"/>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9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9" w:type="dxa"/>
            <w:tcBorders/>
            <w:tcMar>
              <w:top w:w="0" w:type="dxa"/>
              <w:left w:w="0" w:type="dxa"/>
              <w:bottom w:w="0" w:type="dxa"/>
              <w:right w:w="0" w:type="dxa"/>
            </w:tcMar>
            <w:vAlign w:val="center"/>
          </w:tcPr>
          <w:p>
            <w:pPr>
              <w:pStyle w:val="TableContents"/>
              <w:bidi w:val="0"/>
              <w:spacing w:before="0" w:after="283"/>
              <w:jc w:val="left"/>
              <w:rPr/>
            </w:pPr>
            <w:hyperlink w:anchor="dxlg-ex10_1.htm">
              <w:r>
                <w:rPr>
                  <w:rStyle w:val="InternetLink"/>
                  <w:rFonts w:ascii="Times New Roman" w:hAnsi="Times New Roman"/>
                  <w:color w:val="0000FF"/>
                  <w:sz w:val="20"/>
                  <w:u w:val="single"/>
                </w:rPr>
                <w:t>Employment Agreement between CMRG Apparel LLC, a subsidiary of the Company, and James E. Olsson, dated September 2, 2026.</w:t>
              </w:r>
            </w:hyperlink>
          </w:p>
        </w:tc>
      </w:tr>
      <w:tr>
        <w:trPr/>
        <w:tc>
          <w:tcPr>
            <w:tcW w:w="9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tcBorders/>
            <w:tcMar>
              <w:top w:w="0" w:type="dxa"/>
              <w:left w:w="0" w:type="dxa"/>
              <w:bottom w:w="0" w:type="dxa"/>
              <w:right w:w="0" w:type="dxa"/>
            </w:tcMar>
            <w:vAlign w:val="center"/>
          </w:tcPr>
          <w:p>
            <w:pPr>
              <w:pStyle w:val="TableContents"/>
              <w:bidi w:val="0"/>
              <w:spacing w:before="0" w:after="283"/>
              <w:jc w:val="left"/>
              <w:rPr/>
            </w:pPr>
            <w:hyperlink w:anchor="dxlg-ex99_1.htm">
              <w:r>
                <w:rPr>
                  <w:rStyle w:val="InternetLink"/>
                  <w:rFonts w:ascii="Times New Roman" w:hAnsi="Times New Roman"/>
                  <w:color w:val="0000FF"/>
                  <w:sz w:val="20"/>
                  <w:u w:val="single"/>
                </w:rPr>
                <w:t>Press release, dated September 2, 2026.</w:t>
              </w:r>
            </w:hyperlink>
          </w:p>
        </w:tc>
      </w:tr>
      <w:tr>
        <w:trPr/>
        <w:tc>
          <w:tcPr>
            <w:tcW w:w="9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269" w:type="dxa"/>
        <w:jc w:val="left"/>
        <w:tblInd w:w="0" w:type="dxa"/>
        <w:tblLayout w:type="fixed"/>
        <w:tblCellMar>
          <w:top w:w="28" w:type="dxa"/>
          <w:left w:w="28" w:type="dxa"/>
          <w:bottom w:w="28" w:type="dxa"/>
          <w:right w:w="28" w:type="dxa"/>
        </w:tblCellMar>
      </w:tblPr>
      <w:tblGrid>
        <w:gridCol w:w="556"/>
        <w:gridCol w:w="1621"/>
        <w:gridCol w:w="451"/>
        <w:gridCol w:w="2641"/>
      </w:tblGrid>
      <w:tr>
        <w:trPr/>
        <w:tc>
          <w:tcPr>
            <w:tcW w:w="5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Destination XL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2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6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Robert S. Molloy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Robert S. Molloy</w:t>
              <w:br/>
              <w:t>General Counsel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2" w:name="dxlg-ex10_1.htm"/>
      <w:bookmarkStart w:id="3" w:name="ksdxlgex10_1"/>
      <w:bookmarkEnd w:id="2"/>
      <w:bookmarkEnd w:id="3"/>
      <w:r>
        <w:rPr>
          <w:rFonts w:ascii="Times New Roman" w:hAnsi="Times New Roman"/>
          <w:color w:val="000000"/>
          <w:sz w:val="24"/>
        </w:rPr>
        <w:t>Exhibit 10.1</w:t>
      </w:r>
      <w:r>
        <w:br w:type="page"/>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EMPLOYMENT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Employment Agreement (“Agreement”) is made effective as of September 6, 2026 (the “Effective Date”) between CMRG Apparel, LLC, (the “Company”), a “Related Entity” as defined in the 2016 Incentive Compensation Plan (as amended), of Destination XL Group, Inc., a Delaware corporation with an office at 555 Turnpike Street, Canton, Massachusetts 02021 (“DXLG” which term includes any affiliates and subsidiaries), and JAMES E. OLSSON (the “Executive”) having an address at [omitted].</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WITNESSETH: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WHEREAS, the Company desires that Executive work for the Company and Executive desires to be so employed by the Company as its Executive Vice President, Chief Growth Officer;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Executive and the Company desire to set forth in writing the terms and conditions of Executive’s employment with the Company commencing on the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promises and the mutual promises, representations and covenants herein contained, the parties hereto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EMPLOYMENT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hereby employs Executive on an employment-at-will basis and Executive hereby accepts such employment, subject to the terms and conditions herein set forth.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TERM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term of employment under this Agreement (the “Term of Employment”) shall begin on the Effective Date and shall continue until terminated by either party as hereinafter set forth.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COMPENSATION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Four Hundred Seventy-Five Thousand Dollars and 00/100 Cents ($475,000.00) (the “Base Salary”) as of the Effective Date. The Base Salary shall be reviewed at least annually as determined in the Company’s sole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addition to the Base Salary, during the Term of Employment, Executive is eligible to participate in the Company’s Annual Incentive Plan as in effect from time to time (“AIP”). Any incentive under the AIP shall be determined and payable in accordance with the AIP in effect at the time, subject to change from year to year in the Company’s sole discretion. Executive will participate in the AIP and Executive’s target bonus under such plan (if all individual and Company performance conditions are met) shall be 60% of Executive’s actual annual base earnings paid during the applicable fiscal year (“Base Earnings”). The actual award under the incentive program, if any, may be more or less than the target and will be based on Executive’s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performance, and the performance of the Company, and payment will be made in accordance with and subject to the terms and conditions of the AIP then in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during the Term of Employment, Executive is eligible to participate in the Company’s Long-Term Incentive Plan as in effect from time to time (“LTIP”). Such incentive shall be determined and distributable in accordance with and subject to the terms and conditions as described in the LTIP documents in effect at the time of the award, subject to change from year-to-year in the sole discretion of the Compensation Committee of the Company’s Board of Directors (the “Compensation Committee” and the “Board of Directors”). Executive will participate in the Company’s LTIP at a target incentive rate of no less than 80% of Executive’s Base Salary in effect on Executive’s Effective Date of Participation (as defined in the LTIP), for the incentive period, based upon the Company’s targeted performance as defined in the LTIP documents in effect at the time of the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In addition, in consideration for entering into this Agreement and commencing employment hereunder, the Company shall pay Executive a sign-on award consisting of $100,000 cash payable as of the Effective Date (the “Sign-On Award”) and a grant of $250,000 of restricted stock units with respect to Destination XL Group, Inc. shares of common stock (“RSUs”) effective as of the Effective Date (the “Stock Award”). The Sign-On Award will be paid in full on December 11, 2026, provided that Executive is an employee of Company in good standing on such date. The RSUs granted in the Stock Award shall be determined based on the closing price of the Company’s stock on the final trading day prior to the Effective Date and shall vest ratably in one-third (1/3) increments over three (3) years on each anniversary of the Effective Date with settlement occurring on the “Delivery Date” as set forth in a formal “Stand-Alone Restricted Stock Unit Agreement” which shall be in a form substantially similar to the form of agreement attached hereto as </w:t>
      </w:r>
      <w:r>
        <w:rPr>
          <w:rFonts w:ascii="Times New Roman" w:hAnsi="Times New Roman"/>
          <w:color w:val="000000"/>
          <w:sz w:val="24"/>
          <w:u w:val="single"/>
        </w:rPr>
        <w:t>Exhibit 1</w:t>
      </w:r>
      <w:r>
        <w:rPr>
          <w:rFonts w:ascii="Times New Roman" w:hAnsi="Times New Roman"/>
          <w:color w:val="000000"/>
          <w:sz w:val="24"/>
        </w:rPr>
        <w:t xml:space="preserve"> (the “Stock Award Agreement”). The Stock Award Agreement shall be provided on or following the Effective Date, but not later than thirty (30) days following the Effective Date and shall provide that the Stock Award is subject to clawback as set forth in paragraph 7(k).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EXPENSES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pay or reimburse Executive, in accordance with the Company’s policies and procedures and upon presentment of suitable vouchers, for all reasonable business and travel expenses, including business travel to Company stores (but expressly excluding Executive’s ordinary course commute to the Company’s offices in Canton, Massachusetts),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OTHER BENEFITS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During the Term of Employment, Executive shall be entitled to four (4) weeks’ vacation in accordance with Company policy and to participate in and receive any other benefits customarily provided by the Company to its management (including any profit sharing, pension, 401(k), short and long-term disability insurance, medical and dental insurance and group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life insurance plans in accordance with and subject to the terms of such plans, including, without limitation, any eligibility requirements contained therein), all as determined from time to time by the Compensation Committee of the Board of Directors in its discretion. The Company may amend its benefit programs at any time and for any reason and Executive has no entitlement to participate in any employee benefit plan other than as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The Company will, during the Term of Employment, provide Executive with an automobile allowance in the total amount of Twelve Thousand Dollars</w:t>
      </w:r>
      <w:r>
        <w:rPr>
          <w:rFonts w:ascii="Times New Roman" w:hAnsi="Times New Roman"/>
          <w:color w:val="FF0000"/>
          <w:sz w:val="24"/>
        </w:rPr>
        <w:t xml:space="preserve"> </w:t>
      </w:r>
      <w:r>
        <w:rPr>
          <w:rFonts w:ascii="Times New Roman" w:hAnsi="Times New Roman"/>
          <w:color w:val="000000"/>
          <w:sz w:val="24"/>
        </w:rPr>
        <w:t xml:space="preserve">and 00/100 ($12,000.00) annually (prorated for any partial year of employment), payable in equal bi-weekly payments in accordance with the Company’s normal payroll practices. Executive shall pay and be responsible for all insurance, repairs and maintenance costs associated with operating the automobile. Executive shall pay and be responsible for his gasoline, unless the gasoline expense is reimbursable under the Company’s policies and procedures.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will be eligible to participate in the Company’s annual performance appraisal process.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DUTIES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Executive shall perform such duties and functions consistent with the position of Chief Growth Officer specifically as set forth on Schedule A attached hereto and incorporated herein (“</w:t>
      </w:r>
      <w:r>
        <w:rPr>
          <w:rFonts w:ascii="Times New Roman" w:hAnsi="Times New Roman"/>
          <w:b/>
          <w:color w:val="000000"/>
          <w:sz w:val="24"/>
        </w:rPr>
        <w:t>Schedule A</w:t>
      </w:r>
      <w:r>
        <w:rPr>
          <w:rFonts w:ascii="Times New Roman" w:hAnsi="Times New Roman"/>
          <w:color w:val="000000"/>
          <w:sz w:val="24"/>
        </w:rPr>
        <w:t>”) and such other duties and functions that are commensurate with Executive’s title and position hereunder as the Company shall reasonably determine from time to time. Executive shall report directly to the Chief Executive Officer and/or the Board of Directors. Executive shall perform his duties in compliance with the policies of the Company and subject to the direction of the Company, consistent with the terms and conditions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During the Term of Employment, Executive shall devote substantially all of his business time and attention, vacation time and absences for sickness excepted, to the business of the Company, as necessary to fulfill his duties. Executive shall perform the duties assigned to him with fidelity and to the best of his ability. Notwithstanding the foregoing, nothing herein shall prevent Executive from serving on corporate, civic or charitable boards or committees, in each case, to the extent such activities do not, in the aggregate, interfere or conflict with the performance of Executive’s duties and responsibilities hereunder and such activities do not violate paragraph 10 hereof or any other applicable Company policy (including, without limitation the Company’s Code of Business Conduct and Ethics, the Code of Ethics for Directors, Officers and Financial Professionals) as in effect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Executive’s primary work location shall be in New Rochelle, NY. Notwithstanding the foregoing, Executive shall endeavor to be present at the Company’s Canton, Massachusetts office for at least two (2) days per visit, during at least three (3) weeks of each month, except during any week in which Executive is traveling on Company business, is on vacation or is absent for sickness. Notwithstanding the foregoing, Executive shall perform such services at such other locations as may be required for the proper performance of his duties hereunder, and Executive recognizes that such duties may involve business travel.</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TERMINATION OF EMPLOYMENT; EFFECT OF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Term of Employment may be terminated by the Company at any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determination of the Company that there is Justifiable Cause (as hereinafter defined) for such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Term of Employment shall terminate upon: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death of Executive;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date on which the Company elects to terminate the Term of Employment by reason of Disability (as hereinafter defined in subsection (c) herein) pursuant to subsection (g) hereof;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Executive’s resignation of employment with or without Good Reason (as defined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purposes hereof, the term “Justifiable Cause” shall mean Executive’s: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indictment by federal or state authorities in respect of any crime that involves theft, dishonesty or breach of trust;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conviction of any felony;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failure or refusal to perform lawful material duties consistent with Executive’s position, or repeated failure to perform his duties in a satisfactory manner;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fraud or embezzlement of Company property or assets;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material violation of the Company’s Code of Business Conduct and Ethics, the Code of Ethics for Directors, Officers and Financial Professionals or any other Company policy, rule or regulation;</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intentional acts of misconduct, moral turpitude or malfeasance (intentional or reckless wrongdoing with or without malicious or tortious intent) that could reasonably have a material adverse effect on the Company;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breach or violation of any material provision of this Agreement or any restrictive covenant to which Executive is subject.</w:t>
      </w:r>
    </w:p>
    <w:p>
      <w:pPr>
        <w:pStyle w:val="Heading2"/>
        <w:bidi w:val="0"/>
        <w:spacing w:before="0" w:after="240"/>
        <w:jc w:val="both"/>
        <w:rPr>
          <w:rFonts w:ascii="Times New Roman" w:hAnsi="Times New Roman"/>
          <w:sz w:val="24"/>
        </w:rPr>
      </w:pPr>
      <w:r>
        <w:rPr>
          <w:rFonts w:ascii="Times New Roman" w:hAnsi="Times New Roman"/>
          <w:b w:val="false"/>
          <w:color w:val="000000"/>
          <w:sz w:val="24"/>
        </w:rPr>
        <w:t>Upon termination of Executive’s employment for Justifiable Cause, Executive shall not be entitled to any amounts or benefits hereunder other than such portion of Executive’s Base Salary and reimbursement of expenses pursuant to paragraph 4 hereof as have been accrued through the date of his termination of employment.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Company terminates the Term of Employment without Justifiable Cause as provided in subsection 7(a)(i) or if Executive resigns with Good Reason (as defined below), the Company shall pay Executive the following amounts, subject to Executive’s execution and non-revocation of a general release of claims substantially in the form attached hereto as Exhibit A (the “General Release”), within the time required by the Company but no later than sixty (60) days following Executive’s termination of employment, and compliance with this Agreement and the General Release: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to payment for the 30-day notice period in subsection 7(a)(i), an amount equal to five (5) months of Executive’s then current Base Salary (the “Regular Cash Severance”), payable in equal installments over the five-month period following Executive’s termination of employment in accordance with the Company’s customary payroll practices, provided that payments will not be made until the first payroll period following the sixtieth (60th) day after Executive’s termination of employment and the first such payment shall include any installments that would have been paid earlier had payments commenced on the first payroll period following Executive’s termination of employment;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earned, the pro-rated portion of Executive’s annual bonus under the AIP for the fiscal year in which such termination occurs, calculated based upon target performance and prorated based on the number of days Executive was employed during such fiscal year, payable within thirty (30) days following the finalization of the Company’s financial statements for the applicable fiscal year, but in no event later than two and one-half (2½) months following the end of the fiscal year in which the termination occurs;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annual bonus for a prior fiscal year that has been earned but not yet paid as of the termination date, payable within sixty (60) days following termination;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termination occurs within one (1) year following a Change of Control, an amount equal to twelve (12) months of Executive’s highest Base Salary in effect at any time during the six (6) month period ending on the date of the Change of Control, less the Regular Cash Severance described in subsection 7(e)(i), payable in a single lump sum within sixty (60) days following termination, except as set forth below in paragraph 7(i).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payment pursuant to this paragraph 7(e) will be in lieu of payments to which Executive might have been entitled under any other Company plan, policy or practice providing for severance benefits.</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Change of Control. For purposes of this Agreement, a Change of Control shall mean a “Change of Control” under the Company’s then current Incentive Compensation Plan, provided that in no event will a merger between the Company or any of its affiliate(s) with FBB Holdings I, Inc. or any of its affiliate(s) be deemed to be a Change of Control for purposes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 purposes hereof, “Good Reason” shall mean the occurrence of any of the following without Executive’s prior written consent: (i) a material diminution in Executive’s Base Salary or target incentive compensation opportunity under the AIP (or any successor plan) hereunder; (ii) a material diminution in Executive’s authority, duties, or responsibilities; or (iii) any other action or inaction that constitutes a material breach by the Company of this Agreement. Notwithstanding the foregoing, Executive further agrees and acknowledges that any changes to Executive’s title, duties, responsibilities, authority or reporting relationships that occur as a result of, in connection with, following or reasonably concurrently with a merger between the Company or any of its affiliate(s) with FBB Holdings I, Inc. or any of its affiliate(s) shall not constitute “Good Reason” under this Agreement or any other Company plan, policy or practice so long as Executive retains a prestigious title and a position that is not materially diminished from the duties and functions set forth on Schedule A. For purposes of this provision, Good Reason shall not be deemed to exist unless Executive’s termination of employment for Good Reason occurs within 2 years following the initial existence of one of the conditions specified in clauses (i) through (iii) above, Executive provides the Company with written notice of the existence of such condition within 90 days after the initial existence of the condition, and the Company fails to remedy the condition within 30 days after its receipt of such notice.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Limitation on Payments. In the event that any payments and other benefits provided for in this Agreement or otherwise payable to Executive (i) constitute “parachute payments” within the meaning of Section 280G of the Code, and (ii) but for this paragraph 7, would be subject to the excise tax imposed by Section 4999 of the Code, then any amounts payable under this Agreement or otherwise will be either: (A) delivered in full, or (B) delivered as to such lesser extent which would result in no portion of such benefits being subject to excise tax under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4999 of the Code, 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payments and benefits is necessary so that benefits are delivered to a lesser extent, reduction will occur in the following order: (1) reduction of cash payments not subject to Section 409A of the Code and then reduction of cash payments subject to Section 409A of the Code; (2) cancellation of accelerated vesting of equity awards (by reducing performance-based awards first and then time-based awards, based on reverse order of vesting dates); and (3) reduction of employee benefits.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Clawback of Certain Compensation and Benefits. If, after the termination of the Term of Employment for any reason other than by the Company for “Justifiable Cause”: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is determined in good faith by the Company within twelve (12) months after the termination of the Term of Employment (the “Termination Date”) that Executive’s employment could have been terminated by the Company for Justifiable Cause under paragraph 7(d) hereof (unless the Company knew or should have known that as of the Termination Date, Executive’s employment could have been terminated for Justifiable Cause in accordance with paragraph 7(d) hereof);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breaches any of the provisions of paragraph 10, then, in addition to any other remedy that may be available to the Company in law or equity and/or pursuant to any other provisions of this Agreement, Executive’s employment shall be deemed to have been terminated for Justifiable Cause retroactively to the Termination Date and the Executive also shall be subject to the following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vested and unvested Awards (as that term is defined in the 2016 Incentive Compensation Plan) then held by Executive shall immediately expire;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Executive shall be required to pay to the Company, immediately upon written demand by the Company, an amount equal to any Gains resulting from the exercise or payment of any Awards (as that term is defined in the 2016 Incentive Compensation Plan) at any time on or after, or during the one-year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Executive exercised the option or SAR, less the exercise price or grant price of the option or SAR; (ii) in the case of any Award other than a stock option or SAR that is satisfied by the issuance of shares of the Company’s common stock, the value of such stock on the Termination Date, and (iii) in the case of any Award other than a stock option or SAR, that is satisfied in cash or any property other than shares of the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Company’s common stock, the amount of cash and the value of the property on the payment date paid to satisfy the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to the foregoing, to the maximum extent permitted by applicable law, all amounts paid or provided to Executive hereunder shall be subject to any clawback or recoupment policy that may be maintained by the Company from time to time, and the requirements of any law or regulation applicable to the Company and governing the clawback or recoupment of executive compensation.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payment pursuant to paragraph 7(e) or 7(i) shall be contingent upon Executive’s execution of the General Release within twenty-one (21) days after termination of the Term of Employment (or such longer time as may be authorized by the Company or otherwise required by applicable law), and Executive’s not revoking that release.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COMPLIANCE WITH SECTION 409A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General. Although the Company does not guarantee the tax treatment of any payments under the Agreement, the intent of the Company and Executive is that the payments and benefits under this Agreement be exempt from, or comply with, Section 409A of the Internal Revenue Code of 1986, as amended, and all Treasury Regulations and guidance promulgated thereunder (“Section 409A”) and to the maximum extent permitted the Agreement shall be limited, construed and interpreted in accordance with such intent. In no event whatsoever shall the Company or its affiliates or their respective officers, directors, employees or agents be liable for any additional tax, interest or penalties that may be imposed on Executive by Section 409A or damages for failing to comply with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Distributions on Account of Separation from Service</w:t>
      </w:r>
      <w:r>
        <w:rPr>
          <w:rFonts w:ascii="Times New Roman" w:hAnsi="Times New Roman"/>
          <w:color w:val="000000"/>
          <w:sz w:val="24"/>
        </w:rPr>
        <w:t>. If and to the extent required to comply with Section 409A, no payment or benefit required to be paid under this Agreement on account of termination of Executive’s employment shall be made unless and until Executive incurs a “separation from service” within the meaning of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Six Month Delay for “Specified Employees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Executive is a “specified employee”, then no payment or benefit that is payable on account of Executive’s “separation from service”, as that term is defined for purposes of Section 409A, shall be made before the date that is six (6) months after Executive’s “separation from service” (or, if earlier, the date of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 purposes of this provision, Executive shall be considered to be a “specified employee” if, at the time of his separation from service,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Acceleration of Payments</w:t>
      </w:r>
      <w:r>
        <w:rPr>
          <w:rFonts w:ascii="Times New Roman" w:hAnsi="Times New Roman"/>
          <w:color w:val="000000"/>
          <w:sz w:val="24"/>
        </w:rPr>
        <w:t>. Neither the Company nor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Treatment of Each Installment as a Separate Payment</w:t>
      </w:r>
      <w:r>
        <w:rPr>
          <w:rFonts w:ascii="Times New Roman" w:hAnsi="Times New Roman"/>
          <w:color w:val="000000"/>
          <w:sz w:val="24"/>
        </w:rPr>
        <w:t>. For purposes of applying the provisions of Section 409A to this Agreement, each separately identified amount to which Executive is entitled under this Agreement shall be treated as a separate payment. In addition, to the extent permissible under Section 409A, any series of installment payments under this Agreement shall be treated as a right to a series of separate payments.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Taxable Reimbursements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reimbursements by the Company to Executive of any eligible expenses under this Agreement that are not excludable from Executive’s income for Federal income tax purposes (the “Taxable Reimbursements”) shall be made by no later than the earlier of the date on which they would be paid under the Company’s normal policies and the last day of the taxable year of Executive following the year in which the expense was incurred.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amount of any Taxable Reimbursements to be provided to Executive during any taxable year of Executive shall not affect the expenses eligible for reimbursement to be provided in any other taxable year of Executive.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right to Taxable Reimbursements shall not be subject to liquidation or exchange for another benefit.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Release</w:t>
      </w:r>
      <w:r>
        <w:rPr>
          <w:rFonts w:ascii="Times New Roman" w:hAnsi="Times New Roman"/>
          <w:color w:val="000000"/>
          <w:sz w:val="24"/>
        </w:rPr>
        <w:t>. If the timing of Executive’s execution and delivery of a General Release could affect the calendar year in which any amounts are paid pursuant to this Agreement because the period of review and consideration of such General Release spans two calendar years, then no payment will be made until the later calendar year (regardless of whether the General Release was executed in the earlier calendar year).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REPRESENTATION AND AGREEMENTS OF EXECUTIVE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 All medical examination results shall remain strictly confidential.</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represents and warrants that he has never been convicted of a felony and he has not been convicted or incarcerated for a misdemeanor within the past three (3) years, other than a first conviction for drunkenness, simple assault, speeding, minor traffic violations, affray, or disturbance of the peace.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represents and warrants that he has never been a party to any judicial or administrative proceeding that resulted in a judgment, decree, or final order (i) enjoining him from future violations of, or prohibiting any violations of any federal or state securities law, or (ii) finding any violations of any federal or state securities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represents and warrants that he has never been accused of any violation of company policy or code of conduct in connection with any employment.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breach of any of the above representations and warranties is “Justifiable Cause” for termination under paragraph 7(d)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NON-COMPETITION AND NON-SOLICITATION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rPr>
        <w:t>In consideration for the potential to receive additional compensation pursuant to paragraph 7(a)(i) and 7(e) above, which Executive acknowledges is fair and reasonable mutually agreed upon consideration, and for Executive’s entry into this Agreement and commencement of employment with the Company in the role of Executive Vice President, Chief Growth Officer, Executive further covenants and agrees that during the Term of Employment and during the twelve (12) month period immediately following the Termination Date (the “Non-Competitive Period”),</w:t>
      </w:r>
      <w:r>
        <w:rPr>
          <w:color w:val="000000"/>
        </w:rPr>
        <w:t xml:space="preserve"> </w:t>
      </w:r>
      <w:r>
        <w:rPr>
          <w:rFonts w:ascii="Times New Roman" w:hAnsi="Times New Roman"/>
          <w:color w:val="000000"/>
          <w:sz w:val="24"/>
        </w:rPr>
        <w:t xml:space="preserve">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Executive provided services or had a material presence or influence on behalf of the Company, whether in the United States, Canada, Europe or elsewhere during the two years prior to Executive’s separation from the Company;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(1)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(2) solicit, hire, interfere with or entice from the Company or any of its subsidiaries or affiliates any employee (or former employee who has been separated from service for less than 12 months) of the Company or any of its subsidiaries or affiliates.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INVENTIONS AND DISCOVERIES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NON-DISCLOSURE OF CONFIDENTIAL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acknowledges that the Company possesses certain confidential and proprietary information that has been or may be revealed to,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or as otherwise allowed or required by law,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“Confidential Information” shall not include the following: (i) information that is or becomes publicly known other than pursuant to a breach of this paragraph 12(a) or this Agreement by Executive; (ii) information that at the time of disclosure under this Agreement is already known to the receiving party without any restriction on its disclosure; (iii) information that is or subsequently comes into the possession of the receiving party from a third party without violation of any contractual or legal obligation; (iv) information that is independently developed by the receiving party without the use of Confidential Information; and (v) information that is otherwise required to be disclosed under applicable laws, regulations or judicial or regulatory process.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 Executive shall also return to the Company all computer equipment, mobile phones, home office equipment, credit cards, keys, access cards, and any other business equipment or property belonging to the Company. For any equipment or devices owned by Executive on which proprietary information of the Company is stored or accessible, Executive shall, immediately upon or prior to separation from employment, deliver such equipment or devices to the Company so that any proprietary information may be deleted or removed, or shall certify in writing that all such information has been permanently deleted. Executive shall provide all passwords or access codes necessary to access any electronic devices, accounts, or systems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used in connection with Executive’s employment.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accordance with the Federal Defend Trade Secrets Act, Executive cannot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Notwithstanding this immunity from liability, Executive may be held liable if Executive unlawfully accesses trade secrets by unauthorized means.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Conflict of Interest. Executive may not use Executive’s position at the Company, or knowledge of any of the Company’s Confidential Information or Trade Secrets, or any of the Company’s assets, for personal gain. A direct or indirect financial interest, including joint ventures in or with a supplier, vendor, customer, or prospective customer without disclosure and written approval from the Board of Directors is strictly prohibited.</w:t>
      </w:r>
    </w:p>
    <w:p>
      <w:pPr>
        <w:pStyle w:val="TextBody"/>
        <w:bidi w:val="0"/>
        <w:jc w:val="both"/>
        <w:rPr>
          <w:rFonts w:ascii="Times New Roman" w:hAnsi="Times New Roman"/>
          <w:sz w:val="24"/>
        </w:rPr>
      </w:pPr>
      <w:r>
        <w:rPr>
          <w:rFonts w:ascii="Times New Roman" w:hAnsi="Times New Roman"/>
          <w:color w:val="000000"/>
          <w:sz w:val="24"/>
        </w:rPr>
        <w:t>(e) Nothing in this Agreement or any other agreement or company policy prohibits, prevents, or otherwise limits Executive from (1) reporting possible violations of federal or other law or regulations to any governmental agency, regulatory body, or law enforcement authority (</w:t>
      </w:r>
      <w:r>
        <w:rPr>
          <w:rFonts w:ascii="Times New Roman" w:hAnsi="Times New Roman"/>
          <w:i/>
          <w:color w:val="000000"/>
          <w:sz w:val="24"/>
        </w:rPr>
        <w:t>e.g.</w:t>
      </w:r>
      <w:r>
        <w:rPr>
          <w:rFonts w:ascii="Times New Roman" w:hAnsi="Times New Roman"/>
          <w:color w:val="000000"/>
          <w:sz w:val="24"/>
        </w:rPr>
        <w:t>, EEOC, NLRB, SEC, DOJ, CFTC, U.S. Congress, or an Inspector General), (2) filing a charge or complaint with any such governmental agency, or (3) participating, testifying, or assisting in any investigation, hearing, or other proceeding brought by, in conjunction with, or otherwise under the authority of any such governmental agency. Further, nothing in this Agreement prohibits, prevents, or otherwise limits Executive’s ability or right to seek or receive any monetary award or bounty from any such governmental agency in connection with protected “whistleblower” activity.</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SPECIFIC PERFORMANCE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AMENDMENT OR ALTERATION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amendment or alteration of the terms of this Agreement shall be valid unless made in writing and signed by both of the parties hereto.</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GOVERNING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shall be governed by, and construed and enforced in accordance with the substantive laws of the Commonwealth of Massachusetts, without regard to its principles of conflicts of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SEVERABILITY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holding of any provision of this Agreement to be invalid or unenforceable by a court of competent jurisdiction shall not affect any other provision of this Agreement, which shall remain in full force and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NOTICES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WAIVER OF BREACH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is agreed that a waiver by either party of a breach of any provision of this Agreement shall not operate or be construed as a waiver of any subsequent breach by that same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ENTIRE AGREEMENT AND BINDING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 Executive acknowledges that Executive may consult with an attorney of Executive’s choosing before signing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both"/>
        <w:rPr>
          <w:rFonts w:ascii="Times New Roman" w:hAnsi="Times New Roman"/>
          <w:sz w:val="24"/>
        </w:rPr>
      </w:pPr>
      <w:r>
        <w:rPr>
          <w:rFonts w:ascii="Times New Roman" w:hAnsi="Times New Roman"/>
          <w:caps/>
          <w:color w:val="000000"/>
          <w:sz w:val="24"/>
          <w:u w:val="single"/>
        </w:rPr>
        <w:t>No Claim Against Assets</w:t>
      </w:r>
      <w:r>
        <w:rPr>
          <w:rFonts w:ascii="Times New Roman" w:hAnsi="Times New Roman"/>
          <w:color w:val="000000"/>
          <w:sz w:val="24"/>
          <w:u w:val="single"/>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Nothing in this Agreement shall be construed as giving Executive any claim against any specific assets of the Company or as imposing any trustee relationship upon the Company in respect of Executive. The Company shall not be required to establish a special or separate fund or to segregate any of its assets in order to provide for the satisfaction of its obligations under this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Executive’s rights under this Agreement shall be limited to those of an unsecured general creditor of the Company and its affiliates.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SURVIVAL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expressly provided herein, the termination of Executive’s employment hereunder or the expiration of this Agreement shall not affect the enforceability of paragraphs 7 through 29 hereof, which shall survive the termination or expiration.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RESOLUTION OF DISPUTES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and all disputes arising under or in connection with this Agreement shall be resolved in accordance with this paragraph 22 and paragraph 15.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ATTORNEYS’ FEES.</w:t>
      </w:r>
    </w:p>
    <w:p>
      <w:pPr>
        <w:pStyle w:val="TextBody"/>
        <w:bidi w:val="0"/>
        <w:jc w:val="both"/>
        <w:rPr>
          <w:rFonts w:ascii="Times New Roman" w:hAnsi="Times New Roman"/>
          <w:color w:val="000000"/>
          <w:sz w:val="24"/>
        </w:rPr>
      </w:pPr>
      <w:r>
        <w:rPr>
          <w:rFonts w:ascii="Times New Roman" w:hAnsi="Times New Roman"/>
          <w:color w:val="000000"/>
          <w:sz w:val="24"/>
        </w:rPr>
        <w:t>The Company shall reimburse Executive for the reasonable attorney fees incurred by Executive in connection with the initial negotiation and drafting of this Agreement and any related documents in the aggregate amount of $28,000. Request for such reimbursement must be submitted with adequate substantiation in accordance with the Company’s reimbursement policy.</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NON-DISPARAGEMENT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Subject to the provisions of paragraph 10(e) above, Executive agrees, to the maximum extent permitted by applicable law, not to make maliciously disparaging, critical or otherwise detrimental comments to any person or entity concerning the Company, its officers, directors, trustees, and employees or the services or programs provided or to be provided by the Company, and the Company agrees that it, and its then-current officers and directors, will not make any maliciously disparaging, critical or otherwise detrimental comments about Executive or his business or personal activities. The Parties agree that this paragraph 24 does not prohibit Executive from making truthful statements and/or good faith statements of opinion about the terms or conditions of Executive’s employment, testifying in any legal proceeding or providing affirmations or other sworn statements, or from exercising Executive’s rights under government whistleblower programs, or whistleblowing statutes or regulations. The Parties further agree that this paragraph 24 does not prohibit the Company, its current and former employees, officers, directors and Board members from making truthful statements and/or good faith statements of opinion about the terms or conditions of Executive’s employment and/or job performance, or from testifying or providing affirmations or other sworn statements in any legal proceeding,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25.</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FURTHER ASSURANCES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agree to execute and deliver all such further documents, agreements and instruments and take such other and further action as may be necessary or appropriate to carry out the purposes and intent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26.</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SUBSIDIARIES AND AFFILIATES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purposes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color w:val="000000"/>
        </w:rPr>
      </w:pPr>
      <w:r>
        <w:rPr>
          <w:color w:val="000000"/>
        </w:rPr>
        <w:t>“</w:t>
      </w:r>
      <w:r>
        <w:rPr>
          <w:rFonts w:ascii="Times New Roman" w:hAnsi="Times New Roman"/>
          <w:color w:val="000000"/>
          <w:sz w:val="24"/>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color w:val="000000"/>
        </w:rPr>
      </w:pPr>
      <w:r>
        <w:rPr>
          <w:color w:val="000000"/>
        </w:rPr>
        <w:t>“</w:t>
      </w:r>
      <w:r>
        <w:rPr>
          <w:rFonts w:ascii="Times New Roman" w:hAnsi="Times New Roman"/>
          <w:color w:val="000000"/>
          <w:sz w:val="24"/>
        </w:rPr>
        <w:t>subsidiary” means any corporation or other entity in which the Company has a direct or indirect ownership interest of fifty percent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fifty percent (50%) or more of the distribution of profits or 50% or more of the assets on liquidation or dissolution.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27.</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HEADINGS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paragraph headings appearing in this Agreement are for the purposes of easy reference and shall not be considered a part of this Agreement or in any way modify, amend or affect its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28.</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COUNTERPARTS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may be executed in one or more counterparts, each of which shall be deemed an original and all of which together shall constitute one and the same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hereto have executed this Agreement, under seal, as of the date and year first above written.</w:t>
      </w:r>
    </w:p>
    <w:p>
      <w:pPr>
        <w:pStyle w:val="TextBody"/>
        <w:bidi w:val="0"/>
        <w:jc w:val="left"/>
        <w:rPr/>
      </w:pPr>
      <w:r>
        <w:rPr/>
        <w:t> </w:t>
      </w:r>
    </w:p>
    <w:tbl>
      <w:tblPr>
        <w:tblW w:w="4592" w:type="dxa"/>
        <w:jc w:val="left"/>
        <w:tblInd w:w="0" w:type="dxa"/>
        <w:tblLayout w:type="fixed"/>
        <w:tblCellMar>
          <w:top w:w="28" w:type="dxa"/>
          <w:left w:w="28" w:type="dxa"/>
          <w:bottom w:w="28" w:type="dxa"/>
          <w:right w:w="28" w:type="dxa"/>
        </w:tblCellMar>
      </w:tblPr>
      <w:tblGrid>
        <w:gridCol w:w="2656"/>
        <w:gridCol w:w="1936"/>
      </w:tblGrid>
      <w:tr>
        <w:trPr/>
        <w:tc>
          <w:tcPr>
            <w:tcW w:w="265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CMRG Apparel, LLC</w:t>
            </w:r>
          </w:p>
        </w:tc>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By</w:t>
            </w:r>
            <w:r>
              <w:rPr>
                <w:rFonts w:ascii="Times New Roman" w:hAnsi="Times New Roman"/>
                <w:color w:val="000000"/>
                <w:sz w:val="24"/>
                <w:u w:val="single"/>
              </w:rPr>
              <w:t>: /s/ Lionel F. Conacher</w:t>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September 2, 2026</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Lionel F. Conacher</w:t>
            </w:r>
          </w:p>
        </w:tc>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Its: Chairman of the Board</w:t>
            </w:r>
          </w:p>
        </w:tc>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 James E. Olsson</w:t>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September 2, 2026</w:t>
            </w:r>
          </w:p>
        </w:tc>
      </w:tr>
      <w:tr>
        <w:trPr/>
        <w:tc>
          <w:tcPr>
            <w:tcW w:w="26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James E. Olsson</w:t>
            </w:r>
          </w:p>
        </w:tc>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 A</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Duties and Functions</w:t>
      </w:r>
    </w:p>
    <w:p>
      <w:pPr>
        <w:pStyle w:val="TextBody"/>
        <w:bidi w:val="0"/>
        <w:jc w:val="center"/>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Merchandising for the DXL brand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Planning and allocation for the DXL brand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DXL brick and mortar retail store operations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Marketing for the DXL brand</w:t>
      </w:r>
    </w:p>
    <w:p>
      <w:pPr>
        <w:pStyle w:val="TextBody"/>
        <w:bidi w:val="0"/>
        <w:jc w:val="left"/>
        <w:rPr/>
      </w:pPr>
      <w:r>
        <w:rPr/>
        <w:t> </w:t>
      </w:r>
    </w:p>
    <w:p>
      <w:pPr>
        <w:pStyle w:val="TextBody"/>
        <w:bidi w:val="0"/>
        <w:spacing w:before="0" w:after="24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EXHIBIT A</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GENERAL RELEASE OF CLAIMS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1. </w:t>
      </w:r>
      <w:r>
        <w:rPr>
          <w:rFonts w:ascii="Times New Roman" w:hAnsi="Times New Roman"/>
          <w:b/>
          <w:color w:val="000000"/>
          <w:sz w:val="24"/>
          <w:u w:val="single"/>
        </w:rPr>
        <w:t>General Release of Claims</w:t>
      </w:r>
      <w:r>
        <w:rPr>
          <w:rFonts w:ascii="Times New Roman" w:hAnsi="Times New Roman"/>
          <w:color w:val="000000"/>
          <w:sz w:val="24"/>
        </w:rPr>
        <w:t>: James E. Olsson, (“</w:t>
      </w:r>
      <w:r>
        <w:rPr>
          <w:rFonts w:ascii="Times New Roman" w:hAnsi="Times New Roman"/>
          <w:color w:val="000000"/>
          <w:sz w:val="24"/>
          <w:u w:val="single"/>
        </w:rPr>
        <w:t>Executive</w:t>
      </w:r>
      <w:r>
        <w:rPr>
          <w:rFonts w:ascii="Times New Roman" w:hAnsi="Times New Roman"/>
          <w:color w:val="000000"/>
          <w:sz w:val="24"/>
        </w:rPr>
        <w:t xml:space="preserve">”), for himself and his family, heirs, executors, administrators, legal representatives and their respective successors and assigns, in exchange for good and valuable consideration to be paid after the date of Executive’s termination as set forth in the Employment Agreement, to which a form of this release is attached as </w:t>
      </w:r>
      <w:r>
        <w:rPr>
          <w:rFonts w:ascii="Times New Roman" w:hAnsi="Times New Roman"/>
          <w:color w:val="000000"/>
          <w:sz w:val="24"/>
          <w:u w:val="single"/>
        </w:rPr>
        <w:t>Exhibit A</w:t>
      </w:r>
      <w:r>
        <w:rPr>
          <w:rFonts w:ascii="Times New Roman" w:hAnsi="Times New Roman"/>
          <w:color w:val="000000"/>
          <w:sz w:val="24"/>
        </w:rPr>
        <w:t xml:space="preserve"> (the “</w:t>
      </w:r>
      <w:r>
        <w:rPr>
          <w:rFonts w:ascii="Times New Roman" w:hAnsi="Times New Roman"/>
          <w:color w:val="000000"/>
          <w:sz w:val="24"/>
          <w:u w:val="single"/>
        </w:rPr>
        <w:t>Employment Agreement</w:t>
      </w:r>
      <w:r>
        <w:rPr>
          <w:rFonts w:ascii="Times New Roman" w:hAnsi="Times New Roman"/>
          <w:color w:val="000000"/>
          <w:sz w:val="24"/>
        </w:rPr>
        <w:t xml:space="preserve">”), does hereby release and forever discharge, to the maximum extent permitted by law, CMRG Apparel, LLC (the “Company”), its parent, its parent’s subsidiaries, affiliated companies, successors and assigns, and their respective current or former directors, officers, employees, shareholders or agents in such capacities (collectively with the Company, the “Released Parties”) from any and all actions, causes of action, suits, controversies, claims and demands whatsoever, for or by reason of any matter, cause or thing whatsoever, whether known or unknown including, but not limited to, the Employee Retirement Income Security Act of 1974, 29 U.S.C. §1001 et seq.; the Civil Rights Act of 1964, 42 U.S.C. §2000e et seq.; COBRA; the Equal Pay Act of 1963, 29 U.S.C. §206(d); the Civil Rights Act of 1991; the Age Discrimination in Employment Act (ADEA); the Americans with Disabilities Act, 42 U.S.C. §12101 et seq.; the Family and Medical Leave Act (FMLA); the Civil Rights Act of 1866, 42 U.S.C. §1981 et seq., as amended; the Fair Credit Reporting Act; the Worker Adjustment and Retraining Notification Act; the Genetic Information Nondiscrimination Act of 2008; the Immigration Reform and Control Act; the Uniformed Services Employment and Reemployment Rights Act of 1994 (“USERRA”); Families First Coronavirus Response Act; the Pregnant Worker’s Fairness Act (“PWFA”)the Massachusetts Law Against Discrimination, G.L. c. 151B; the Massachusetts Privacy Statute, G.L. c. 214, § 1B; the Massachusetts Wage Payment Statute, G.L. c. 149, §§ 148, 148A, 148B, 149, 150,150A-150C, 151, 152, 152A, </w:t>
      </w:r>
      <w:r>
        <w:rPr>
          <w:rFonts w:ascii="Times New Roman" w:hAnsi="Times New Roman"/>
          <w:color w:val="000000"/>
          <w:sz w:val="24"/>
          <w:u w:val="single"/>
        </w:rPr>
        <w:t>et</w:t>
      </w:r>
      <w:r>
        <w:rPr>
          <w:rFonts w:ascii="Times New Roman" w:hAnsi="Times New Roman"/>
          <w:color w:val="000000"/>
          <w:sz w:val="24"/>
        </w:rPr>
        <w:t xml:space="preserve"> </w:t>
      </w:r>
      <w:r>
        <w:rPr>
          <w:rFonts w:ascii="Times New Roman" w:hAnsi="Times New Roman"/>
          <w:color w:val="000000"/>
          <w:sz w:val="24"/>
          <w:u w:val="single"/>
        </w:rPr>
        <w:t>seq</w:t>
      </w:r>
      <w:r>
        <w:rPr>
          <w:rFonts w:ascii="Times New Roman" w:hAnsi="Times New Roman"/>
          <w:color w:val="000000"/>
          <w:sz w:val="24"/>
        </w:rPr>
        <w:t xml:space="preserve">.; the Massachusetts Wage and hour laws, G.L. c. 151§1A et seq; the Massachusetts Sexual Harassment Statute, G.L. c. 214 §1C; the Massachusetts Consumer Protection Act, G.L. c. 93A; the Massachusetts Civil Rights Act, G.L. c. 12, § 11; the Massachusetts Equal Rights Act, G.L. c. 93; the Massachusetts AIDS Testing statute, G.L. c. 111, §70F; the Massachusetts Employment Leave for Victims and Family Members of Abuse, G.L. c. 149, §52E, as amended; the Massachusetts Earned Sick Time Law, M.G.L. c. 149, § 148C; the Massachusetts Small Necessities Leave Act; the Massachusetts Parental Leave Act; the Massachusetts Paid Family and Medical Leave Act, G.L. c. 175M; the New York State Executive Law (including its Human Rights Law); the New York Equal Pay Law; the New York Non-Discrimination for Legal Activities Law; the New York Whistleblower Law; the New York Workers’ Compensation Law; the New York wage and hour and wage payment laws and regulations; the New York Paid Sick Leave Law; the New York False Claims Act; the New York Criminal and Consumer Background Laws, N.Y. Gen. Bus. Law Sec. 380-B et seq.; the Non-Discrimination and Anti-Retaliation Provisions of the New York Workers’ Compensation Law and the New York Disabilities Law; the New York Labor Law; the New York State Worker Adjustment and Retraining Notification Act; the New York Occupational Safety and Health Laws; the New York Fair Credit Reporting Act; the New York Constitution; all claims for bonuses, stock, stock options or other incentive compensation; and any other federal, state or local human rights, civil rights, fair employment practices, wage payment, wage-hour, pension or labor laws, rules and/or regulations, and/or public policy; any claim for breach of contract, contract or tort laws; claims for wrongful termination; all claims for attorneys’ fees; claims for breach of the implied covenant of good faith and fair dealing; claims for tortious interference with advantageous and/or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contractual relations; or any claim arising under common law, such as claims for malicious prosecution, misrepresentation, defamation, false imprisonment, libel, slander, invasion of privacy, negligence, claims based on theories of strict liability, joint employment or respondeat superior, infliction of emotional distress, or otherwise; and/or any other action or grievance against the Released Parties based upon any conduct, up to and including the date of this Agreement, and shall not, from any source or proceeding, seek or accept any additional award or settlement therefrom. . </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Claims Not Released</w:t>
      </w:r>
      <w:r>
        <w:rPr>
          <w:rFonts w:ascii="Times New Roman" w:hAnsi="Times New Roman"/>
          <w:color w:val="000000"/>
          <w:sz w:val="24"/>
        </w:rPr>
        <w:t>. Executive is not in this General Release of Claims waiving any rights Executive may have to: (1) benefits and/or the right to seek benefits under applicable workers’ compensation and/or unemployment compensation statutes; (2) Executive’s own vested accrued employee benefits under the Company’s health, welfare of retirement benefits plans as of the Separation Date; (3) pursue claims which by law cannot be waived by signing this General Release; (4) any rights to receive any payments pursuant to the Employment Agreement; (5) any rights or claims that may arise as a result of events occurring after this General Release of Claims is executed; (6) any indemnification rights Executive may have as a former officer or director of the Company or its subsidiaries or affiliated companies; (7) any claims for benefits under any directors’ and officers’ liability policy maintained by the Company or its subsidiaries or affiliated companies in accordance with the terms of such policy; (8) any rights as a holder of equity securities of the Company; (9) claims that may arise as a result of events occurring after this General Release of Claims is executed; and (10) enforce this General Release of Claims and/or challenge the validity of this General Release of Claims.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Executive acknowledges that Executive is specifically advised to consult with an attorney of Executive’s choosing before signing this General Release of Claims, and through this General Release of Claims advises Executive to consult with his attorney with respect to possible claims, including but not limited to claims under the ADEA, and that Executive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Executive may have as of the date hereof. Executive further understands that by signing this General Release of Claims Executive is in fact waiving, releasing and forever giving up any claim under the ADEA as well as all other laws within the scope of this paragraph 1 that may have existed on or prior to the date hereof.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further understands and acknowledges that as set forth in the General Release of Claims paragraph above – this General Release of Claims contains a release of any and all claims Executive may have under the Massachusetts Wage Act and that this General Release of Claims is intended to resolve any and all disputes related to wages, commissions, or other compensation.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2. Nothing in this Agreement or any other agreement Executive may have signed or company policy, prohibits, prevents, or otherwise limits Executive from filing a charge or complaint with or participating, testifying, or assisting in any investigation, hearing, or other proceeding before any federal, state, or local government agency (e.g., EEOC, NLRB, SEC, OSHA, DOL, DOJ, CFTC, U.S. Congress, or an Inspector General) or in any legislative or judicial proceeding nor does anything in this Agreement preclude, prohibit or otherwise limit, in any way, Executive’s rights and abilities to contact, communicate with or report unlawful conduct, or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 documents, to federal, state, or local officials for investigation or participate in any whistleblower program administered by any such agencies. In addition, nothing in this General Release, including but not limited to the release of claims nor the confidentiality, non-disparagement, affirmations, liquidated damages, cooperation, and/or return of property clauses, prohibits Executive from: (1) reporting possible violations of federal or other law or regulations, including any possible securities laws violations, to any governmental agency or entity, including but not limited to the U.S. Department of Justice, the U.S. Securities and Exchange Commission, the Commodity Futures Trading Commission, the U.S. Congress, or any agency Inspector General; (2) making any other disclosures that are protected under the whistleblower provisions of federal or other law or regulations; or (3) filing a charge or complaint or otherwise fully participating in any governmental whistleblower programs, including but not limited to any such programs managed or administered by the U.S. Securities and Exchange Commission, the Commodity Futures Trading Commission and/or the Occupational Safety and Health Administration. Executive is not required to notify or obtain permission from the Company when filing a governmental whistleblower charge or complaint or engaging or participating in protected whistleblower activity. Moreover, nothing in this Agreement prohibits or prevents Executive from receiving individual monetary awards or other individual relief by virtue of participating in such governmental whistleblower programs.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3. </w:t>
      </w:r>
      <w:r>
        <w:rPr>
          <w:rFonts w:ascii="Times New Roman" w:hAnsi="Times New Roman"/>
          <w:color w:val="000000"/>
          <w:sz w:val="24"/>
          <w:u w:val="single"/>
        </w:rPr>
        <w:t>Non-Competition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In consideration for the consideration set forth in the Employment Agreement and the payment of severance benefits set forth in paragraph 7 of the Employment Agreement, Executive further covenants and agrees that during the twelve (12) month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Executive provided services or had a material presence or influence on behalf of the Company, whether in the United States, Canada, Europe or elsewhere during the two years prior to Executive’s separation from the Company;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(1)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(2) solicit, hire, interfere with or entice from the Company or any of its subsidiaries or affiliates any employee (or former employee who has been separated from service for less than 12 months) of the Company or any of its subsidiaries or affiliates.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 If any portion of the restrictions set forth in this paragraph 3 should, for any reason whatsoever, be declared invalid by a court of competent jurisdiction, the validity or enforceability of the remainder of such restrictions shall not thereby be adversely affected. For the purposes of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paragraph 4,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3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 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4. </w:t>
      </w:r>
      <w:r>
        <w:rPr>
          <w:rFonts w:ascii="Times New Roman" w:hAnsi="Times New Roman"/>
          <w:color w:val="000000"/>
          <w:sz w:val="24"/>
          <w:u w:val="single"/>
        </w:rPr>
        <w:t>Inventions and Discoveries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Upon execution of this General Release of Claims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General Release of Claims,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5. </w:t>
      </w:r>
      <w:r>
        <w:rPr>
          <w:rFonts w:ascii="Times New Roman" w:hAnsi="Times New Roman"/>
          <w:color w:val="000000"/>
          <w:sz w:val="24"/>
          <w:u w:val="single"/>
        </w:rPr>
        <w:t>Non-Disclosure of Confidential Information.</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Executive acknowledges that the Company possesses certain confidential and proprietary information that has been revealed to him or learned by Executive during the course of Executive’s employment with the Company and that it would be unfair to use that information or knowledge to compete with or to otherwise disadvantage the Company. Executive shall not, at any time following the end of Executive’s employment with the Company,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“Confidential Information” shall not include the following: (i) information that is or becomes publicly known other than pursuant to a breach of this paragraph 6(a) or this </w:t>
      </w:r>
      <w:r>
        <w:rPr>
          <w:rFonts w:ascii="Times New Roman" w:hAnsi="Times New Roman"/>
          <w:color w:val="000000"/>
          <w:sz w:val="24"/>
          <w:u w:val="single"/>
        </w:rPr>
        <w:t>Exhibit A</w:t>
      </w:r>
      <w:r>
        <w:rPr>
          <w:rFonts w:ascii="Times New Roman" w:hAnsi="Times New Roman"/>
          <w:color w:val="000000"/>
          <w:sz w:val="24"/>
        </w:rPr>
        <w:t xml:space="preserve"> by Executive; (ii) information that at the time of disclosure under this Agreement is already known to the receiving party without any restriction on its disclosure; (iii) information that is or subsequently comes into the possession of the receiving party from a third party without violation of any contractual or legal obligation; (iv) information that is independently developed by the receiving party without the use of Confidential Information; and (v) information that is otherwise required to be disclosed under applicable laws, regulations or judicial or regulatory process.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 In accordance with the Federal Defend Trade Secrets Act, Executive cannot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this immunity from liability, Executive may be held liable if Executive unlawfully accesses trade secrets by unauthorized means.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6. </w:t>
      </w:r>
      <w:r>
        <w:rPr>
          <w:rFonts w:ascii="Times New Roman" w:hAnsi="Times New Roman"/>
          <w:color w:val="000000"/>
          <w:sz w:val="24"/>
          <w:u w:val="single"/>
        </w:rPr>
        <w:t>Specific Performance</w:t>
      </w:r>
      <w:r>
        <w:rPr>
          <w:rFonts w:ascii="Times New Roman" w:hAnsi="Times New Roman"/>
          <w:color w:val="000000"/>
          <w:sz w:val="24"/>
        </w:rPr>
        <w:t>. Executive agrees that if he breaches, or threatens to commit a breach of, any enforceable provision of paragraphs 3, 4 or 5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Any such damages, attorneys’ fees and costs shall be in addition to and not in lieu of any injunctive relief that may be available to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 Executive is advised that Executive has up to twenty-one (21) calendar days to consider this General Release of Claims before signing it. Executive may knowingly and voluntarily waive that up to twenty-one (21) day period by signing this General Release of Claims earlier. However, in the event Executive’s employment terminated as part of a group termination within the meaning of the Older Workers Benefits Protection Act, the up to twenty-one (21) day consideration period shall be enlarged to up to forty-five (45) calendar days, and Executive shall be provided with additional disclosures required by the Older Workers Benefit Protection Act prior to the start of the up to forty-five (45) calendar day consideration period. In either case, Executive also shall have seven (7) business days following the date on which Executive signs this General Release of Claims within which to revoke it by providing a written notice of his revocation to the Company. Any such revocation shall be directed to the VP Associate Relations &amp; Benefits, and must be delivered to the VP Associate Relations &amp; Benefits within that seven (7) business day revocation period, or mailed to Destination XL Group, Inc., Attn: VP Associate Relations &amp; Benefits, 555 Turnpike Street, Canton, MA 02021 and postmarked within the seven (7) business day revocation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 Executive acknowledges that this General Release of Claims will be governed by and construed and enforced in accordance with the internal laws of the Commonwealth of Massachusetts applicable to contracts made and to be performed entirely within the Commonwealth.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 Executive acknowledges that he has read this General Release of Claims, has been advised that he should consult with an attorney before executing this General Release of Claims, and that he understands all of its terms and executes it voluntarily and with full knowledge of its significance and the consequences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 This General Release of Claims shall take effect on the eighth business day following Executive’s execution of this General Release of Claims unless Executive’s written revocation is delivered to the Company within seven (7) business days after such execution.</w:t>
      </w:r>
    </w:p>
    <w:tbl>
      <w:tblPr>
        <w:tblW w:w="4392" w:type="dxa"/>
        <w:jc w:val="left"/>
        <w:tblInd w:w="0" w:type="dxa"/>
        <w:tblLayout w:type="fixed"/>
        <w:tblCellMar>
          <w:top w:w="28" w:type="dxa"/>
          <w:left w:w="28" w:type="dxa"/>
          <w:bottom w:w="28" w:type="dxa"/>
          <w:right w:w="28" w:type="dxa"/>
        </w:tblCellMar>
      </w:tblPr>
      <w:tblGrid>
        <w:gridCol w:w="161"/>
        <w:gridCol w:w="4231"/>
      </w:tblGrid>
      <w:tr>
        <w:trPr/>
        <w:tc>
          <w:tcPr>
            <w:tcW w:w="161"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__________________________________</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James E. Olsson</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4" w:name="dxlg-ex99_1.htm"/>
      <w:bookmarkStart w:id="5" w:name="ksdxlgex99_1"/>
      <w:bookmarkEnd w:id="4"/>
      <w:bookmarkEnd w:id="5"/>
      <w:r>
        <w:rPr>
          <w:rFonts w:ascii="Times New Roman" w:hAnsi="Times New Roman"/>
          <w:color w:val="000000"/>
          <w:sz w:val="20"/>
        </w:rPr>
        <w:t>Exhibit 99.1</w:t>
      </w:r>
      <w:r>
        <w:br w:type="page"/>
      </w:r>
    </w:p>
    <w:p>
      <w:pPr>
        <w:pStyle w:val="TextBody"/>
        <w:bidi w:val="0"/>
        <w:spacing w:before="0" w:after="480"/>
        <w:jc w:val="center"/>
        <w:rPr/>
      </w:pPr>
      <w:r>
        <w:rPr/>
        <w:drawing>
          <wp:inline distT="0" distB="0" distL="0" distR="0">
            <wp:extent cx="1009650"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9650" cy="561975"/>
                    </a:xfrm>
                    <a:prstGeom prst="rect">
                      <a:avLst/>
                    </a:prstGeom>
                  </pic:spPr>
                </pic:pic>
              </a:graphicData>
            </a:graphic>
          </wp:inline>
        </w:drawing>
      </w:r>
    </w:p>
    <w:p>
      <w:pPr>
        <w:pStyle w:val="TextBody"/>
        <w:bidi w:val="0"/>
        <w:spacing w:before="0" w:after="280"/>
        <w:jc w:val="center"/>
        <w:rPr>
          <w:rFonts w:ascii="Times New Roman" w:hAnsi="Times New Roman"/>
          <w:b/>
          <w:color w:val="000000"/>
          <w:sz w:val="24"/>
        </w:rPr>
      </w:pPr>
      <w:r>
        <w:rPr>
          <w:rFonts w:ascii="Times New Roman" w:hAnsi="Times New Roman"/>
          <w:b/>
          <w:color w:val="000000"/>
          <w:sz w:val="24"/>
        </w:rPr>
        <w:t>DESTINATION XL GROUP, INC. APPOINTS JIMMY OLSSON</w:t>
        <w:br/>
        <w:t>CHIEF GROWTH OFFICER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CANTON, Mass., September 2, 2026 – Destination XL Group, Inc. (NASDAQ: DXLG), the leading integrated-commerce specialty retailer of Big + Tall men’s clothing and footwear, today announced the appointment of James E. “Jimmy” Olsson as Executive Vice President, Chief Growth Officer.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Mr. Olsson has worked closely with DXL since September 2025 in a consulting capacity, providing him with a strong understanding of the Company's business, customer and growth opportunities. In this newly created role, Mr. Olsson will be responsible for accelerating DXL’s integrated-commerce growth strategy. He will oversee the direct businesses, retail stores, merchandising, planning, global sourcing and brand strategy, with a focus on bolstering DXL's leadership position in the big + tall men’s apparel market.</w:t>
      </w:r>
    </w:p>
    <w:p>
      <w:pPr>
        <w:pStyle w:val="TextBody"/>
        <w:bidi w:val="0"/>
        <w:spacing w:before="0" w:after="160"/>
        <w:jc w:val="left"/>
        <w:rPr>
          <w:color w:val="000000"/>
        </w:rPr>
      </w:pPr>
      <w:r>
        <w:rPr>
          <w:color w:val="000000"/>
        </w:rPr>
        <w:t>“</w:t>
      </w:r>
      <w:r>
        <w:rPr>
          <w:rFonts w:ascii="Times New Roman" w:hAnsi="Times New Roman"/>
          <w:color w:val="000000"/>
          <w:sz w:val="20"/>
        </w:rPr>
        <w:t>Jimmy brings a rare combination of entrepreneurial vision, merchant instinct and proven omnichannel leadership," said Lionel Conacher, Chairman and Interim Chief Executive Officer. "His experience building brands, driving growth and leading teams across merchandising, stores, digital and supply chain makes him exceptionally well suited to help shape DXL's next chapter. Jimmy understands how to put the customer at the center of the business, and I am excited to partner with him to build on our positive momentum and unlock new opportunities for growth.”</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"DXL has built a distinctive brand, a loyal customer base and an important leadership position in a market with meaningful opportunity ahead," said Mr. Olsson. "I am honored to join the team and look forward to working across the organization to accelerate our strategy, strengthen the customer experience and bring even greater energy and innovation to how we serve the big + tall customer."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Mr. Olsson has more than two decades of senior executive, growth and merchandising leadership across high-profile apparel and retail brands. Prior to joining DXL, he advised Outerknown, LLC, including serving as its chief growth officer and served as chief growth officer and general manager, on a full-time advisory basis, at Tommy John, Inc., where he spearheaded revenue growth and omnichannel expansion strategies.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Previously, Mr. Olsson was chief executive officer and co-founder of Todd Snyder, leading the business from inception through its acquisition by American Eagle Outfitters, Inc. Earlier in his career, Mr. Olsson was an officer at Walmart, Inc., served as president and chief executive officer of Rip Curl North America, and held senior merchandising and leadership roles at Coach, Inc., American Eagle Outfitters, Inc. and Gap Inc.</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Mr. Olsson holds a Bachelor of Science degree in Finance from the University of Massachusetts.</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 # #</w:t>
      </w:r>
    </w:p>
    <w:p>
      <w:pPr>
        <w:pStyle w:val="TextBody"/>
        <w:bidi w:val="0"/>
        <w:spacing w:before="0" w:after="80"/>
        <w:jc w:val="left"/>
        <w:rPr>
          <w:rFonts w:ascii="Times New Roman" w:hAnsi="Times New Roman"/>
          <w:b/>
          <w:color w:val="000000"/>
          <w:sz w:val="20"/>
        </w:rPr>
      </w:pPr>
      <w:r>
        <w:rPr>
          <w:rFonts w:ascii="Times New Roman" w:hAnsi="Times New Roman"/>
          <w:b/>
          <w:color w:val="000000"/>
          <w:sz w:val="20"/>
        </w:rPr>
        <w:t>About Destination XL Group</w:t>
      </w:r>
    </w:p>
    <w:p>
      <w:pPr>
        <w:pStyle w:val="TextBody"/>
        <w:bidi w:val="0"/>
        <w:spacing w:before="160" w:after="160"/>
        <w:jc w:val="left"/>
        <w:rPr>
          <w:rFonts w:ascii="Times New Roman" w:hAnsi="Times New Roman"/>
          <w:sz w:val="20"/>
        </w:rPr>
      </w:pPr>
      <w:r>
        <w:rPr>
          <w:rFonts w:ascii="Times New Roman" w:hAnsi="Times New Roman"/>
          <w:color w:val="000000"/>
          <w:sz w:val="20"/>
        </w:rPr>
        <w:t xml:space="preserve">Destination XL Group, Inc. is the leading retailer of </w:t>
      </w:r>
      <w:r>
        <w:rPr>
          <w:rFonts w:ascii="Times New Roman" w:hAnsi="Times New Roman"/>
          <w:sz w:val="20"/>
        </w:rPr>
        <w:t>Men’s Big + Tall</w:t>
      </w:r>
      <w:r>
        <w:rPr>
          <w:rFonts w:ascii="Times New Roman" w:hAnsi="Times New Roman"/>
          <w:color w:val="000000"/>
          <w:sz w:val="20"/>
        </w:rPr>
        <w:t xml:space="preserve"> apparel that provides the Big + Tall man the freedom to choose his own style.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Capital Market under the symbol "DXLG." For more information, please visit the Company's investor relations website: </w:t>
      </w:r>
      <w:r>
        <w:rPr>
          <w:rFonts w:ascii="Times New Roman" w:hAnsi="Times New Roman"/>
          <w:sz w:val="20"/>
        </w:rPr>
        <w:t>https://investor.dxl.com</w:t>
      </w:r>
      <w:r>
        <w:rPr>
          <w:rFonts w:ascii="Times New Roman" w:hAnsi="Times New Roman"/>
          <w:color w:val="000000"/>
          <w:sz w:val="20"/>
        </w:rPr>
        <w:t>.</w:t>
      </w:r>
    </w:p>
    <w:p>
      <w:pPr>
        <w:pStyle w:val="TextBody"/>
        <w:bidi w:val="0"/>
        <w:spacing w:before="0" w:after="8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60" w:after="160"/>
        <w:jc w:val="left"/>
        <w:rPr>
          <w:rFonts w:ascii="Times New Roman" w:hAnsi="Times New Roman"/>
          <w:sz w:val="20"/>
        </w:rPr>
      </w:pPr>
      <w:r>
        <w:rPr>
          <w:rFonts w:ascii="Times New Roman" w:hAnsi="Times New Roman"/>
          <w:i/>
          <w:color w:val="000000"/>
          <w:sz w:val="20"/>
        </w:rPr>
        <w:t>Certain statements and information contained in this press release constitute forward-looking statements under the federal securities laws, including statements regarding Mr. Olsson’s ability to help shape DXL’s next chapter, contribute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160"/>
        <w:jc w:val="left"/>
        <w:rPr>
          <w:rFonts w:ascii="Times New Roman" w:hAnsi="Times New Roman"/>
          <w:i/>
          <w:color w:val="000000"/>
          <w:sz w:val="20"/>
        </w:rPr>
      </w:pPr>
      <w:r>
        <w:rPr>
          <w:rFonts w:ascii="Times New Roman" w:hAnsi="Times New Roman"/>
          <w:i/>
          <w:color w:val="000000"/>
          <w:sz w:val="20"/>
        </w:rPr>
        <w:t>to DXL’s leadership position and growth opportunities, work across the organization to accelerate the Company’s omnichannel strategy, strengthen the customer experience, and bring greater energy and innovation to how the Company serves the big + tall customer.</w:t>
      </w:r>
    </w:p>
    <w:p>
      <w:pPr>
        <w:pStyle w:val="TextBody"/>
        <w:bidi w:val="0"/>
        <w:spacing w:before="80" w:after="160"/>
        <w:jc w:val="left"/>
        <w:rPr>
          <w:rFonts w:ascii="Times New Roman" w:hAnsi="Times New Roman"/>
          <w:i/>
          <w:color w:val="000000"/>
          <w:sz w:val="20"/>
        </w:rPr>
      </w:pPr>
      <w:r>
        <w:rPr>
          <w:rFonts w:ascii="Times New Roman" w:hAnsi="Times New Roman"/>
          <w:i/>
          <w:color w:val="000000"/>
          <w:sz w:val="20"/>
        </w:rPr>
        <w:t>The discussion of forward-looking information requires the management of DXL to make certain estimates and assumptions regarding DXL’s strategic direction and the effect of such plans on DXL’s financial results. DXL’s actual results and the implementation of its plans and operations may differ materially from forward-looking statements made by DXL. DXL encourages readers of forward-looking information concerning DXL to refer to its filings with the Securities and Exchange Commission, including without limitation, its Annual Report on Form 10-K filed on March 19, 2026, its Amendment No. 1 to Annual Report on Form 10-K/A filed on May 26, 2026, its Amendment No. 1 to the Preliminary Proxy Statement on Schedule 14A filed on September 2, 2026, its Quarterly Reports on Form 10-Q and other filings with the Securities and Exchange Commission that set forth certain risks and uncertainties that may have an impact on future results and the direction of DXL, including risks relating to changes in consumer spending in response to economic factors; the impact of inflation with rising costs and high interest rates; the impact of tariffs; the impact of ongoing worldwide conflicts on the global economy; potential labor shortages; DXL’s ability to grow its market share, predict customer tastes and fashion trends, forecast sales growth trends, and compete successfully in the U.S. men’s big and tall apparel market; and the proposed merger with FullBeauty Brands.</w:t>
      </w:r>
    </w:p>
    <w:p>
      <w:pPr>
        <w:pStyle w:val="TextBody"/>
        <w:bidi w:val="0"/>
        <w:spacing w:before="80" w:after="160"/>
        <w:jc w:val="left"/>
        <w:rPr>
          <w:rFonts w:ascii="Times New Roman" w:hAnsi="Times New Roman"/>
          <w:i/>
          <w:color w:val="000000"/>
          <w:sz w:val="20"/>
        </w:rPr>
      </w:pPr>
      <w:r>
        <w:rPr>
          <w:rFonts w:ascii="Times New Roman" w:hAnsi="Times New Roman"/>
          <w:i/>
          <w:color w:val="000000"/>
          <w:sz w:val="20"/>
        </w:rPr>
        <w:t>Forward-looking statements contained in this press release speak only as of the date of this release. Subsequent events or circumstances occurring after such date may render these statements incomplete or out of date. DXL undertakes no obligation and expressly disclaims any duty to update such statements, except as otherwise required by applicable law.</w:t>
      </w:r>
    </w:p>
    <w:p>
      <w:pPr>
        <w:pStyle w:val="TextBody"/>
        <w:bidi w:val="0"/>
        <w:spacing w:before="80" w:after="160"/>
        <w:jc w:val="left"/>
        <w:rPr/>
      </w:pPr>
      <w:r>
        <w:rPr/>
        <w:t> </w:t>
      </w:r>
    </w:p>
    <w:p>
      <w:pPr>
        <w:pStyle w:val="TextBody"/>
        <w:bidi w:val="0"/>
        <w:jc w:val="left"/>
        <w:rPr>
          <w:rFonts w:ascii="Times New Roman" w:hAnsi="Times New Roman"/>
          <w:sz w:val="20"/>
        </w:rPr>
      </w:pPr>
      <w:r>
        <w:rPr>
          <w:rFonts w:ascii="Times New Roman" w:hAnsi="Times New Roman"/>
          <w:b/>
          <w:color w:val="000000"/>
          <w:sz w:val="20"/>
        </w:rPr>
        <w:t>Investor Relations Contact:</w:t>
      </w:r>
      <w:r>
        <w:rPr>
          <w:rFonts w:ascii="Times New Roman" w:hAnsi="Times New Roman"/>
          <w:color w:val="000000"/>
          <w:sz w:val="20"/>
        </w:rPr>
        <w:br/>
        <w:t>Investor.relations@dxlg.com</w:t>
        <w:br/>
        <w:t>603-933-0541</w:t>
      </w:r>
    </w:p>
    <w:p>
      <w:pPr>
        <w:pStyle w:val="TextBody"/>
        <w:bidi w:val="0"/>
        <w:jc w:val="right"/>
        <w:rPr>
          <w:rFonts w:ascii="Times New Roman" w:hAnsi="Times New Roman"/>
          <w:color w:val="000000"/>
          <w:sz w:val="21"/>
        </w:rPr>
      </w:pPr>
      <w:r>
        <w:rPr>
          <w:rFonts w:ascii="Times New Roman" w:hAnsi="Times New Roman"/>
          <w:color w:val="000000"/>
          <w:sz w:val="21"/>
        </w:rPr>
        <w:t>2</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14565</Words>
  <Characters>78674</Characters>
  <CharactersWithSpaces>93035</CharactersWithSpaces>
  <Paragraphs>541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