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240" w:type="dxa"/>
        <w:tblCellMar>
          <w:top w:w="0" w:type="dxa"/>
          <w:left w:w="0" w:type="dxa"/>
          <w:bottom w:w="0" w:type="dxa"/>
          <w:right w:w="0" w:type="dxa"/>
        </w:tblCellMar>
      </w:tblPr>
      <w:tr>
        <w:trPr>
          <w:trHeight w:val="24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4"/>
              <w:spacing w:after="0"/>
              <w:rPr>
                <w:sz w:val="20"/>
                <w:szCs w:val="20"/>
                <w:color w:val="auto"/>
              </w:rPr>
            </w:pPr>
            <w:r>
              <w:rPr>
                <w:rFonts w:ascii="Arial" w:cs="Arial" w:eastAsia="Arial" w:hAnsi="Arial"/>
                <w:sz w:val="18"/>
                <w:szCs w:val="18"/>
                <w:b w:val="1"/>
                <w:bCs w:val="1"/>
                <w:color w:val="auto"/>
              </w:rPr>
              <w:t>01-34219</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66"/>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260" w:type="dxa"/>
            <w:vAlign w:val="bottom"/>
          </w:tcPr>
          <w:p>
            <w:pPr>
              <w:jc w:val="center"/>
              <w:ind w:right="104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260" w:type="dxa"/>
            <w:vAlign w:val="bottom"/>
          </w:tcPr>
          <w:p>
            <w:pPr>
              <w:jc w:val="center"/>
              <w:ind w:right="1024"/>
              <w:spacing w:after="0"/>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02021</w:t>
            </w:r>
          </w:p>
        </w:tc>
      </w:tr>
      <w:tr>
        <w:trPr>
          <w:trHeight w:val="173"/>
        </w:trPr>
        <w:tc>
          <w:tcPr>
            <w:tcW w:w="3260" w:type="dxa"/>
            <w:vAlign w:val="bottom"/>
          </w:tcPr>
          <w:p>
            <w:pPr>
              <w:jc w:val="center"/>
              <w:ind w:right="102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1.01 Entry into a Material Definitive Agreement.</w:t>
      </w:r>
    </w:p>
    <w:p>
      <w:pPr>
        <w:spacing w:after="0" w:line="135" w:lineRule="exact"/>
        <w:rPr>
          <w:sz w:val="20"/>
          <w:szCs w:val="20"/>
          <w:color w:val="auto"/>
        </w:rPr>
      </w:pPr>
    </w:p>
    <w:p>
      <w:pPr>
        <w:jc w:val="both"/>
        <w:ind w:right="60"/>
        <w:spacing w:after="0" w:line="303" w:lineRule="auto"/>
        <w:rPr>
          <w:sz w:val="20"/>
          <w:szCs w:val="20"/>
          <w:color w:val="auto"/>
        </w:rPr>
      </w:pPr>
      <w:r>
        <w:rPr>
          <w:rFonts w:ascii="Arial" w:cs="Arial" w:eastAsia="Arial" w:hAnsi="Arial"/>
          <w:sz w:val="17"/>
          <w:szCs w:val="17"/>
          <w:color w:val="auto"/>
        </w:rPr>
        <w:t>On October 28, 2021, Destination XL Group, Inc. (the “Company”) entered into a new credit facility with Citizens Bank, N.A. (the “Credit Facility”). The Credit Facility replaced the Company's existing credit facility with Bank of America, N.A. (the "Existing Credit Facility"). The Company entered into the new Credit Facility to extend the maturity date for five years on more favorable terms than were in place with the Existing Credit Facility.</w:t>
      </w:r>
    </w:p>
    <w:p>
      <w:pPr>
        <w:spacing w:after="0" w:line="56" w:lineRule="exact"/>
        <w:rPr>
          <w:sz w:val="20"/>
          <w:szCs w:val="20"/>
          <w:color w:val="auto"/>
        </w:rPr>
      </w:pPr>
    </w:p>
    <w:p>
      <w:pPr>
        <w:ind w:right="400"/>
        <w:spacing w:after="0" w:line="329" w:lineRule="auto"/>
        <w:rPr>
          <w:sz w:val="20"/>
          <w:szCs w:val="20"/>
          <w:color w:val="auto"/>
        </w:rPr>
      </w:pPr>
      <w:r>
        <w:rPr>
          <w:rFonts w:ascii="Arial" w:cs="Arial" w:eastAsia="Arial" w:hAnsi="Arial"/>
          <w:sz w:val="16"/>
          <w:szCs w:val="16"/>
          <w:color w:val="auto"/>
        </w:rPr>
        <w:t>The Credit Facility is a $125.0 million secured, asset-based revolving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4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Borrowings made pursuant to the Credit Facility will be made pursuant to either a Base Rate loan or LIBOR rate loan, at the Company's option. Base Rate loans will bear interest at a rate equal to (i) the greater of: (a) the Prime Rate, (b) the Federal Funds effective rate plus 0.50% per annum and (c) the daily LIBOR rate plus 1.00% per annum, plus (ii) a varying percentage, based on the Company’s average excess availability, of either 0.25% or 0.50%. LIBOR Rate loans will bear interest at (i) the LIBOR rate, or the Benchmark Rate as defined in the Credit Agreement, plus (ii) a varying percentage based on the Company’s average excess availability, of either 1.25% or 1.50%. Any swing line loan will bear interest at a rate equal to the rate of a Base Rate loan, plus a varying percentage based on the Company’s average excess availability, of either 0.25% or 0.50%. The Company will be subject to an unused line fee of 0.25%.</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Company’s obligations under the Credit Facility are guaranteed by the Company’s direct and indirect material subsidiaries and are secured by a lien on substantially all of the Company’s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Credit Facility will be used for working capital, capital expenditures and other general corporate purposes of the Company. The Company’s cash flow is largely unrestricted as it relates to payments for transactions such as repurchases of stock, debt prepayments and dividends, so long as the Company maintains availability under the Revolving Facility, after giving pro forma effect to such payments, in an amount equal to or greater than the greater of (i) 20% of the Revolving Loan Cap and (ii) $20.0 million. With respect to certain asset acquisitions, the Company would be required to maintain availability under the Credit Facility, after giving pro forma effect to such transaction, in an amount equal to or greater than the greater of (1) 17.5% of the Revolving Loan Cap and (2) $17.5 million.</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Credit Facility also provides for customary events of default, including payment defaults, voluntary and involuntary bankruptcy proceedings, covenant defaults, material inaccuracies of representations and warranties, cross-acceleration to other material indebtedness, certain change of control events, and material monetary judgments. The declaration of an event of default could result in the acceleration of obligations and the termination of lending commitments under the Credit Facility.</w:t>
      </w:r>
    </w:p>
    <w:p>
      <w:pPr>
        <w:spacing w:after="0" w:line="77"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In connection with the execution of the Credit Facility, the Company paid a closing fee of $187,500 plus expenses from cash on hand. There were no outstanding borrowings on the new Credit Facility on October 28, 2021.</w:t>
      </w:r>
    </w:p>
    <w:p>
      <w:pPr>
        <w:spacing w:after="0" w:line="62"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The foregoing description of the Credit Facility does not purport to be complete and is qualified in its entirety by reference to the full text of the Credit Facility, which is filed herewith as Exhibit 10.1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connection with the execution of the Credit Facility described above in Item 1.01, on October 28, 2021, the Company terminated its Existing Credit Facility and repaid in full outstanding fees of $30,874 from cash on hand. The Company had no other borrowings outstanding under the Existing Credit Facility on October 28, 2021. No prepayment penalty was incurred upon repayment, and all guarantees and security interests associated with the Existing Credit Agreement were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As described in Item 1.01, on October 28, 2021, the Company entered into the Credit Facility. The information set forth in Item 1.01 of the Current Report on Form 8-K with respect to the Credit Facility is incorporated herein by this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Exhibits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4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9480" w:type="dxa"/>
            <w:vAlign w:val="bottom"/>
            <w:gridSpan w:val="3"/>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Credit Agreement dated October 28, 2021 by and among Citizens Bank, N.A., as Administrative Agent and Collateral Agent, Other</w:t>
              </w:r>
            </w:hyperlink>
          </w:p>
        </w:tc>
      </w:tr>
      <w:tr>
        <w:trPr>
          <w:trHeight w:val="20"/>
        </w:trPr>
        <w:tc>
          <w:tcPr>
            <w:tcW w:w="8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1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r>
      <w:tr>
        <w:trPr>
          <w:trHeight w:val="209"/>
        </w:trPr>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8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Lenders identified therein, the Company, as Lead Borrower, and the Borrowers and Guarantors identified therein.</w:t>
              </w:r>
            </w:hyperlink>
          </w:p>
        </w:tc>
      </w:tr>
      <w:tr>
        <w:trPr>
          <w:trHeight w:val="20"/>
        </w:trPr>
        <w:tc>
          <w:tcPr>
            <w:tcW w:w="8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3" w:lineRule="exact"/>
        <w:rPr>
          <w:sz w:val="20"/>
          <w:szCs w:val="20"/>
          <w:color w:val="auto"/>
        </w:rPr>
      </w:pPr>
    </w:p>
    <w:p>
      <w:pPr>
        <w:ind w:left="1160" w:right="200" w:hanging="1139"/>
        <w:spacing w:after="0" w:line="293"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Peter H. Stratton, Jr.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CREDIT AGREEMENT</w:t>
      </w:r>
    </w:p>
    <w:p>
      <w:pPr>
        <w:spacing w:after="0" w:line="19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Dated as of October 28, 2021</w:t>
      </w:r>
    </w:p>
    <w:p>
      <w:pPr>
        <w:spacing w:after="0" w:line="18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among</w:t>
      </w:r>
    </w:p>
    <w:p>
      <w:pPr>
        <w:spacing w:after="0" w:line="17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DESTINATION XL GROUP,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as the Lead Borrower</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For</w:t>
      </w:r>
    </w:p>
    <w:p>
      <w:pPr>
        <w:spacing w:after="0" w:line="18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The Borrowers Named Herein</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The Guarantors Named Herein</w:t>
      </w:r>
    </w:p>
    <w:p>
      <w:pPr>
        <w:spacing w:after="0" w:line="189"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Citizens Bank, N.A.,</w:t>
      </w:r>
    </w:p>
    <w:p>
      <w:pPr>
        <w:spacing w:after="0" w:line="40"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as Administrative Agent and Collateral Agent</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7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The Other Lenders Party Hereto</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89"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Citizens Bank, N.A.,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DB1/ 124773100.6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990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1340" w:type="dxa"/>
            <w:vAlign w:val="bottom"/>
          </w:tcPr>
          <w:p>
            <w:pPr>
              <w:spacing w:after="0"/>
              <w:rPr>
                <w:sz w:val="22"/>
                <w:szCs w:val="22"/>
                <w:color w:val="auto"/>
              </w:rPr>
            </w:pPr>
          </w:p>
        </w:tc>
      </w:tr>
      <w:tr>
        <w:trPr>
          <w:trHeight w:val="432"/>
        </w:trPr>
        <w:tc>
          <w:tcPr>
            <w:tcW w:w="1580" w:type="dxa"/>
            <w:vAlign w:val="bottom"/>
          </w:tcPr>
          <w:p>
            <w:pPr>
              <w:ind w:left="20"/>
              <w:spacing w:after="0"/>
              <w:rPr>
                <w:sz w:val="20"/>
                <w:szCs w:val="20"/>
                <w:color w:val="auto"/>
              </w:rPr>
            </w:pPr>
            <w:r>
              <w:rPr>
                <w:rFonts w:ascii="Arial" w:cs="Arial" w:eastAsia="Arial" w:hAnsi="Arial"/>
                <w:sz w:val="20"/>
                <w:szCs w:val="20"/>
                <w:b w:val="1"/>
                <w:bCs w:val="1"/>
                <w:color w:val="auto"/>
              </w:rPr>
              <w:t>Section</w:t>
            </w:r>
          </w:p>
        </w:tc>
        <w:tc>
          <w:tcPr>
            <w:tcW w:w="8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78"/>
        </w:trPr>
        <w:tc>
          <w:tcPr>
            <w:tcW w:w="9900" w:type="dxa"/>
            <w:vAlign w:val="bottom"/>
            <w:gridSpan w:val="2"/>
          </w:tcPr>
          <w:p>
            <w:pPr>
              <w:ind w:left="20"/>
              <w:spacing w:after="0"/>
              <w:rPr>
                <w:sz w:val="20"/>
                <w:szCs w:val="20"/>
                <w:color w:val="auto"/>
              </w:rPr>
            </w:pPr>
            <w:r>
              <w:rPr>
                <w:rFonts w:ascii="Arial" w:cs="Arial" w:eastAsia="Arial" w:hAnsi="Arial"/>
                <w:sz w:val="20"/>
                <w:szCs w:val="20"/>
                <w:color w:val="auto"/>
              </w:rPr>
              <w:t>ARTICLE I DEFINITIONS AND ACCOUNTING TERMS</w:t>
            </w:r>
          </w:p>
        </w:tc>
        <w:tc>
          <w:tcPr>
            <w:tcW w:w="13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1.01</w:t>
            </w:r>
          </w:p>
        </w:tc>
        <w:tc>
          <w:tcPr>
            <w:tcW w:w="8320" w:type="dxa"/>
            <w:vAlign w:val="bottom"/>
          </w:tcPr>
          <w:p>
            <w:pPr>
              <w:ind w:left="460"/>
              <w:spacing w:after="0"/>
              <w:rPr>
                <w:sz w:val="20"/>
                <w:szCs w:val="20"/>
                <w:color w:val="auto"/>
              </w:rPr>
            </w:pPr>
            <w:r>
              <w:rPr>
                <w:rFonts w:ascii="Arial" w:cs="Arial" w:eastAsia="Arial" w:hAnsi="Arial"/>
                <w:sz w:val="20"/>
                <w:szCs w:val="20"/>
                <w:color w:val="auto"/>
              </w:rPr>
              <w:t>Defined Terms</w:t>
            </w:r>
          </w:p>
        </w:tc>
        <w:tc>
          <w:tcPr>
            <w:tcW w:w="13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1.02</w:t>
            </w:r>
          </w:p>
        </w:tc>
        <w:tc>
          <w:tcPr>
            <w:tcW w:w="8320" w:type="dxa"/>
            <w:vAlign w:val="bottom"/>
          </w:tcPr>
          <w:p>
            <w:pPr>
              <w:ind w:left="460"/>
              <w:spacing w:after="0"/>
              <w:rPr>
                <w:sz w:val="20"/>
                <w:szCs w:val="20"/>
                <w:color w:val="auto"/>
              </w:rPr>
            </w:pPr>
            <w:r>
              <w:rPr>
                <w:rFonts w:ascii="Arial" w:cs="Arial" w:eastAsia="Arial" w:hAnsi="Arial"/>
                <w:sz w:val="20"/>
                <w:szCs w:val="20"/>
                <w:color w:val="auto"/>
              </w:rPr>
              <w:t>Other Interpretive Provisions</w:t>
            </w:r>
          </w:p>
        </w:tc>
        <w:tc>
          <w:tcPr>
            <w:tcW w:w="134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1.03</w:t>
            </w:r>
          </w:p>
        </w:tc>
        <w:tc>
          <w:tcPr>
            <w:tcW w:w="8320" w:type="dxa"/>
            <w:vAlign w:val="bottom"/>
          </w:tcPr>
          <w:p>
            <w:pPr>
              <w:ind w:left="460"/>
              <w:spacing w:after="0"/>
              <w:rPr>
                <w:sz w:val="20"/>
                <w:szCs w:val="20"/>
                <w:color w:val="auto"/>
              </w:rPr>
            </w:pPr>
            <w:r>
              <w:rPr>
                <w:rFonts w:ascii="Arial" w:cs="Arial" w:eastAsia="Arial" w:hAnsi="Arial"/>
                <w:sz w:val="20"/>
                <w:szCs w:val="20"/>
                <w:color w:val="auto"/>
              </w:rPr>
              <w:t>Accounting Terms</w:t>
            </w:r>
          </w:p>
        </w:tc>
        <w:tc>
          <w:tcPr>
            <w:tcW w:w="13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1.04</w:t>
            </w:r>
          </w:p>
        </w:tc>
        <w:tc>
          <w:tcPr>
            <w:tcW w:w="8320" w:type="dxa"/>
            <w:vAlign w:val="bottom"/>
          </w:tcPr>
          <w:p>
            <w:pPr>
              <w:ind w:left="460"/>
              <w:spacing w:after="0"/>
              <w:rPr>
                <w:sz w:val="20"/>
                <w:szCs w:val="20"/>
                <w:color w:val="auto"/>
              </w:rPr>
            </w:pPr>
            <w:r>
              <w:rPr>
                <w:rFonts w:ascii="Arial" w:cs="Arial" w:eastAsia="Arial" w:hAnsi="Arial"/>
                <w:sz w:val="20"/>
                <w:szCs w:val="20"/>
                <w:color w:val="auto"/>
              </w:rPr>
              <w:t>Rounding</w:t>
            </w:r>
          </w:p>
        </w:tc>
        <w:tc>
          <w:tcPr>
            <w:tcW w:w="13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1.05</w:t>
            </w:r>
          </w:p>
        </w:tc>
        <w:tc>
          <w:tcPr>
            <w:tcW w:w="8320" w:type="dxa"/>
            <w:vAlign w:val="bottom"/>
          </w:tcPr>
          <w:p>
            <w:pPr>
              <w:ind w:left="460"/>
              <w:spacing w:after="0"/>
              <w:rPr>
                <w:sz w:val="20"/>
                <w:szCs w:val="20"/>
                <w:color w:val="auto"/>
              </w:rPr>
            </w:pPr>
            <w:r>
              <w:rPr>
                <w:rFonts w:ascii="Arial" w:cs="Arial" w:eastAsia="Arial" w:hAnsi="Arial"/>
                <w:sz w:val="20"/>
                <w:szCs w:val="20"/>
                <w:color w:val="auto"/>
              </w:rPr>
              <w:t>Times of Day</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1.06</w:t>
            </w:r>
          </w:p>
        </w:tc>
        <w:tc>
          <w:tcPr>
            <w:tcW w:w="8320" w:type="dxa"/>
            <w:vAlign w:val="bottom"/>
          </w:tcPr>
          <w:p>
            <w:pPr>
              <w:ind w:left="460"/>
              <w:spacing w:after="0"/>
              <w:rPr>
                <w:sz w:val="20"/>
                <w:szCs w:val="20"/>
                <w:color w:val="auto"/>
              </w:rPr>
            </w:pPr>
            <w:r>
              <w:rPr>
                <w:rFonts w:ascii="Arial" w:cs="Arial" w:eastAsia="Arial" w:hAnsi="Arial"/>
                <w:sz w:val="20"/>
                <w:szCs w:val="20"/>
                <w:color w:val="auto"/>
              </w:rPr>
              <w:t>Divisions</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1.07</w:t>
            </w:r>
          </w:p>
        </w:tc>
        <w:tc>
          <w:tcPr>
            <w:tcW w:w="8320" w:type="dxa"/>
            <w:vAlign w:val="bottom"/>
          </w:tcPr>
          <w:p>
            <w:pPr>
              <w:ind w:left="460"/>
              <w:spacing w:after="0"/>
              <w:rPr>
                <w:sz w:val="20"/>
                <w:szCs w:val="20"/>
                <w:color w:val="auto"/>
              </w:rPr>
            </w:pPr>
            <w:r>
              <w:rPr>
                <w:rFonts w:ascii="Arial" w:cs="Arial" w:eastAsia="Arial" w:hAnsi="Arial"/>
                <w:sz w:val="20"/>
                <w:szCs w:val="20"/>
                <w:color w:val="auto"/>
              </w:rPr>
              <w:t>Interest Rates</w:t>
            </w:r>
          </w:p>
        </w:tc>
        <w:tc>
          <w:tcPr>
            <w:tcW w:w="13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78"/>
        </w:trPr>
        <w:tc>
          <w:tcPr>
            <w:tcW w:w="9900" w:type="dxa"/>
            <w:vAlign w:val="bottom"/>
            <w:gridSpan w:val="2"/>
          </w:tcPr>
          <w:p>
            <w:pPr>
              <w:ind w:left="20"/>
              <w:spacing w:after="0"/>
              <w:rPr>
                <w:sz w:val="20"/>
                <w:szCs w:val="20"/>
                <w:color w:val="auto"/>
              </w:rPr>
            </w:pPr>
            <w:r>
              <w:rPr>
                <w:rFonts w:ascii="Arial" w:cs="Arial" w:eastAsia="Arial" w:hAnsi="Arial"/>
                <w:sz w:val="20"/>
                <w:szCs w:val="20"/>
                <w:color w:val="auto"/>
              </w:rPr>
              <w:t>ARTICLE II THE COMMITMENTS AND CREDIT EXTENSIONS</w:t>
            </w:r>
          </w:p>
        </w:tc>
        <w:tc>
          <w:tcPr>
            <w:tcW w:w="13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2.01</w:t>
            </w:r>
          </w:p>
        </w:tc>
        <w:tc>
          <w:tcPr>
            <w:tcW w:w="8320" w:type="dxa"/>
            <w:vAlign w:val="bottom"/>
          </w:tcPr>
          <w:p>
            <w:pPr>
              <w:ind w:left="460"/>
              <w:spacing w:after="0"/>
              <w:rPr>
                <w:sz w:val="20"/>
                <w:szCs w:val="20"/>
                <w:color w:val="auto"/>
              </w:rPr>
            </w:pPr>
            <w:r>
              <w:rPr>
                <w:rFonts w:ascii="Arial" w:cs="Arial" w:eastAsia="Arial" w:hAnsi="Arial"/>
                <w:sz w:val="20"/>
                <w:szCs w:val="20"/>
                <w:color w:val="auto"/>
              </w:rPr>
              <w:t>Loans; Reserves</w:t>
            </w:r>
          </w:p>
        </w:tc>
        <w:tc>
          <w:tcPr>
            <w:tcW w:w="13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2.02</w:t>
            </w:r>
          </w:p>
        </w:tc>
        <w:tc>
          <w:tcPr>
            <w:tcW w:w="8320" w:type="dxa"/>
            <w:vAlign w:val="bottom"/>
          </w:tcPr>
          <w:p>
            <w:pPr>
              <w:ind w:left="460"/>
              <w:spacing w:after="0"/>
              <w:rPr>
                <w:sz w:val="20"/>
                <w:szCs w:val="20"/>
                <w:color w:val="auto"/>
              </w:rPr>
            </w:pPr>
            <w:r>
              <w:rPr>
                <w:rFonts w:ascii="Arial" w:cs="Arial" w:eastAsia="Arial" w:hAnsi="Arial"/>
                <w:sz w:val="20"/>
                <w:szCs w:val="20"/>
                <w:color w:val="auto"/>
              </w:rPr>
              <w:t>Borrowings, Conversions and Continuations of Committed Loans</w:t>
            </w:r>
          </w:p>
        </w:tc>
        <w:tc>
          <w:tcPr>
            <w:tcW w:w="13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2.03</w:t>
            </w:r>
          </w:p>
        </w:tc>
        <w:tc>
          <w:tcPr>
            <w:tcW w:w="8320" w:type="dxa"/>
            <w:vAlign w:val="bottom"/>
          </w:tcPr>
          <w:p>
            <w:pPr>
              <w:ind w:left="460"/>
              <w:spacing w:after="0"/>
              <w:rPr>
                <w:sz w:val="20"/>
                <w:szCs w:val="20"/>
                <w:color w:val="auto"/>
              </w:rPr>
            </w:pPr>
            <w:r>
              <w:rPr>
                <w:rFonts w:ascii="Arial" w:cs="Arial" w:eastAsia="Arial" w:hAnsi="Arial"/>
                <w:sz w:val="20"/>
                <w:szCs w:val="20"/>
                <w:color w:val="auto"/>
              </w:rPr>
              <w:t>Letters of Credit</w:t>
            </w:r>
          </w:p>
        </w:tc>
        <w:tc>
          <w:tcPr>
            <w:tcW w:w="134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2.04</w:t>
            </w:r>
          </w:p>
        </w:tc>
        <w:tc>
          <w:tcPr>
            <w:tcW w:w="8320" w:type="dxa"/>
            <w:vAlign w:val="bottom"/>
          </w:tcPr>
          <w:p>
            <w:pPr>
              <w:ind w:left="460"/>
              <w:spacing w:after="0"/>
              <w:rPr>
                <w:sz w:val="20"/>
                <w:szCs w:val="20"/>
                <w:color w:val="auto"/>
              </w:rPr>
            </w:pPr>
            <w:r>
              <w:rPr>
                <w:rFonts w:ascii="Arial" w:cs="Arial" w:eastAsia="Arial" w:hAnsi="Arial"/>
                <w:sz w:val="20"/>
                <w:szCs w:val="20"/>
                <w:color w:val="auto"/>
              </w:rPr>
              <w:t>Swing Line Loans</w:t>
            </w:r>
          </w:p>
        </w:tc>
        <w:tc>
          <w:tcPr>
            <w:tcW w:w="13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2.05</w:t>
            </w:r>
          </w:p>
        </w:tc>
        <w:tc>
          <w:tcPr>
            <w:tcW w:w="8320" w:type="dxa"/>
            <w:vAlign w:val="bottom"/>
          </w:tcPr>
          <w:p>
            <w:pPr>
              <w:ind w:left="460"/>
              <w:spacing w:after="0"/>
              <w:rPr>
                <w:sz w:val="20"/>
                <w:szCs w:val="20"/>
                <w:color w:val="auto"/>
              </w:rPr>
            </w:pPr>
            <w:r>
              <w:rPr>
                <w:rFonts w:ascii="Arial" w:cs="Arial" w:eastAsia="Arial" w:hAnsi="Arial"/>
                <w:sz w:val="20"/>
                <w:szCs w:val="20"/>
                <w:color w:val="auto"/>
              </w:rPr>
              <w:t>Prepayments</w:t>
            </w:r>
          </w:p>
        </w:tc>
        <w:tc>
          <w:tcPr>
            <w:tcW w:w="13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2.06</w:t>
            </w:r>
          </w:p>
        </w:tc>
        <w:tc>
          <w:tcPr>
            <w:tcW w:w="8320" w:type="dxa"/>
            <w:vAlign w:val="bottom"/>
          </w:tcPr>
          <w:p>
            <w:pPr>
              <w:ind w:left="460"/>
              <w:spacing w:after="0"/>
              <w:rPr>
                <w:sz w:val="20"/>
                <w:szCs w:val="20"/>
                <w:color w:val="auto"/>
              </w:rPr>
            </w:pPr>
            <w:r>
              <w:rPr>
                <w:rFonts w:ascii="Arial" w:cs="Arial" w:eastAsia="Arial" w:hAnsi="Arial"/>
                <w:sz w:val="20"/>
                <w:szCs w:val="20"/>
                <w:color w:val="auto"/>
              </w:rPr>
              <w:t>Termination or Reduction of Revolving Commitments</w:t>
            </w:r>
          </w:p>
        </w:tc>
        <w:tc>
          <w:tcPr>
            <w:tcW w:w="13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2.07</w:t>
            </w:r>
          </w:p>
        </w:tc>
        <w:tc>
          <w:tcPr>
            <w:tcW w:w="8320" w:type="dxa"/>
            <w:vAlign w:val="bottom"/>
          </w:tcPr>
          <w:p>
            <w:pPr>
              <w:ind w:left="460"/>
              <w:spacing w:after="0"/>
              <w:rPr>
                <w:sz w:val="20"/>
                <w:szCs w:val="20"/>
                <w:color w:val="auto"/>
              </w:rPr>
            </w:pPr>
            <w:r>
              <w:rPr>
                <w:rFonts w:ascii="Arial" w:cs="Arial" w:eastAsia="Arial" w:hAnsi="Arial"/>
                <w:sz w:val="20"/>
                <w:szCs w:val="20"/>
                <w:color w:val="auto"/>
              </w:rPr>
              <w:t>Repayment of Obligations</w:t>
            </w:r>
          </w:p>
        </w:tc>
        <w:tc>
          <w:tcPr>
            <w:tcW w:w="134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2.08</w:t>
            </w:r>
          </w:p>
        </w:tc>
        <w:tc>
          <w:tcPr>
            <w:tcW w:w="8320" w:type="dxa"/>
            <w:vAlign w:val="bottom"/>
          </w:tcPr>
          <w:p>
            <w:pPr>
              <w:ind w:left="460"/>
              <w:spacing w:after="0"/>
              <w:rPr>
                <w:sz w:val="20"/>
                <w:szCs w:val="20"/>
                <w:color w:val="auto"/>
              </w:rPr>
            </w:pPr>
            <w:r>
              <w:rPr>
                <w:rFonts w:ascii="Arial" w:cs="Arial" w:eastAsia="Arial" w:hAnsi="Arial"/>
                <w:sz w:val="20"/>
                <w:szCs w:val="20"/>
                <w:color w:val="auto"/>
              </w:rPr>
              <w:t>Interest</w:t>
            </w:r>
          </w:p>
        </w:tc>
        <w:tc>
          <w:tcPr>
            <w:tcW w:w="134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2.09</w:t>
            </w:r>
          </w:p>
        </w:tc>
        <w:tc>
          <w:tcPr>
            <w:tcW w:w="8320" w:type="dxa"/>
            <w:vAlign w:val="bottom"/>
          </w:tcPr>
          <w:p>
            <w:pPr>
              <w:ind w:left="460"/>
              <w:spacing w:after="0"/>
              <w:rPr>
                <w:sz w:val="20"/>
                <w:szCs w:val="20"/>
                <w:color w:val="auto"/>
              </w:rPr>
            </w:pPr>
            <w:r>
              <w:rPr>
                <w:rFonts w:ascii="Arial" w:cs="Arial" w:eastAsia="Arial" w:hAnsi="Arial"/>
                <w:sz w:val="20"/>
                <w:szCs w:val="20"/>
                <w:color w:val="auto"/>
              </w:rPr>
              <w:t>Fees</w:t>
            </w:r>
          </w:p>
        </w:tc>
        <w:tc>
          <w:tcPr>
            <w:tcW w:w="13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2.10</w:t>
            </w:r>
          </w:p>
        </w:tc>
        <w:tc>
          <w:tcPr>
            <w:tcW w:w="8320" w:type="dxa"/>
            <w:vAlign w:val="bottom"/>
          </w:tcPr>
          <w:p>
            <w:pPr>
              <w:ind w:left="460"/>
              <w:spacing w:after="0"/>
              <w:rPr>
                <w:sz w:val="20"/>
                <w:szCs w:val="20"/>
                <w:color w:val="auto"/>
              </w:rPr>
            </w:pPr>
            <w:r>
              <w:rPr>
                <w:rFonts w:ascii="Arial" w:cs="Arial" w:eastAsia="Arial" w:hAnsi="Arial"/>
                <w:sz w:val="20"/>
                <w:szCs w:val="20"/>
                <w:color w:val="auto"/>
              </w:rPr>
              <w:t>Computation of Interest and Fees</w:t>
            </w:r>
          </w:p>
        </w:tc>
        <w:tc>
          <w:tcPr>
            <w:tcW w:w="13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2.11</w:t>
            </w:r>
          </w:p>
        </w:tc>
        <w:tc>
          <w:tcPr>
            <w:tcW w:w="8320" w:type="dxa"/>
            <w:vAlign w:val="bottom"/>
          </w:tcPr>
          <w:p>
            <w:pPr>
              <w:ind w:left="460"/>
              <w:spacing w:after="0"/>
              <w:rPr>
                <w:sz w:val="20"/>
                <w:szCs w:val="20"/>
                <w:color w:val="auto"/>
              </w:rPr>
            </w:pPr>
            <w:r>
              <w:rPr>
                <w:rFonts w:ascii="Arial" w:cs="Arial" w:eastAsia="Arial" w:hAnsi="Arial"/>
                <w:sz w:val="20"/>
                <w:szCs w:val="20"/>
                <w:color w:val="auto"/>
              </w:rPr>
              <w:t>Evidence of Debt</w:t>
            </w:r>
          </w:p>
        </w:tc>
        <w:tc>
          <w:tcPr>
            <w:tcW w:w="13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2.12</w:t>
            </w:r>
          </w:p>
        </w:tc>
        <w:tc>
          <w:tcPr>
            <w:tcW w:w="8320" w:type="dxa"/>
            <w:vAlign w:val="bottom"/>
          </w:tcPr>
          <w:p>
            <w:pPr>
              <w:ind w:left="460"/>
              <w:spacing w:after="0"/>
              <w:rPr>
                <w:sz w:val="20"/>
                <w:szCs w:val="20"/>
                <w:color w:val="auto"/>
              </w:rPr>
            </w:pPr>
            <w:r>
              <w:rPr>
                <w:rFonts w:ascii="Arial" w:cs="Arial" w:eastAsia="Arial" w:hAnsi="Arial"/>
                <w:sz w:val="20"/>
                <w:szCs w:val="20"/>
                <w:color w:val="auto"/>
              </w:rPr>
              <w:t>Payments Generally; Agent’s Clawback</w:t>
            </w:r>
          </w:p>
        </w:tc>
        <w:tc>
          <w:tcPr>
            <w:tcW w:w="134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2.13</w:t>
            </w:r>
          </w:p>
        </w:tc>
        <w:tc>
          <w:tcPr>
            <w:tcW w:w="8320" w:type="dxa"/>
            <w:vAlign w:val="bottom"/>
          </w:tcPr>
          <w:p>
            <w:pPr>
              <w:ind w:left="460"/>
              <w:spacing w:after="0"/>
              <w:rPr>
                <w:sz w:val="20"/>
                <w:szCs w:val="20"/>
                <w:color w:val="auto"/>
              </w:rPr>
            </w:pPr>
            <w:r>
              <w:rPr>
                <w:rFonts w:ascii="Arial" w:cs="Arial" w:eastAsia="Arial" w:hAnsi="Arial"/>
                <w:sz w:val="20"/>
                <w:szCs w:val="20"/>
                <w:color w:val="auto"/>
              </w:rPr>
              <w:t>Sharing of Payments by Lenders</w:t>
            </w: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2.14</w:t>
            </w:r>
          </w:p>
        </w:tc>
        <w:tc>
          <w:tcPr>
            <w:tcW w:w="8320" w:type="dxa"/>
            <w:vAlign w:val="bottom"/>
          </w:tcPr>
          <w:p>
            <w:pPr>
              <w:ind w:left="460"/>
              <w:spacing w:after="0"/>
              <w:rPr>
                <w:sz w:val="20"/>
                <w:szCs w:val="20"/>
                <w:color w:val="auto"/>
              </w:rPr>
            </w:pPr>
            <w:r>
              <w:rPr>
                <w:rFonts w:ascii="Arial" w:cs="Arial" w:eastAsia="Arial" w:hAnsi="Arial"/>
                <w:sz w:val="20"/>
                <w:szCs w:val="20"/>
                <w:color w:val="auto"/>
              </w:rPr>
              <w:t>Settlement Amongst Revolving Lenders</w:t>
            </w:r>
          </w:p>
        </w:tc>
        <w:tc>
          <w:tcPr>
            <w:tcW w:w="134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2.15</w:t>
            </w:r>
          </w:p>
        </w:tc>
        <w:tc>
          <w:tcPr>
            <w:tcW w:w="8320" w:type="dxa"/>
            <w:vAlign w:val="bottom"/>
          </w:tcPr>
          <w:p>
            <w:pPr>
              <w:ind w:left="460"/>
              <w:spacing w:after="0"/>
              <w:rPr>
                <w:sz w:val="20"/>
                <w:szCs w:val="20"/>
                <w:color w:val="auto"/>
              </w:rPr>
            </w:pPr>
            <w:r>
              <w:rPr>
                <w:rFonts w:ascii="Arial" w:cs="Arial" w:eastAsia="Arial" w:hAnsi="Arial"/>
                <w:sz w:val="20"/>
                <w:szCs w:val="20"/>
                <w:color w:val="auto"/>
              </w:rPr>
              <w:t>Increase in Commitments</w:t>
            </w:r>
          </w:p>
        </w:tc>
        <w:tc>
          <w:tcPr>
            <w:tcW w:w="134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2.16</w:t>
            </w:r>
          </w:p>
        </w:tc>
        <w:tc>
          <w:tcPr>
            <w:tcW w:w="8320" w:type="dxa"/>
            <w:vAlign w:val="bottom"/>
          </w:tcPr>
          <w:p>
            <w:pPr>
              <w:ind w:left="460"/>
              <w:spacing w:after="0"/>
              <w:rPr>
                <w:sz w:val="20"/>
                <w:szCs w:val="20"/>
                <w:color w:val="auto"/>
              </w:rPr>
            </w:pPr>
            <w:r>
              <w:rPr>
                <w:rFonts w:ascii="Arial" w:cs="Arial" w:eastAsia="Arial" w:hAnsi="Arial"/>
                <w:sz w:val="20"/>
                <w:szCs w:val="20"/>
                <w:color w:val="auto"/>
              </w:rPr>
              <w:t>Defaulting Lenders</w:t>
            </w: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78"/>
        </w:trPr>
        <w:tc>
          <w:tcPr>
            <w:tcW w:w="9900" w:type="dxa"/>
            <w:vAlign w:val="bottom"/>
            <w:gridSpan w:val="2"/>
          </w:tcPr>
          <w:p>
            <w:pPr>
              <w:ind w:left="20"/>
              <w:spacing w:after="0"/>
              <w:rPr>
                <w:sz w:val="20"/>
                <w:szCs w:val="20"/>
                <w:color w:val="auto"/>
              </w:rPr>
            </w:pPr>
            <w:r>
              <w:rPr>
                <w:rFonts w:ascii="Arial" w:cs="Arial" w:eastAsia="Arial" w:hAnsi="Arial"/>
                <w:sz w:val="20"/>
                <w:szCs w:val="20"/>
                <w:color w:val="auto"/>
              </w:rPr>
              <w:t>ARTICLE III TAXES, YIELD PROTECTION AND ILLEGALITY; APPOINTMENT OF LEAD BORROWER</w:t>
            </w:r>
          </w:p>
        </w:tc>
        <w:tc>
          <w:tcPr>
            <w:tcW w:w="134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3.01</w:t>
            </w:r>
          </w:p>
        </w:tc>
        <w:tc>
          <w:tcPr>
            <w:tcW w:w="8320" w:type="dxa"/>
            <w:vAlign w:val="bottom"/>
          </w:tcPr>
          <w:p>
            <w:pPr>
              <w:ind w:left="460"/>
              <w:spacing w:after="0"/>
              <w:rPr>
                <w:sz w:val="20"/>
                <w:szCs w:val="20"/>
                <w:color w:val="auto"/>
              </w:rPr>
            </w:pPr>
            <w:r>
              <w:rPr>
                <w:rFonts w:ascii="Arial" w:cs="Arial" w:eastAsia="Arial" w:hAnsi="Arial"/>
                <w:sz w:val="20"/>
                <w:szCs w:val="20"/>
                <w:color w:val="auto"/>
              </w:rPr>
              <w:t>Taxes</w:t>
            </w:r>
          </w:p>
        </w:tc>
        <w:tc>
          <w:tcPr>
            <w:tcW w:w="134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3.02</w:t>
            </w:r>
          </w:p>
        </w:tc>
        <w:tc>
          <w:tcPr>
            <w:tcW w:w="8320" w:type="dxa"/>
            <w:vAlign w:val="bottom"/>
          </w:tcPr>
          <w:p>
            <w:pPr>
              <w:ind w:left="460"/>
              <w:spacing w:after="0"/>
              <w:rPr>
                <w:sz w:val="20"/>
                <w:szCs w:val="20"/>
                <w:color w:val="auto"/>
              </w:rPr>
            </w:pPr>
            <w:r>
              <w:rPr>
                <w:rFonts w:ascii="Arial" w:cs="Arial" w:eastAsia="Arial" w:hAnsi="Arial"/>
                <w:sz w:val="20"/>
                <w:szCs w:val="20"/>
                <w:color w:val="auto"/>
              </w:rPr>
              <w:t>Illegality</w:t>
            </w:r>
          </w:p>
        </w:tc>
        <w:tc>
          <w:tcPr>
            <w:tcW w:w="13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3.03</w:t>
            </w:r>
          </w:p>
        </w:tc>
        <w:tc>
          <w:tcPr>
            <w:tcW w:w="8320" w:type="dxa"/>
            <w:vAlign w:val="bottom"/>
          </w:tcPr>
          <w:p>
            <w:pPr>
              <w:ind w:left="460"/>
              <w:spacing w:after="0"/>
              <w:rPr>
                <w:sz w:val="20"/>
                <w:szCs w:val="20"/>
                <w:color w:val="auto"/>
              </w:rPr>
            </w:pPr>
            <w:r>
              <w:rPr>
                <w:rFonts w:ascii="Arial" w:cs="Arial" w:eastAsia="Arial" w:hAnsi="Arial"/>
                <w:sz w:val="20"/>
                <w:szCs w:val="20"/>
                <w:color w:val="auto"/>
              </w:rPr>
              <w:t>Inability to Determine Rates</w:t>
            </w:r>
          </w:p>
        </w:tc>
        <w:tc>
          <w:tcPr>
            <w:tcW w:w="13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3.04</w:t>
            </w:r>
          </w:p>
        </w:tc>
        <w:tc>
          <w:tcPr>
            <w:tcW w:w="8320" w:type="dxa"/>
            <w:vAlign w:val="bottom"/>
          </w:tcPr>
          <w:p>
            <w:pPr>
              <w:ind w:left="460"/>
              <w:spacing w:after="0"/>
              <w:rPr>
                <w:sz w:val="20"/>
                <w:szCs w:val="20"/>
                <w:color w:val="auto"/>
              </w:rPr>
            </w:pPr>
            <w:r>
              <w:rPr>
                <w:rFonts w:ascii="Arial" w:cs="Arial" w:eastAsia="Arial" w:hAnsi="Arial"/>
                <w:sz w:val="20"/>
                <w:szCs w:val="20"/>
                <w:color w:val="auto"/>
              </w:rPr>
              <w:t>Increased Costs; Reserves on LIBOR Rate Loans</w:t>
            </w:r>
          </w:p>
        </w:tc>
        <w:tc>
          <w:tcPr>
            <w:tcW w:w="134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3.05</w:t>
            </w:r>
          </w:p>
        </w:tc>
        <w:tc>
          <w:tcPr>
            <w:tcW w:w="8320" w:type="dxa"/>
            <w:vAlign w:val="bottom"/>
          </w:tcPr>
          <w:p>
            <w:pPr>
              <w:ind w:left="460"/>
              <w:spacing w:after="0"/>
              <w:rPr>
                <w:sz w:val="20"/>
                <w:szCs w:val="20"/>
                <w:color w:val="auto"/>
              </w:rPr>
            </w:pPr>
            <w:r>
              <w:rPr>
                <w:rFonts w:ascii="Arial" w:cs="Arial" w:eastAsia="Arial" w:hAnsi="Arial"/>
                <w:sz w:val="20"/>
                <w:szCs w:val="20"/>
                <w:color w:val="auto"/>
              </w:rPr>
              <w:t>Compensation for Losses</w:t>
            </w:r>
          </w:p>
        </w:tc>
        <w:tc>
          <w:tcPr>
            <w:tcW w:w="134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3.06</w:t>
            </w:r>
          </w:p>
        </w:tc>
        <w:tc>
          <w:tcPr>
            <w:tcW w:w="8320" w:type="dxa"/>
            <w:vAlign w:val="bottom"/>
          </w:tcPr>
          <w:p>
            <w:pPr>
              <w:ind w:left="460"/>
              <w:spacing w:after="0"/>
              <w:rPr>
                <w:sz w:val="20"/>
                <w:szCs w:val="20"/>
                <w:color w:val="auto"/>
              </w:rPr>
            </w:pPr>
            <w:r>
              <w:rPr>
                <w:rFonts w:ascii="Arial" w:cs="Arial" w:eastAsia="Arial" w:hAnsi="Arial"/>
                <w:sz w:val="20"/>
                <w:szCs w:val="20"/>
                <w:color w:val="auto"/>
              </w:rPr>
              <w:t>Mitigation Obligations; Replacement of Lenders</w:t>
            </w:r>
          </w:p>
        </w:tc>
        <w:tc>
          <w:tcPr>
            <w:tcW w:w="134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3.07</w:t>
            </w:r>
          </w:p>
        </w:tc>
        <w:tc>
          <w:tcPr>
            <w:tcW w:w="8320" w:type="dxa"/>
            <w:vAlign w:val="bottom"/>
          </w:tcPr>
          <w:p>
            <w:pPr>
              <w:ind w:left="460"/>
              <w:spacing w:after="0"/>
              <w:rPr>
                <w:sz w:val="20"/>
                <w:szCs w:val="20"/>
                <w:color w:val="auto"/>
              </w:rPr>
            </w:pPr>
            <w:r>
              <w:rPr>
                <w:rFonts w:ascii="Arial" w:cs="Arial" w:eastAsia="Arial" w:hAnsi="Arial"/>
                <w:sz w:val="20"/>
                <w:szCs w:val="20"/>
                <w:color w:val="auto"/>
              </w:rPr>
              <w:t>Survival</w:t>
            </w:r>
          </w:p>
        </w:tc>
        <w:tc>
          <w:tcPr>
            <w:tcW w:w="134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3.08</w:t>
            </w:r>
          </w:p>
        </w:tc>
        <w:tc>
          <w:tcPr>
            <w:tcW w:w="8320" w:type="dxa"/>
            <w:vAlign w:val="bottom"/>
          </w:tcPr>
          <w:p>
            <w:pPr>
              <w:ind w:left="460"/>
              <w:spacing w:after="0"/>
              <w:rPr>
                <w:sz w:val="20"/>
                <w:szCs w:val="20"/>
                <w:color w:val="auto"/>
              </w:rPr>
            </w:pPr>
            <w:r>
              <w:rPr>
                <w:rFonts w:ascii="Arial" w:cs="Arial" w:eastAsia="Arial" w:hAnsi="Arial"/>
                <w:sz w:val="20"/>
                <w:szCs w:val="20"/>
                <w:color w:val="auto"/>
              </w:rPr>
              <w:t>Designation of Lead Borrower as Borrowers’ Agent; Joint and Several Liability</w:t>
            </w:r>
          </w:p>
        </w:tc>
        <w:tc>
          <w:tcPr>
            <w:tcW w:w="134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378"/>
        </w:trPr>
        <w:tc>
          <w:tcPr>
            <w:tcW w:w="9900" w:type="dxa"/>
            <w:vAlign w:val="bottom"/>
            <w:gridSpan w:val="2"/>
          </w:tcPr>
          <w:p>
            <w:pPr>
              <w:ind w:left="20"/>
              <w:spacing w:after="0"/>
              <w:rPr>
                <w:sz w:val="20"/>
                <w:szCs w:val="20"/>
                <w:color w:val="auto"/>
              </w:rPr>
            </w:pPr>
            <w:r>
              <w:rPr>
                <w:rFonts w:ascii="Arial" w:cs="Arial" w:eastAsia="Arial" w:hAnsi="Arial"/>
                <w:sz w:val="20"/>
                <w:szCs w:val="20"/>
                <w:color w:val="auto"/>
              </w:rPr>
              <w:t>ARTICLE IV CONDITIONS PRECEDENT TO CREDIT EXTENSIONS</w:t>
            </w:r>
          </w:p>
        </w:tc>
        <w:tc>
          <w:tcPr>
            <w:tcW w:w="134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4.01</w:t>
            </w:r>
          </w:p>
        </w:tc>
        <w:tc>
          <w:tcPr>
            <w:tcW w:w="8320" w:type="dxa"/>
            <w:vAlign w:val="bottom"/>
          </w:tcPr>
          <w:p>
            <w:pPr>
              <w:ind w:left="460"/>
              <w:spacing w:after="0"/>
              <w:rPr>
                <w:sz w:val="20"/>
                <w:szCs w:val="20"/>
                <w:color w:val="auto"/>
              </w:rPr>
            </w:pPr>
            <w:r>
              <w:rPr>
                <w:rFonts w:ascii="Arial" w:cs="Arial" w:eastAsia="Arial" w:hAnsi="Arial"/>
                <w:sz w:val="20"/>
                <w:szCs w:val="20"/>
                <w:color w:val="auto"/>
              </w:rPr>
              <w:t>Conditions of Effectiveness of this Agreement on the Closing Date</w:t>
            </w:r>
          </w:p>
        </w:tc>
        <w:tc>
          <w:tcPr>
            <w:tcW w:w="134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4.02</w:t>
            </w:r>
          </w:p>
        </w:tc>
        <w:tc>
          <w:tcPr>
            <w:tcW w:w="8320" w:type="dxa"/>
            <w:vAlign w:val="bottom"/>
          </w:tcPr>
          <w:p>
            <w:pPr>
              <w:ind w:left="460"/>
              <w:spacing w:after="0"/>
              <w:rPr>
                <w:sz w:val="20"/>
                <w:szCs w:val="20"/>
                <w:color w:val="auto"/>
              </w:rPr>
            </w:pPr>
            <w:r>
              <w:rPr>
                <w:rFonts w:ascii="Arial" w:cs="Arial" w:eastAsia="Arial" w:hAnsi="Arial"/>
                <w:sz w:val="20"/>
                <w:szCs w:val="20"/>
                <w:color w:val="auto"/>
              </w:rPr>
              <w:t>Conditions to all Credit Extensions</w:t>
            </w:r>
          </w:p>
        </w:tc>
        <w:tc>
          <w:tcPr>
            <w:tcW w:w="13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646"/>
        </w:trPr>
        <w:tc>
          <w:tcPr>
            <w:tcW w:w="158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8320" w:type="dxa"/>
            <w:vAlign w:val="bottom"/>
          </w:tcPr>
          <w:p>
            <w:pPr>
              <w:ind w:left="3940"/>
              <w:spacing w:after="0"/>
              <w:rPr>
                <w:sz w:val="20"/>
                <w:szCs w:val="20"/>
                <w:color w:val="auto"/>
              </w:rPr>
            </w:pPr>
            <w:r>
              <w:rPr>
                <w:rFonts w:ascii="Arial" w:cs="Arial" w:eastAsia="Arial" w:hAnsi="Arial"/>
                <w:sz w:val="20"/>
                <w:szCs w:val="20"/>
                <w:color w:val="auto"/>
              </w:rPr>
              <w:t>-2-</w:t>
            </w:r>
          </w:p>
        </w:tc>
        <w:tc>
          <w:tcPr>
            <w:tcW w:w="1340" w:type="dxa"/>
            <w:vAlign w:val="bottom"/>
          </w:tcPr>
          <w:p>
            <w:pPr>
              <w:spacing w:after="0"/>
              <w:rPr>
                <w:sz w:val="24"/>
                <w:szCs w:val="24"/>
                <w:color w:val="auto"/>
              </w:rPr>
            </w:pPr>
          </w:p>
        </w:tc>
      </w:tr>
      <w:tr>
        <w:trPr>
          <w:trHeight w:val="383"/>
        </w:trPr>
        <w:tc>
          <w:tcPr>
            <w:tcW w:w="158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0"/>
        </w:trPr>
        <w:tc>
          <w:tcPr>
            <w:tcW w:w="8460" w:type="dxa"/>
            <w:vAlign w:val="bottom"/>
            <w:gridSpan w:val="2"/>
          </w:tcPr>
          <w:p>
            <w:pPr>
              <w:ind w:left="20"/>
              <w:spacing w:after="0"/>
              <w:rPr>
                <w:sz w:val="20"/>
                <w:szCs w:val="20"/>
                <w:color w:val="auto"/>
              </w:rPr>
            </w:pPr>
            <w:r>
              <w:rPr>
                <w:rFonts w:ascii="Arial" w:cs="Arial" w:eastAsia="Arial" w:hAnsi="Arial"/>
                <w:sz w:val="20"/>
                <w:szCs w:val="20"/>
                <w:color w:val="auto"/>
              </w:rPr>
              <w:t>ARTICLE V REPRESENTATIONS AND WARRANTIES</w:t>
            </w:r>
          </w:p>
        </w:tc>
        <w:tc>
          <w:tcPr>
            <w:tcW w:w="278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5.01</w:t>
            </w:r>
          </w:p>
        </w:tc>
        <w:tc>
          <w:tcPr>
            <w:tcW w:w="6880" w:type="dxa"/>
            <w:vAlign w:val="bottom"/>
          </w:tcPr>
          <w:p>
            <w:pPr>
              <w:ind w:left="460"/>
              <w:spacing w:after="0"/>
              <w:rPr>
                <w:sz w:val="20"/>
                <w:szCs w:val="20"/>
                <w:color w:val="auto"/>
              </w:rPr>
            </w:pPr>
            <w:r>
              <w:rPr>
                <w:rFonts w:ascii="Arial" w:cs="Arial" w:eastAsia="Arial" w:hAnsi="Arial"/>
                <w:sz w:val="20"/>
                <w:szCs w:val="20"/>
                <w:color w:val="auto"/>
              </w:rPr>
              <w:t>Existence, Qualification and Power</w:t>
            </w:r>
          </w:p>
        </w:tc>
        <w:tc>
          <w:tcPr>
            <w:tcW w:w="278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5.02</w:t>
            </w:r>
          </w:p>
        </w:tc>
        <w:tc>
          <w:tcPr>
            <w:tcW w:w="6880" w:type="dxa"/>
            <w:vAlign w:val="bottom"/>
          </w:tcPr>
          <w:p>
            <w:pPr>
              <w:ind w:left="460"/>
              <w:spacing w:after="0"/>
              <w:rPr>
                <w:sz w:val="20"/>
                <w:szCs w:val="20"/>
                <w:color w:val="auto"/>
              </w:rPr>
            </w:pPr>
            <w:r>
              <w:rPr>
                <w:rFonts w:ascii="Arial" w:cs="Arial" w:eastAsia="Arial" w:hAnsi="Arial"/>
                <w:sz w:val="20"/>
                <w:szCs w:val="20"/>
                <w:color w:val="auto"/>
              </w:rPr>
              <w:t>Authorization; No Contravention</w:t>
            </w:r>
          </w:p>
        </w:tc>
        <w:tc>
          <w:tcPr>
            <w:tcW w:w="27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5.03</w:t>
            </w:r>
          </w:p>
        </w:tc>
        <w:tc>
          <w:tcPr>
            <w:tcW w:w="6880" w:type="dxa"/>
            <w:vAlign w:val="bottom"/>
          </w:tcPr>
          <w:p>
            <w:pPr>
              <w:ind w:left="460"/>
              <w:spacing w:after="0"/>
              <w:rPr>
                <w:sz w:val="20"/>
                <w:szCs w:val="20"/>
                <w:color w:val="auto"/>
              </w:rPr>
            </w:pPr>
            <w:r>
              <w:rPr>
                <w:rFonts w:ascii="Arial" w:cs="Arial" w:eastAsia="Arial" w:hAnsi="Arial"/>
                <w:sz w:val="20"/>
                <w:szCs w:val="20"/>
                <w:color w:val="auto"/>
              </w:rPr>
              <w:t>Governmental Authorization; Other Consents</w:t>
            </w:r>
          </w:p>
        </w:tc>
        <w:tc>
          <w:tcPr>
            <w:tcW w:w="27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5.04</w:t>
            </w:r>
          </w:p>
        </w:tc>
        <w:tc>
          <w:tcPr>
            <w:tcW w:w="6880" w:type="dxa"/>
            <w:vAlign w:val="bottom"/>
          </w:tcPr>
          <w:p>
            <w:pPr>
              <w:ind w:left="460"/>
              <w:spacing w:after="0"/>
              <w:rPr>
                <w:sz w:val="20"/>
                <w:szCs w:val="20"/>
                <w:color w:val="auto"/>
              </w:rPr>
            </w:pPr>
            <w:r>
              <w:rPr>
                <w:rFonts w:ascii="Arial" w:cs="Arial" w:eastAsia="Arial" w:hAnsi="Arial"/>
                <w:sz w:val="20"/>
                <w:szCs w:val="20"/>
                <w:color w:val="auto"/>
              </w:rPr>
              <w:t>Binding Effect</w:t>
            </w:r>
          </w:p>
        </w:tc>
        <w:tc>
          <w:tcPr>
            <w:tcW w:w="27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5.05</w:t>
            </w:r>
          </w:p>
        </w:tc>
        <w:tc>
          <w:tcPr>
            <w:tcW w:w="6880" w:type="dxa"/>
            <w:vAlign w:val="bottom"/>
          </w:tcPr>
          <w:p>
            <w:pPr>
              <w:ind w:left="460"/>
              <w:spacing w:after="0"/>
              <w:rPr>
                <w:sz w:val="20"/>
                <w:szCs w:val="20"/>
                <w:color w:val="auto"/>
              </w:rPr>
            </w:pPr>
            <w:r>
              <w:rPr>
                <w:rFonts w:ascii="Arial" w:cs="Arial" w:eastAsia="Arial" w:hAnsi="Arial"/>
                <w:sz w:val="20"/>
                <w:szCs w:val="20"/>
                <w:color w:val="auto"/>
              </w:rPr>
              <w:t>Financial Statements; No Material Adverse Effect</w:t>
            </w:r>
          </w:p>
        </w:tc>
        <w:tc>
          <w:tcPr>
            <w:tcW w:w="278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5.06</w:t>
            </w:r>
          </w:p>
        </w:tc>
        <w:tc>
          <w:tcPr>
            <w:tcW w:w="6880" w:type="dxa"/>
            <w:vAlign w:val="bottom"/>
          </w:tcPr>
          <w:p>
            <w:pPr>
              <w:ind w:left="460"/>
              <w:spacing w:after="0"/>
              <w:rPr>
                <w:sz w:val="20"/>
                <w:szCs w:val="20"/>
                <w:color w:val="auto"/>
              </w:rPr>
            </w:pPr>
            <w:r>
              <w:rPr>
                <w:rFonts w:ascii="Arial" w:cs="Arial" w:eastAsia="Arial" w:hAnsi="Arial"/>
                <w:sz w:val="20"/>
                <w:szCs w:val="20"/>
                <w:color w:val="auto"/>
              </w:rPr>
              <w:t>Litigation</w:t>
            </w:r>
          </w:p>
        </w:tc>
        <w:tc>
          <w:tcPr>
            <w:tcW w:w="27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5.07</w:t>
            </w:r>
          </w:p>
        </w:tc>
        <w:tc>
          <w:tcPr>
            <w:tcW w:w="6880" w:type="dxa"/>
            <w:vAlign w:val="bottom"/>
          </w:tcPr>
          <w:p>
            <w:pPr>
              <w:ind w:left="460"/>
              <w:spacing w:after="0"/>
              <w:rPr>
                <w:sz w:val="20"/>
                <w:szCs w:val="20"/>
                <w:color w:val="auto"/>
              </w:rPr>
            </w:pPr>
            <w:r>
              <w:rPr>
                <w:rFonts w:ascii="Arial" w:cs="Arial" w:eastAsia="Arial" w:hAnsi="Arial"/>
                <w:sz w:val="20"/>
                <w:szCs w:val="20"/>
                <w:color w:val="auto"/>
              </w:rPr>
              <w:t>No Default</w:t>
            </w:r>
          </w:p>
        </w:tc>
        <w:tc>
          <w:tcPr>
            <w:tcW w:w="27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5.08</w:t>
            </w:r>
          </w:p>
        </w:tc>
        <w:tc>
          <w:tcPr>
            <w:tcW w:w="6880" w:type="dxa"/>
            <w:vAlign w:val="bottom"/>
          </w:tcPr>
          <w:p>
            <w:pPr>
              <w:ind w:left="460"/>
              <w:spacing w:after="0"/>
              <w:rPr>
                <w:sz w:val="20"/>
                <w:szCs w:val="20"/>
                <w:color w:val="auto"/>
              </w:rPr>
            </w:pPr>
            <w:r>
              <w:rPr>
                <w:rFonts w:ascii="Arial" w:cs="Arial" w:eastAsia="Arial" w:hAnsi="Arial"/>
                <w:sz w:val="20"/>
                <w:szCs w:val="20"/>
                <w:color w:val="auto"/>
              </w:rPr>
              <w:t>Ownership of Property; Liens</w:t>
            </w:r>
          </w:p>
        </w:tc>
        <w:tc>
          <w:tcPr>
            <w:tcW w:w="27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5.09</w:t>
            </w:r>
          </w:p>
        </w:tc>
        <w:tc>
          <w:tcPr>
            <w:tcW w:w="6880" w:type="dxa"/>
            <w:vAlign w:val="bottom"/>
          </w:tcPr>
          <w:p>
            <w:pPr>
              <w:ind w:left="460"/>
              <w:spacing w:after="0"/>
              <w:rPr>
                <w:sz w:val="20"/>
                <w:szCs w:val="20"/>
                <w:color w:val="auto"/>
              </w:rPr>
            </w:pPr>
            <w:r>
              <w:rPr>
                <w:rFonts w:ascii="Arial" w:cs="Arial" w:eastAsia="Arial" w:hAnsi="Arial"/>
                <w:sz w:val="20"/>
                <w:szCs w:val="20"/>
                <w:color w:val="auto"/>
              </w:rPr>
              <w:t>Environmental Compliance</w:t>
            </w:r>
          </w:p>
        </w:tc>
        <w:tc>
          <w:tcPr>
            <w:tcW w:w="27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5.10</w:t>
            </w:r>
          </w:p>
        </w:tc>
        <w:tc>
          <w:tcPr>
            <w:tcW w:w="6880" w:type="dxa"/>
            <w:vAlign w:val="bottom"/>
          </w:tcPr>
          <w:p>
            <w:pPr>
              <w:ind w:left="460"/>
              <w:spacing w:after="0"/>
              <w:rPr>
                <w:sz w:val="20"/>
                <w:szCs w:val="20"/>
                <w:color w:val="auto"/>
              </w:rPr>
            </w:pPr>
            <w:r>
              <w:rPr>
                <w:rFonts w:ascii="Arial" w:cs="Arial" w:eastAsia="Arial" w:hAnsi="Arial"/>
                <w:sz w:val="20"/>
                <w:szCs w:val="20"/>
                <w:color w:val="auto"/>
              </w:rPr>
              <w:t>Insurance</w:t>
            </w:r>
          </w:p>
        </w:tc>
        <w:tc>
          <w:tcPr>
            <w:tcW w:w="27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5.11</w:t>
            </w:r>
          </w:p>
        </w:tc>
        <w:tc>
          <w:tcPr>
            <w:tcW w:w="6880" w:type="dxa"/>
            <w:vAlign w:val="bottom"/>
          </w:tcPr>
          <w:p>
            <w:pPr>
              <w:ind w:left="460"/>
              <w:spacing w:after="0"/>
              <w:rPr>
                <w:sz w:val="20"/>
                <w:szCs w:val="20"/>
                <w:color w:val="auto"/>
              </w:rPr>
            </w:pPr>
            <w:r>
              <w:rPr>
                <w:rFonts w:ascii="Arial" w:cs="Arial" w:eastAsia="Arial" w:hAnsi="Arial"/>
                <w:sz w:val="20"/>
                <w:szCs w:val="20"/>
                <w:color w:val="auto"/>
              </w:rPr>
              <w:t>Taxes</w:t>
            </w:r>
          </w:p>
        </w:tc>
        <w:tc>
          <w:tcPr>
            <w:tcW w:w="27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5.12</w:t>
            </w:r>
          </w:p>
        </w:tc>
        <w:tc>
          <w:tcPr>
            <w:tcW w:w="6880" w:type="dxa"/>
            <w:vAlign w:val="bottom"/>
          </w:tcPr>
          <w:p>
            <w:pPr>
              <w:ind w:left="460"/>
              <w:spacing w:after="0"/>
              <w:rPr>
                <w:sz w:val="20"/>
                <w:szCs w:val="20"/>
                <w:color w:val="auto"/>
              </w:rPr>
            </w:pPr>
            <w:r>
              <w:rPr>
                <w:rFonts w:ascii="Arial" w:cs="Arial" w:eastAsia="Arial" w:hAnsi="Arial"/>
                <w:sz w:val="20"/>
                <w:szCs w:val="20"/>
                <w:color w:val="auto"/>
              </w:rPr>
              <w:t>ERISA Compliance</w:t>
            </w:r>
          </w:p>
        </w:tc>
        <w:tc>
          <w:tcPr>
            <w:tcW w:w="2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5.13</w:t>
            </w:r>
          </w:p>
        </w:tc>
        <w:tc>
          <w:tcPr>
            <w:tcW w:w="6880" w:type="dxa"/>
            <w:vAlign w:val="bottom"/>
          </w:tcPr>
          <w:p>
            <w:pPr>
              <w:ind w:left="460"/>
              <w:spacing w:after="0"/>
              <w:rPr>
                <w:sz w:val="20"/>
                <w:szCs w:val="20"/>
                <w:color w:val="auto"/>
              </w:rPr>
            </w:pPr>
            <w:r>
              <w:rPr>
                <w:rFonts w:ascii="Arial" w:cs="Arial" w:eastAsia="Arial" w:hAnsi="Arial"/>
                <w:sz w:val="20"/>
                <w:szCs w:val="20"/>
                <w:color w:val="auto"/>
              </w:rPr>
              <w:t>Subsidiaries; Equity Interests</w:t>
            </w:r>
          </w:p>
        </w:tc>
        <w:tc>
          <w:tcPr>
            <w:tcW w:w="27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5.14</w:t>
            </w:r>
          </w:p>
        </w:tc>
        <w:tc>
          <w:tcPr>
            <w:tcW w:w="6880" w:type="dxa"/>
            <w:vAlign w:val="bottom"/>
          </w:tcPr>
          <w:p>
            <w:pPr>
              <w:ind w:left="460"/>
              <w:spacing w:after="0"/>
              <w:rPr>
                <w:sz w:val="20"/>
                <w:szCs w:val="20"/>
                <w:color w:val="auto"/>
              </w:rPr>
            </w:pPr>
            <w:r>
              <w:rPr>
                <w:rFonts w:ascii="Arial" w:cs="Arial" w:eastAsia="Arial" w:hAnsi="Arial"/>
                <w:sz w:val="20"/>
                <w:szCs w:val="20"/>
                <w:color w:val="auto"/>
              </w:rPr>
              <w:t>Margin Regulations; Investment Company Act</w:t>
            </w:r>
          </w:p>
        </w:tc>
        <w:tc>
          <w:tcPr>
            <w:tcW w:w="27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5.15</w:t>
            </w:r>
          </w:p>
        </w:tc>
        <w:tc>
          <w:tcPr>
            <w:tcW w:w="6880" w:type="dxa"/>
            <w:vAlign w:val="bottom"/>
          </w:tcPr>
          <w:p>
            <w:pPr>
              <w:ind w:left="460"/>
              <w:spacing w:after="0"/>
              <w:rPr>
                <w:sz w:val="20"/>
                <w:szCs w:val="20"/>
                <w:color w:val="auto"/>
              </w:rPr>
            </w:pPr>
            <w:r>
              <w:rPr>
                <w:rFonts w:ascii="Arial" w:cs="Arial" w:eastAsia="Arial" w:hAnsi="Arial"/>
                <w:sz w:val="20"/>
                <w:szCs w:val="20"/>
                <w:color w:val="auto"/>
              </w:rPr>
              <w:t>Disclosure</w:t>
            </w:r>
          </w:p>
        </w:tc>
        <w:tc>
          <w:tcPr>
            <w:tcW w:w="27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5.16</w:t>
            </w:r>
          </w:p>
        </w:tc>
        <w:tc>
          <w:tcPr>
            <w:tcW w:w="6880" w:type="dxa"/>
            <w:vAlign w:val="bottom"/>
          </w:tcPr>
          <w:p>
            <w:pPr>
              <w:ind w:left="460"/>
              <w:spacing w:after="0"/>
              <w:rPr>
                <w:sz w:val="20"/>
                <w:szCs w:val="20"/>
                <w:color w:val="auto"/>
              </w:rPr>
            </w:pPr>
            <w:r>
              <w:rPr>
                <w:rFonts w:ascii="Arial" w:cs="Arial" w:eastAsia="Arial" w:hAnsi="Arial"/>
                <w:sz w:val="20"/>
                <w:szCs w:val="20"/>
                <w:color w:val="auto"/>
              </w:rPr>
              <w:t>Compliance with Laws</w:t>
            </w:r>
          </w:p>
        </w:tc>
        <w:tc>
          <w:tcPr>
            <w:tcW w:w="27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5.17</w:t>
            </w:r>
          </w:p>
        </w:tc>
        <w:tc>
          <w:tcPr>
            <w:tcW w:w="6880" w:type="dxa"/>
            <w:vAlign w:val="bottom"/>
          </w:tcPr>
          <w:p>
            <w:pPr>
              <w:ind w:left="460"/>
              <w:spacing w:after="0"/>
              <w:rPr>
                <w:sz w:val="20"/>
                <w:szCs w:val="20"/>
                <w:color w:val="auto"/>
              </w:rPr>
            </w:pPr>
            <w:r>
              <w:rPr>
                <w:rFonts w:ascii="Arial" w:cs="Arial" w:eastAsia="Arial" w:hAnsi="Arial"/>
                <w:sz w:val="20"/>
                <w:szCs w:val="20"/>
                <w:color w:val="auto"/>
              </w:rPr>
              <w:t>Intellectual Property; Licenses, Etc.</w:t>
            </w:r>
          </w:p>
        </w:tc>
        <w:tc>
          <w:tcPr>
            <w:tcW w:w="27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5.18</w:t>
            </w:r>
          </w:p>
        </w:tc>
        <w:tc>
          <w:tcPr>
            <w:tcW w:w="6880" w:type="dxa"/>
            <w:vAlign w:val="bottom"/>
          </w:tcPr>
          <w:p>
            <w:pPr>
              <w:ind w:left="460"/>
              <w:spacing w:after="0"/>
              <w:rPr>
                <w:sz w:val="20"/>
                <w:szCs w:val="20"/>
                <w:color w:val="auto"/>
              </w:rPr>
            </w:pPr>
            <w:r>
              <w:rPr>
                <w:rFonts w:ascii="Arial" w:cs="Arial" w:eastAsia="Arial" w:hAnsi="Arial"/>
                <w:sz w:val="20"/>
                <w:szCs w:val="20"/>
                <w:color w:val="auto"/>
              </w:rPr>
              <w:t>Labor Matters</w:t>
            </w:r>
          </w:p>
        </w:tc>
        <w:tc>
          <w:tcPr>
            <w:tcW w:w="27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5.19</w:t>
            </w:r>
          </w:p>
        </w:tc>
        <w:tc>
          <w:tcPr>
            <w:tcW w:w="6880" w:type="dxa"/>
            <w:vAlign w:val="bottom"/>
          </w:tcPr>
          <w:p>
            <w:pPr>
              <w:ind w:left="460"/>
              <w:spacing w:after="0"/>
              <w:rPr>
                <w:sz w:val="20"/>
                <w:szCs w:val="20"/>
                <w:color w:val="auto"/>
              </w:rPr>
            </w:pPr>
            <w:r>
              <w:rPr>
                <w:rFonts w:ascii="Arial" w:cs="Arial" w:eastAsia="Arial" w:hAnsi="Arial"/>
                <w:sz w:val="20"/>
                <w:szCs w:val="20"/>
                <w:color w:val="auto"/>
              </w:rPr>
              <w:t>Security Documents</w:t>
            </w:r>
          </w:p>
        </w:tc>
        <w:tc>
          <w:tcPr>
            <w:tcW w:w="27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5.20</w:t>
            </w:r>
          </w:p>
        </w:tc>
        <w:tc>
          <w:tcPr>
            <w:tcW w:w="6880" w:type="dxa"/>
            <w:vAlign w:val="bottom"/>
          </w:tcPr>
          <w:p>
            <w:pPr>
              <w:ind w:left="460"/>
              <w:spacing w:after="0"/>
              <w:rPr>
                <w:sz w:val="20"/>
                <w:szCs w:val="20"/>
                <w:color w:val="auto"/>
              </w:rPr>
            </w:pPr>
            <w:r>
              <w:rPr>
                <w:rFonts w:ascii="Arial" w:cs="Arial" w:eastAsia="Arial" w:hAnsi="Arial"/>
                <w:sz w:val="20"/>
                <w:szCs w:val="20"/>
                <w:color w:val="auto"/>
              </w:rPr>
              <w:t>Solvency</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5.21</w:t>
            </w:r>
          </w:p>
        </w:tc>
        <w:tc>
          <w:tcPr>
            <w:tcW w:w="6880" w:type="dxa"/>
            <w:vAlign w:val="bottom"/>
          </w:tcPr>
          <w:p>
            <w:pPr>
              <w:ind w:left="460"/>
              <w:spacing w:after="0"/>
              <w:rPr>
                <w:sz w:val="20"/>
                <w:szCs w:val="20"/>
                <w:color w:val="auto"/>
              </w:rPr>
            </w:pPr>
            <w:r>
              <w:rPr>
                <w:rFonts w:ascii="Arial" w:cs="Arial" w:eastAsia="Arial" w:hAnsi="Arial"/>
                <w:sz w:val="20"/>
                <w:szCs w:val="20"/>
                <w:color w:val="auto"/>
              </w:rPr>
              <w:t>Deposit Accounts; Credit Card Arrangements</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5.22</w:t>
            </w:r>
          </w:p>
        </w:tc>
        <w:tc>
          <w:tcPr>
            <w:tcW w:w="6880" w:type="dxa"/>
            <w:vAlign w:val="bottom"/>
          </w:tcPr>
          <w:p>
            <w:pPr>
              <w:ind w:left="460"/>
              <w:spacing w:after="0"/>
              <w:rPr>
                <w:sz w:val="20"/>
                <w:szCs w:val="20"/>
                <w:color w:val="auto"/>
              </w:rPr>
            </w:pPr>
            <w:r>
              <w:rPr>
                <w:rFonts w:ascii="Arial" w:cs="Arial" w:eastAsia="Arial" w:hAnsi="Arial"/>
                <w:sz w:val="20"/>
                <w:szCs w:val="20"/>
                <w:color w:val="auto"/>
              </w:rPr>
              <w:t>Brokers</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5.23</w:t>
            </w:r>
          </w:p>
        </w:tc>
        <w:tc>
          <w:tcPr>
            <w:tcW w:w="6880" w:type="dxa"/>
            <w:vAlign w:val="bottom"/>
          </w:tcPr>
          <w:p>
            <w:pPr>
              <w:ind w:left="460"/>
              <w:spacing w:after="0"/>
              <w:rPr>
                <w:sz w:val="20"/>
                <w:szCs w:val="20"/>
                <w:color w:val="auto"/>
              </w:rPr>
            </w:pPr>
            <w:r>
              <w:rPr>
                <w:rFonts w:ascii="Arial" w:cs="Arial" w:eastAsia="Arial" w:hAnsi="Arial"/>
                <w:sz w:val="20"/>
                <w:szCs w:val="20"/>
                <w:color w:val="auto"/>
              </w:rPr>
              <w:t>Customer and Trade Relations</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5.24</w:t>
            </w:r>
          </w:p>
        </w:tc>
        <w:tc>
          <w:tcPr>
            <w:tcW w:w="6880" w:type="dxa"/>
            <w:vAlign w:val="bottom"/>
          </w:tcPr>
          <w:p>
            <w:pPr>
              <w:ind w:left="460"/>
              <w:spacing w:after="0"/>
              <w:rPr>
                <w:sz w:val="20"/>
                <w:szCs w:val="20"/>
                <w:color w:val="auto"/>
              </w:rPr>
            </w:pPr>
            <w:r>
              <w:rPr>
                <w:rFonts w:ascii="Arial" w:cs="Arial" w:eastAsia="Arial" w:hAnsi="Arial"/>
                <w:sz w:val="20"/>
                <w:szCs w:val="20"/>
                <w:color w:val="auto"/>
              </w:rPr>
              <w:t>Material Contracts</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5.25</w:t>
            </w:r>
          </w:p>
        </w:tc>
        <w:tc>
          <w:tcPr>
            <w:tcW w:w="6880" w:type="dxa"/>
            <w:vAlign w:val="bottom"/>
          </w:tcPr>
          <w:p>
            <w:pPr>
              <w:ind w:left="460"/>
              <w:spacing w:after="0"/>
              <w:rPr>
                <w:sz w:val="20"/>
                <w:szCs w:val="20"/>
                <w:color w:val="auto"/>
              </w:rPr>
            </w:pPr>
            <w:r>
              <w:rPr>
                <w:rFonts w:ascii="Arial" w:cs="Arial" w:eastAsia="Arial" w:hAnsi="Arial"/>
                <w:sz w:val="20"/>
                <w:szCs w:val="20"/>
                <w:color w:val="auto"/>
              </w:rPr>
              <w:t>Casualty</w:t>
            </w:r>
          </w:p>
        </w:tc>
        <w:tc>
          <w:tcPr>
            <w:tcW w:w="27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5.26</w:t>
            </w:r>
          </w:p>
        </w:tc>
        <w:tc>
          <w:tcPr>
            <w:tcW w:w="6880" w:type="dxa"/>
            <w:vAlign w:val="bottom"/>
          </w:tcPr>
          <w:p>
            <w:pPr>
              <w:ind w:left="460"/>
              <w:spacing w:after="0"/>
              <w:rPr>
                <w:sz w:val="20"/>
                <w:szCs w:val="20"/>
                <w:color w:val="auto"/>
              </w:rPr>
            </w:pPr>
            <w:r>
              <w:rPr>
                <w:rFonts w:ascii="Arial" w:cs="Arial" w:eastAsia="Arial" w:hAnsi="Arial"/>
                <w:sz w:val="20"/>
                <w:szCs w:val="20"/>
                <w:color w:val="auto"/>
              </w:rPr>
              <w:t>EEA Financial Institution</w:t>
            </w:r>
          </w:p>
        </w:tc>
        <w:tc>
          <w:tcPr>
            <w:tcW w:w="27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5.27</w:t>
            </w:r>
          </w:p>
        </w:tc>
        <w:tc>
          <w:tcPr>
            <w:tcW w:w="6880" w:type="dxa"/>
            <w:vAlign w:val="bottom"/>
          </w:tcPr>
          <w:p>
            <w:pPr>
              <w:ind w:left="460"/>
              <w:spacing w:after="0"/>
              <w:rPr>
                <w:sz w:val="20"/>
                <w:szCs w:val="20"/>
                <w:color w:val="auto"/>
              </w:rPr>
            </w:pPr>
            <w:r>
              <w:rPr>
                <w:rFonts w:ascii="Arial" w:cs="Arial" w:eastAsia="Arial" w:hAnsi="Arial"/>
                <w:sz w:val="20"/>
                <w:szCs w:val="20"/>
                <w:color w:val="auto"/>
              </w:rPr>
              <w:t>OFAC; Sanctions</w:t>
            </w:r>
          </w:p>
        </w:tc>
        <w:tc>
          <w:tcPr>
            <w:tcW w:w="27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5.28</w:t>
            </w:r>
          </w:p>
        </w:tc>
        <w:tc>
          <w:tcPr>
            <w:tcW w:w="6880" w:type="dxa"/>
            <w:vAlign w:val="bottom"/>
          </w:tcPr>
          <w:p>
            <w:pPr>
              <w:ind w:left="460"/>
              <w:spacing w:after="0"/>
              <w:rPr>
                <w:sz w:val="20"/>
                <w:szCs w:val="20"/>
                <w:color w:val="auto"/>
              </w:rPr>
            </w:pPr>
            <w:r>
              <w:rPr>
                <w:rFonts w:ascii="Arial" w:cs="Arial" w:eastAsia="Arial" w:hAnsi="Arial"/>
                <w:sz w:val="20"/>
                <w:szCs w:val="20"/>
                <w:color w:val="auto"/>
              </w:rPr>
              <w:t>Beneficial Ownership Certification</w:t>
            </w:r>
          </w:p>
        </w:tc>
        <w:tc>
          <w:tcPr>
            <w:tcW w:w="27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8460" w:type="dxa"/>
            <w:vAlign w:val="bottom"/>
            <w:gridSpan w:val="2"/>
          </w:tcPr>
          <w:p>
            <w:pPr>
              <w:ind w:left="20"/>
              <w:spacing w:after="0"/>
              <w:rPr>
                <w:sz w:val="20"/>
                <w:szCs w:val="20"/>
                <w:color w:val="auto"/>
              </w:rPr>
            </w:pPr>
            <w:r>
              <w:rPr>
                <w:rFonts w:ascii="Arial" w:cs="Arial" w:eastAsia="Arial" w:hAnsi="Arial"/>
                <w:sz w:val="20"/>
                <w:szCs w:val="20"/>
                <w:color w:val="auto"/>
              </w:rPr>
              <w:t>ARTICLE VI AFFIRMATIVE COVENANTS</w:t>
            </w:r>
          </w:p>
        </w:tc>
        <w:tc>
          <w:tcPr>
            <w:tcW w:w="27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6.01</w:t>
            </w:r>
          </w:p>
        </w:tc>
        <w:tc>
          <w:tcPr>
            <w:tcW w:w="6880" w:type="dxa"/>
            <w:vAlign w:val="bottom"/>
          </w:tcPr>
          <w:p>
            <w:pPr>
              <w:ind w:left="460"/>
              <w:spacing w:after="0"/>
              <w:rPr>
                <w:sz w:val="20"/>
                <w:szCs w:val="20"/>
                <w:color w:val="auto"/>
              </w:rPr>
            </w:pPr>
            <w:r>
              <w:rPr>
                <w:rFonts w:ascii="Arial" w:cs="Arial" w:eastAsia="Arial" w:hAnsi="Arial"/>
                <w:sz w:val="20"/>
                <w:szCs w:val="20"/>
                <w:color w:val="auto"/>
              </w:rPr>
              <w:t>Financial Statements</w:t>
            </w:r>
          </w:p>
        </w:tc>
        <w:tc>
          <w:tcPr>
            <w:tcW w:w="278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6.02</w:t>
            </w:r>
          </w:p>
        </w:tc>
        <w:tc>
          <w:tcPr>
            <w:tcW w:w="6880" w:type="dxa"/>
            <w:vAlign w:val="bottom"/>
          </w:tcPr>
          <w:p>
            <w:pPr>
              <w:ind w:left="460"/>
              <w:spacing w:after="0"/>
              <w:rPr>
                <w:sz w:val="20"/>
                <w:szCs w:val="20"/>
                <w:color w:val="auto"/>
              </w:rPr>
            </w:pPr>
            <w:r>
              <w:rPr>
                <w:rFonts w:ascii="Arial" w:cs="Arial" w:eastAsia="Arial" w:hAnsi="Arial"/>
                <w:sz w:val="20"/>
                <w:szCs w:val="20"/>
                <w:color w:val="auto"/>
              </w:rPr>
              <w:t>Certificates; Other Information</w:t>
            </w:r>
          </w:p>
        </w:tc>
        <w:tc>
          <w:tcPr>
            <w:tcW w:w="27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6.03</w:t>
            </w:r>
          </w:p>
        </w:tc>
        <w:tc>
          <w:tcPr>
            <w:tcW w:w="6880" w:type="dxa"/>
            <w:vAlign w:val="bottom"/>
          </w:tcPr>
          <w:p>
            <w:pPr>
              <w:ind w:left="460"/>
              <w:spacing w:after="0"/>
              <w:rPr>
                <w:sz w:val="20"/>
                <w:szCs w:val="20"/>
                <w:color w:val="auto"/>
              </w:rPr>
            </w:pPr>
            <w:r>
              <w:rPr>
                <w:rFonts w:ascii="Arial" w:cs="Arial" w:eastAsia="Arial" w:hAnsi="Arial"/>
                <w:sz w:val="20"/>
                <w:szCs w:val="20"/>
                <w:color w:val="auto"/>
              </w:rPr>
              <w:t>Notices</w:t>
            </w:r>
          </w:p>
        </w:tc>
        <w:tc>
          <w:tcPr>
            <w:tcW w:w="278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6.04</w:t>
            </w:r>
          </w:p>
        </w:tc>
        <w:tc>
          <w:tcPr>
            <w:tcW w:w="6880" w:type="dxa"/>
            <w:vAlign w:val="bottom"/>
          </w:tcPr>
          <w:p>
            <w:pPr>
              <w:ind w:left="460"/>
              <w:spacing w:after="0"/>
              <w:rPr>
                <w:sz w:val="20"/>
                <w:szCs w:val="20"/>
                <w:color w:val="auto"/>
              </w:rPr>
            </w:pPr>
            <w:r>
              <w:rPr>
                <w:rFonts w:ascii="Arial" w:cs="Arial" w:eastAsia="Arial" w:hAnsi="Arial"/>
                <w:sz w:val="20"/>
                <w:szCs w:val="20"/>
                <w:color w:val="auto"/>
              </w:rPr>
              <w:t>Payment of Obligations</w:t>
            </w:r>
          </w:p>
        </w:tc>
        <w:tc>
          <w:tcPr>
            <w:tcW w:w="27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6.05</w:t>
            </w:r>
          </w:p>
        </w:tc>
        <w:tc>
          <w:tcPr>
            <w:tcW w:w="6880" w:type="dxa"/>
            <w:vAlign w:val="bottom"/>
          </w:tcPr>
          <w:p>
            <w:pPr>
              <w:ind w:left="460"/>
              <w:spacing w:after="0"/>
              <w:rPr>
                <w:sz w:val="20"/>
                <w:szCs w:val="20"/>
                <w:color w:val="auto"/>
              </w:rPr>
            </w:pPr>
            <w:r>
              <w:rPr>
                <w:rFonts w:ascii="Arial" w:cs="Arial" w:eastAsia="Arial" w:hAnsi="Arial"/>
                <w:sz w:val="20"/>
                <w:szCs w:val="20"/>
                <w:color w:val="auto"/>
              </w:rPr>
              <w:t>Preservation of Existence, Etc.</w:t>
            </w:r>
          </w:p>
        </w:tc>
        <w:tc>
          <w:tcPr>
            <w:tcW w:w="27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6.06</w:t>
            </w:r>
          </w:p>
        </w:tc>
        <w:tc>
          <w:tcPr>
            <w:tcW w:w="6880" w:type="dxa"/>
            <w:vAlign w:val="bottom"/>
          </w:tcPr>
          <w:p>
            <w:pPr>
              <w:ind w:left="460"/>
              <w:spacing w:after="0"/>
              <w:rPr>
                <w:sz w:val="20"/>
                <w:szCs w:val="20"/>
                <w:color w:val="auto"/>
              </w:rPr>
            </w:pPr>
            <w:r>
              <w:rPr>
                <w:rFonts w:ascii="Arial" w:cs="Arial" w:eastAsia="Arial" w:hAnsi="Arial"/>
                <w:sz w:val="20"/>
                <w:szCs w:val="20"/>
                <w:color w:val="auto"/>
              </w:rPr>
              <w:t>Maintenance of Properties</w:t>
            </w:r>
          </w:p>
        </w:tc>
        <w:tc>
          <w:tcPr>
            <w:tcW w:w="27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6.07</w:t>
            </w:r>
          </w:p>
        </w:tc>
        <w:tc>
          <w:tcPr>
            <w:tcW w:w="6880" w:type="dxa"/>
            <w:vAlign w:val="bottom"/>
          </w:tcPr>
          <w:p>
            <w:pPr>
              <w:ind w:left="460"/>
              <w:spacing w:after="0"/>
              <w:rPr>
                <w:sz w:val="20"/>
                <w:szCs w:val="20"/>
                <w:color w:val="auto"/>
              </w:rPr>
            </w:pPr>
            <w:r>
              <w:rPr>
                <w:rFonts w:ascii="Arial" w:cs="Arial" w:eastAsia="Arial" w:hAnsi="Arial"/>
                <w:sz w:val="20"/>
                <w:szCs w:val="20"/>
                <w:color w:val="auto"/>
              </w:rPr>
              <w:t>Maintenance of Insurance</w:t>
            </w:r>
          </w:p>
        </w:tc>
        <w:tc>
          <w:tcPr>
            <w:tcW w:w="278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6.08</w:t>
            </w:r>
          </w:p>
        </w:tc>
        <w:tc>
          <w:tcPr>
            <w:tcW w:w="6880" w:type="dxa"/>
            <w:vAlign w:val="bottom"/>
          </w:tcPr>
          <w:p>
            <w:pPr>
              <w:ind w:left="460"/>
              <w:spacing w:after="0"/>
              <w:rPr>
                <w:sz w:val="20"/>
                <w:szCs w:val="20"/>
                <w:color w:val="auto"/>
              </w:rPr>
            </w:pPr>
            <w:r>
              <w:rPr>
                <w:rFonts w:ascii="Arial" w:cs="Arial" w:eastAsia="Arial" w:hAnsi="Arial"/>
                <w:sz w:val="20"/>
                <w:szCs w:val="20"/>
                <w:color w:val="auto"/>
              </w:rPr>
              <w:t>Compliance with Laws</w:t>
            </w:r>
          </w:p>
        </w:tc>
        <w:tc>
          <w:tcPr>
            <w:tcW w:w="2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6.09</w:t>
            </w:r>
          </w:p>
        </w:tc>
        <w:tc>
          <w:tcPr>
            <w:tcW w:w="6880" w:type="dxa"/>
            <w:vAlign w:val="bottom"/>
          </w:tcPr>
          <w:p>
            <w:pPr>
              <w:ind w:left="460"/>
              <w:spacing w:after="0"/>
              <w:rPr>
                <w:sz w:val="20"/>
                <w:szCs w:val="20"/>
                <w:color w:val="auto"/>
              </w:rPr>
            </w:pPr>
            <w:r>
              <w:rPr>
                <w:rFonts w:ascii="Arial" w:cs="Arial" w:eastAsia="Arial" w:hAnsi="Arial"/>
                <w:sz w:val="20"/>
                <w:szCs w:val="20"/>
                <w:color w:val="auto"/>
              </w:rPr>
              <w:t>Books and Records; Accountants</w:t>
            </w:r>
          </w:p>
        </w:tc>
        <w:tc>
          <w:tcPr>
            <w:tcW w:w="2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6.10</w:t>
            </w:r>
          </w:p>
        </w:tc>
        <w:tc>
          <w:tcPr>
            <w:tcW w:w="6880" w:type="dxa"/>
            <w:vAlign w:val="bottom"/>
          </w:tcPr>
          <w:p>
            <w:pPr>
              <w:ind w:left="460"/>
              <w:spacing w:after="0"/>
              <w:rPr>
                <w:sz w:val="20"/>
                <w:szCs w:val="20"/>
                <w:color w:val="auto"/>
              </w:rPr>
            </w:pPr>
            <w:r>
              <w:rPr>
                <w:rFonts w:ascii="Arial" w:cs="Arial" w:eastAsia="Arial" w:hAnsi="Arial"/>
                <w:sz w:val="20"/>
                <w:szCs w:val="20"/>
                <w:color w:val="auto"/>
              </w:rPr>
              <w:t>Inspection Rights</w:t>
            </w:r>
          </w:p>
        </w:tc>
        <w:tc>
          <w:tcPr>
            <w:tcW w:w="278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6.11</w:t>
            </w:r>
          </w:p>
        </w:tc>
        <w:tc>
          <w:tcPr>
            <w:tcW w:w="6880" w:type="dxa"/>
            <w:vAlign w:val="bottom"/>
          </w:tcPr>
          <w:p>
            <w:pPr>
              <w:ind w:left="460"/>
              <w:spacing w:after="0"/>
              <w:rPr>
                <w:sz w:val="20"/>
                <w:szCs w:val="20"/>
                <w:color w:val="auto"/>
              </w:rPr>
            </w:pPr>
            <w:r>
              <w:rPr>
                <w:rFonts w:ascii="Arial" w:cs="Arial" w:eastAsia="Arial" w:hAnsi="Arial"/>
                <w:sz w:val="20"/>
                <w:szCs w:val="20"/>
                <w:color w:val="auto"/>
              </w:rPr>
              <w:t>Additional Loan Parties</w:t>
            </w:r>
          </w:p>
        </w:tc>
        <w:tc>
          <w:tcPr>
            <w:tcW w:w="278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6.12</w:t>
            </w:r>
          </w:p>
        </w:tc>
        <w:tc>
          <w:tcPr>
            <w:tcW w:w="6880" w:type="dxa"/>
            <w:vAlign w:val="bottom"/>
          </w:tcPr>
          <w:p>
            <w:pPr>
              <w:ind w:left="460"/>
              <w:spacing w:after="0"/>
              <w:rPr>
                <w:sz w:val="20"/>
                <w:szCs w:val="20"/>
                <w:color w:val="auto"/>
              </w:rPr>
            </w:pPr>
            <w:r>
              <w:rPr>
                <w:rFonts w:ascii="Arial" w:cs="Arial" w:eastAsia="Arial" w:hAnsi="Arial"/>
                <w:sz w:val="20"/>
                <w:szCs w:val="20"/>
                <w:color w:val="auto"/>
              </w:rPr>
              <w:t>Cash Management</w:t>
            </w:r>
          </w:p>
        </w:tc>
        <w:tc>
          <w:tcPr>
            <w:tcW w:w="27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6.13</w:t>
            </w:r>
          </w:p>
        </w:tc>
        <w:tc>
          <w:tcPr>
            <w:tcW w:w="6880" w:type="dxa"/>
            <w:vAlign w:val="bottom"/>
          </w:tcPr>
          <w:p>
            <w:pPr>
              <w:ind w:left="460"/>
              <w:spacing w:after="0"/>
              <w:rPr>
                <w:sz w:val="20"/>
                <w:szCs w:val="20"/>
                <w:color w:val="auto"/>
              </w:rPr>
            </w:pPr>
            <w:r>
              <w:rPr>
                <w:rFonts w:ascii="Arial" w:cs="Arial" w:eastAsia="Arial" w:hAnsi="Arial"/>
                <w:sz w:val="20"/>
                <w:szCs w:val="20"/>
                <w:color w:val="auto"/>
              </w:rPr>
              <w:t>Information Regarding the Collateral</w:t>
            </w:r>
          </w:p>
        </w:tc>
        <w:tc>
          <w:tcPr>
            <w:tcW w:w="278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646"/>
        </w:trPr>
        <w:tc>
          <w:tcPr>
            <w:tcW w:w="158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6880" w:type="dxa"/>
            <w:vAlign w:val="bottom"/>
          </w:tcPr>
          <w:p>
            <w:pPr>
              <w:ind w:left="3940"/>
              <w:spacing w:after="0"/>
              <w:rPr>
                <w:sz w:val="20"/>
                <w:szCs w:val="20"/>
                <w:color w:val="auto"/>
              </w:rPr>
            </w:pPr>
            <w:r>
              <w:rPr>
                <w:rFonts w:ascii="Arial" w:cs="Arial" w:eastAsia="Arial" w:hAnsi="Arial"/>
                <w:sz w:val="20"/>
                <w:szCs w:val="20"/>
                <w:color w:val="auto"/>
              </w:rPr>
              <w:t>-3-</w:t>
            </w:r>
          </w:p>
        </w:tc>
        <w:tc>
          <w:tcPr>
            <w:tcW w:w="2780" w:type="dxa"/>
            <w:vAlign w:val="bottom"/>
          </w:tcPr>
          <w:p>
            <w:pPr>
              <w:spacing w:after="0"/>
              <w:rPr>
                <w:sz w:val="24"/>
                <w:szCs w:val="24"/>
                <w:color w:val="auto"/>
              </w:rPr>
            </w:pPr>
          </w:p>
        </w:tc>
      </w:tr>
      <w:tr>
        <w:trPr>
          <w:trHeight w:val="383"/>
        </w:trPr>
        <w:tc>
          <w:tcPr>
            <w:tcW w:w="158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1580" w:type="dxa"/>
            <w:vAlign w:val="bottom"/>
          </w:tcPr>
          <w:p>
            <w:pPr>
              <w:ind w:left="660"/>
              <w:spacing w:after="0"/>
              <w:rPr>
                <w:sz w:val="20"/>
                <w:szCs w:val="20"/>
                <w:color w:val="auto"/>
              </w:rPr>
            </w:pPr>
            <w:r>
              <w:rPr>
                <w:rFonts w:ascii="Arial" w:cs="Arial" w:eastAsia="Arial" w:hAnsi="Arial"/>
                <w:sz w:val="20"/>
                <w:szCs w:val="20"/>
                <w:color w:val="auto"/>
              </w:rPr>
              <w:t>6.14</w:t>
            </w:r>
          </w:p>
        </w:tc>
        <w:tc>
          <w:tcPr>
            <w:tcW w:w="6940" w:type="dxa"/>
            <w:vAlign w:val="bottom"/>
          </w:tcPr>
          <w:p>
            <w:pPr>
              <w:ind w:left="460"/>
              <w:spacing w:after="0"/>
              <w:rPr>
                <w:sz w:val="20"/>
                <w:szCs w:val="20"/>
                <w:color w:val="auto"/>
              </w:rPr>
            </w:pPr>
            <w:r>
              <w:rPr>
                <w:rFonts w:ascii="Arial" w:cs="Arial" w:eastAsia="Arial" w:hAnsi="Arial"/>
                <w:sz w:val="20"/>
                <w:szCs w:val="20"/>
                <w:color w:val="auto"/>
              </w:rPr>
              <w:t>Physical Inventories</w:t>
            </w:r>
          </w:p>
        </w:tc>
        <w:tc>
          <w:tcPr>
            <w:tcW w:w="272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6.15</w:t>
            </w:r>
          </w:p>
        </w:tc>
        <w:tc>
          <w:tcPr>
            <w:tcW w:w="6940" w:type="dxa"/>
            <w:vAlign w:val="bottom"/>
          </w:tcPr>
          <w:p>
            <w:pPr>
              <w:ind w:left="460"/>
              <w:spacing w:after="0"/>
              <w:rPr>
                <w:sz w:val="20"/>
                <w:szCs w:val="20"/>
                <w:color w:val="auto"/>
              </w:rPr>
            </w:pPr>
            <w:r>
              <w:rPr>
                <w:rFonts w:ascii="Arial" w:cs="Arial" w:eastAsia="Arial" w:hAnsi="Arial"/>
                <w:sz w:val="20"/>
                <w:szCs w:val="20"/>
                <w:color w:val="auto"/>
              </w:rPr>
              <w:t>Environmental Laws</w:t>
            </w:r>
          </w:p>
        </w:tc>
        <w:tc>
          <w:tcPr>
            <w:tcW w:w="27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6.16</w:t>
            </w:r>
          </w:p>
        </w:tc>
        <w:tc>
          <w:tcPr>
            <w:tcW w:w="6940" w:type="dxa"/>
            <w:vAlign w:val="bottom"/>
          </w:tcPr>
          <w:p>
            <w:pPr>
              <w:ind w:left="460"/>
              <w:spacing w:after="0"/>
              <w:rPr>
                <w:sz w:val="20"/>
                <w:szCs w:val="20"/>
                <w:color w:val="auto"/>
              </w:rPr>
            </w:pPr>
            <w:r>
              <w:rPr>
                <w:rFonts w:ascii="Arial" w:cs="Arial" w:eastAsia="Arial" w:hAnsi="Arial"/>
                <w:sz w:val="20"/>
                <w:szCs w:val="20"/>
                <w:color w:val="auto"/>
              </w:rPr>
              <w:t>Further Assurances</w:t>
            </w:r>
          </w:p>
        </w:tc>
        <w:tc>
          <w:tcPr>
            <w:tcW w:w="27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6.17</w:t>
            </w:r>
          </w:p>
        </w:tc>
        <w:tc>
          <w:tcPr>
            <w:tcW w:w="6940" w:type="dxa"/>
            <w:vAlign w:val="bottom"/>
          </w:tcPr>
          <w:p>
            <w:pPr>
              <w:ind w:left="460"/>
              <w:spacing w:after="0"/>
              <w:rPr>
                <w:sz w:val="20"/>
                <w:szCs w:val="20"/>
                <w:color w:val="auto"/>
              </w:rPr>
            </w:pPr>
            <w:r>
              <w:rPr>
                <w:rFonts w:ascii="Arial" w:cs="Arial" w:eastAsia="Arial" w:hAnsi="Arial"/>
                <w:sz w:val="20"/>
                <w:szCs w:val="20"/>
                <w:color w:val="auto"/>
              </w:rPr>
              <w:t>Compliance with Terms of Leaseholds</w:t>
            </w:r>
          </w:p>
        </w:tc>
        <w:tc>
          <w:tcPr>
            <w:tcW w:w="27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6.18</w:t>
            </w:r>
          </w:p>
        </w:tc>
        <w:tc>
          <w:tcPr>
            <w:tcW w:w="6940" w:type="dxa"/>
            <w:vAlign w:val="bottom"/>
          </w:tcPr>
          <w:p>
            <w:pPr>
              <w:ind w:left="460"/>
              <w:spacing w:after="0"/>
              <w:rPr>
                <w:sz w:val="20"/>
                <w:szCs w:val="20"/>
                <w:color w:val="auto"/>
              </w:rPr>
            </w:pPr>
            <w:r>
              <w:rPr>
                <w:rFonts w:ascii="Arial" w:cs="Arial" w:eastAsia="Arial" w:hAnsi="Arial"/>
                <w:sz w:val="20"/>
                <w:szCs w:val="20"/>
                <w:color w:val="auto"/>
              </w:rPr>
              <w:t>Material Contracts</w:t>
            </w:r>
          </w:p>
        </w:tc>
        <w:tc>
          <w:tcPr>
            <w:tcW w:w="27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6.19</w:t>
            </w:r>
          </w:p>
        </w:tc>
        <w:tc>
          <w:tcPr>
            <w:tcW w:w="6940" w:type="dxa"/>
            <w:vAlign w:val="bottom"/>
          </w:tcPr>
          <w:p>
            <w:pPr>
              <w:ind w:left="460"/>
              <w:spacing w:after="0"/>
              <w:rPr>
                <w:sz w:val="20"/>
                <w:szCs w:val="20"/>
                <w:color w:val="auto"/>
              </w:rPr>
            </w:pPr>
            <w:r>
              <w:rPr>
                <w:rFonts w:ascii="Arial" w:cs="Arial" w:eastAsia="Arial" w:hAnsi="Arial"/>
                <w:sz w:val="20"/>
                <w:szCs w:val="20"/>
                <w:color w:val="auto"/>
              </w:rPr>
              <w:t>OFAC; Sanctions</w:t>
            </w:r>
          </w:p>
        </w:tc>
        <w:tc>
          <w:tcPr>
            <w:tcW w:w="27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378"/>
        </w:trPr>
        <w:tc>
          <w:tcPr>
            <w:tcW w:w="8520" w:type="dxa"/>
            <w:vAlign w:val="bottom"/>
            <w:gridSpan w:val="2"/>
          </w:tcPr>
          <w:p>
            <w:pPr>
              <w:ind w:left="20"/>
              <w:spacing w:after="0"/>
              <w:rPr>
                <w:sz w:val="20"/>
                <w:szCs w:val="20"/>
                <w:color w:val="auto"/>
              </w:rPr>
            </w:pPr>
            <w:r>
              <w:rPr>
                <w:rFonts w:ascii="Arial" w:cs="Arial" w:eastAsia="Arial" w:hAnsi="Arial"/>
                <w:sz w:val="20"/>
                <w:szCs w:val="20"/>
                <w:color w:val="auto"/>
              </w:rPr>
              <w:t>ARTICLE VII NEGATIVE COVENANTS</w:t>
            </w:r>
          </w:p>
        </w:tc>
        <w:tc>
          <w:tcPr>
            <w:tcW w:w="27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7.01</w:t>
            </w:r>
          </w:p>
        </w:tc>
        <w:tc>
          <w:tcPr>
            <w:tcW w:w="6940" w:type="dxa"/>
            <w:vAlign w:val="bottom"/>
          </w:tcPr>
          <w:p>
            <w:pPr>
              <w:ind w:left="460"/>
              <w:spacing w:after="0"/>
              <w:rPr>
                <w:sz w:val="20"/>
                <w:szCs w:val="20"/>
                <w:color w:val="auto"/>
              </w:rPr>
            </w:pPr>
            <w:r>
              <w:rPr>
                <w:rFonts w:ascii="Arial" w:cs="Arial" w:eastAsia="Arial" w:hAnsi="Arial"/>
                <w:sz w:val="20"/>
                <w:szCs w:val="20"/>
                <w:color w:val="auto"/>
              </w:rPr>
              <w:t>Liens</w:t>
            </w:r>
          </w:p>
        </w:tc>
        <w:tc>
          <w:tcPr>
            <w:tcW w:w="27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7.02</w:t>
            </w:r>
          </w:p>
        </w:tc>
        <w:tc>
          <w:tcPr>
            <w:tcW w:w="6940" w:type="dxa"/>
            <w:vAlign w:val="bottom"/>
          </w:tcPr>
          <w:p>
            <w:pPr>
              <w:ind w:left="460"/>
              <w:spacing w:after="0"/>
              <w:rPr>
                <w:sz w:val="20"/>
                <w:szCs w:val="20"/>
                <w:color w:val="auto"/>
              </w:rPr>
            </w:pPr>
            <w:r>
              <w:rPr>
                <w:rFonts w:ascii="Arial" w:cs="Arial" w:eastAsia="Arial" w:hAnsi="Arial"/>
                <w:sz w:val="20"/>
                <w:szCs w:val="20"/>
                <w:color w:val="auto"/>
              </w:rPr>
              <w:t>Investments</w:t>
            </w:r>
          </w:p>
        </w:tc>
        <w:tc>
          <w:tcPr>
            <w:tcW w:w="27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7.03</w:t>
            </w:r>
          </w:p>
        </w:tc>
        <w:tc>
          <w:tcPr>
            <w:tcW w:w="6940" w:type="dxa"/>
            <w:vAlign w:val="bottom"/>
          </w:tcPr>
          <w:p>
            <w:pPr>
              <w:ind w:left="460"/>
              <w:spacing w:after="0"/>
              <w:rPr>
                <w:sz w:val="20"/>
                <w:szCs w:val="20"/>
                <w:color w:val="auto"/>
              </w:rPr>
            </w:pPr>
            <w:r>
              <w:rPr>
                <w:rFonts w:ascii="Arial" w:cs="Arial" w:eastAsia="Arial" w:hAnsi="Arial"/>
                <w:sz w:val="20"/>
                <w:szCs w:val="20"/>
                <w:color w:val="auto"/>
              </w:rPr>
              <w:t>Indebtedness; Disqualified Stock; Equity Issuances</w:t>
            </w:r>
          </w:p>
        </w:tc>
        <w:tc>
          <w:tcPr>
            <w:tcW w:w="272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7.04</w:t>
            </w:r>
          </w:p>
        </w:tc>
        <w:tc>
          <w:tcPr>
            <w:tcW w:w="6940" w:type="dxa"/>
            <w:vAlign w:val="bottom"/>
          </w:tcPr>
          <w:p>
            <w:pPr>
              <w:ind w:left="460"/>
              <w:spacing w:after="0"/>
              <w:rPr>
                <w:sz w:val="20"/>
                <w:szCs w:val="20"/>
                <w:color w:val="auto"/>
              </w:rPr>
            </w:pPr>
            <w:r>
              <w:rPr>
                <w:rFonts w:ascii="Arial" w:cs="Arial" w:eastAsia="Arial" w:hAnsi="Arial"/>
                <w:sz w:val="20"/>
                <w:szCs w:val="20"/>
                <w:color w:val="auto"/>
              </w:rPr>
              <w:t>Fundamental Changes</w:t>
            </w:r>
          </w:p>
        </w:tc>
        <w:tc>
          <w:tcPr>
            <w:tcW w:w="272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7.05</w:t>
            </w:r>
          </w:p>
        </w:tc>
        <w:tc>
          <w:tcPr>
            <w:tcW w:w="6940" w:type="dxa"/>
            <w:vAlign w:val="bottom"/>
          </w:tcPr>
          <w:p>
            <w:pPr>
              <w:ind w:left="460"/>
              <w:spacing w:after="0"/>
              <w:rPr>
                <w:sz w:val="20"/>
                <w:szCs w:val="20"/>
                <w:color w:val="auto"/>
              </w:rPr>
            </w:pPr>
            <w:r>
              <w:rPr>
                <w:rFonts w:ascii="Arial" w:cs="Arial" w:eastAsia="Arial" w:hAnsi="Arial"/>
                <w:sz w:val="20"/>
                <w:szCs w:val="20"/>
                <w:color w:val="auto"/>
              </w:rPr>
              <w:t>Dispositions</w:t>
            </w:r>
          </w:p>
        </w:tc>
        <w:tc>
          <w:tcPr>
            <w:tcW w:w="272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7.06</w:t>
            </w:r>
          </w:p>
        </w:tc>
        <w:tc>
          <w:tcPr>
            <w:tcW w:w="6940" w:type="dxa"/>
            <w:vAlign w:val="bottom"/>
          </w:tcPr>
          <w:p>
            <w:pPr>
              <w:ind w:left="460"/>
              <w:spacing w:after="0"/>
              <w:rPr>
                <w:sz w:val="20"/>
                <w:szCs w:val="20"/>
                <w:color w:val="auto"/>
              </w:rPr>
            </w:pPr>
            <w:r>
              <w:rPr>
                <w:rFonts w:ascii="Arial" w:cs="Arial" w:eastAsia="Arial" w:hAnsi="Arial"/>
                <w:sz w:val="20"/>
                <w:szCs w:val="20"/>
                <w:color w:val="auto"/>
              </w:rPr>
              <w:t>Restricted Payments</w:t>
            </w:r>
          </w:p>
        </w:tc>
        <w:tc>
          <w:tcPr>
            <w:tcW w:w="272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7.07</w:t>
            </w:r>
          </w:p>
        </w:tc>
        <w:tc>
          <w:tcPr>
            <w:tcW w:w="6940" w:type="dxa"/>
            <w:vAlign w:val="bottom"/>
          </w:tcPr>
          <w:p>
            <w:pPr>
              <w:ind w:left="460"/>
              <w:spacing w:after="0"/>
              <w:rPr>
                <w:sz w:val="20"/>
                <w:szCs w:val="20"/>
                <w:color w:val="auto"/>
              </w:rPr>
            </w:pPr>
            <w:r>
              <w:rPr>
                <w:rFonts w:ascii="Arial" w:cs="Arial" w:eastAsia="Arial" w:hAnsi="Arial"/>
                <w:sz w:val="20"/>
                <w:szCs w:val="20"/>
                <w:color w:val="auto"/>
              </w:rPr>
              <w:t>Prepayments of Indebtedness</w:t>
            </w:r>
          </w:p>
        </w:tc>
        <w:tc>
          <w:tcPr>
            <w:tcW w:w="27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7.08</w:t>
            </w:r>
          </w:p>
        </w:tc>
        <w:tc>
          <w:tcPr>
            <w:tcW w:w="6940" w:type="dxa"/>
            <w:vAlign w:val="bottom"/>
          </w:tcPr>
          <w:p>
            <w:pPr>
              <w:ind w:left="460"/>
              <w:spacing w:after="0"/>
              <w:rPr>
                <w:sz w:val="20"/>
                <w:szCs w:val="20"/>
                <w:color w:val="auto"/>
              </w:rPr>
            </w:pPr>
            <w:r>
              <w:rPr>
                <w:rFonts w:ascii="Arial" w:cs="Arial" w:eastAsia="Arial" w:hAnsi="Arial"/>
                <w:sz w:val="20"/>
                <w:szCs w:val="20"/>
                <w:color w:val="auto"/>
              </w:rPr>
              <w:t>Change in Nature of Business</w:t>
            </w:r>
          </w:p>
        </w:tc>
        <w:tc>
          <w:tcPr>
            <w:tcW w:w="27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7.09</w:t>
            </w:r>
          </w:p>
        </w:tc>
        <w:tc>
          <w:tcPr>
            <w:tcW w:w="6940" w:type="dxa"/>
            <w:vAlign w:val="bottom"/>
          </w:tcPr>
          <w:p>
            <w:pPr>
              <w:ind w:left="460"/>
              <w:spacing w:after="0"/>
              <w:rPr>
                <w:sz w:val="20"/>
                <w:szCs w:val="20"/>
                <w:color w:val="auto"/>
              </w:rPr>
            </w:pPr>
            <w:r>
              <w:rPr>
                <w:rFonts w:ascii="Arial" w:cs="Arial" w:eastAsia="Arial" w:hAnsi="Arial"/>
                <w:sz w:val="20"/>
                <w:szCs w:val="20"/>
                <w:color w:val="auto"/>
              </w:rPr>
              <w:t>Transactions with Affiliates</w:t>
            </w:r>
          </w:p>
        </w:tc>
        <w:tc>
          <w:tcPr>
            <w:tcW w:w="272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7.10</w:t>
            </w:r>
          </w:p>
        </w:tc>
        <w:tc>
          <w:tcPr>
            <w:tcW w:w="6940" w:type="dxa"/>
            <w:vAlign w:val="bottom"/>
          </w:tcPr>
          <w:p>
            <w:pPr>
              <w:ind w:left="460"/>
              <w:spacing w:after="0"/>
              <w:rPr>
                <w:sz w:val="20"/>
                <w:szCs w:val="20"/>
                <w:color w:val="auto"/>
              </w:rPr>
            </w:pPr>
            <w:r>
              <w:rPr>
                <w:rFonts w:ascii="Arial" w:cs="Arial" w:eastAsia="Arial" w:hAnsi="Arial"/>
                <w:sz w:val="20"/>
                <w:szCs w:val="20"/>
                <w:color w:val="auto"/>
              </w:rPr>
              <w:t>Burdensome Agreements</w:t>
            </w:r>
          </w:p>
        </w:tc>
        <w:tc>
          <w:tcPr>
            <w:tcW w:w="27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7.11</w:t>
            </w:r>
          </w:p>
        </w:tc>
        <w:tc>
          <w:tcPr>
            <w:tcW w:w="6940" w:type="dxa"/>
            <w:vAlign w:val="bottom"/>
          </w:tcPr>
          <w:p>
            <w:pPr>
              <w:ind w:left="460"/>
              <w:spacing w:after="0"/>
              <w:rPr>
                <w:sz w:val="20"/>
                <w:szCs w:val="20"/>
                <w:color w:val="auto"/>
              </w:rPr>
            </w:pPr>
            <w:r>
              <w:rPr>
                <w:rFonts w:ascii="Arial" w:cs="Arial" w:eastAsia="Arial" w:hAnsi="Arial"/>
                <w:sz w:val="20"/>
                <w:szCs w:val="20"/>
                <w:color w:val="auto"/>
              </w:rPr>
              <w:t>Use of Proceeds</w:t>
            </w:r>
          </w:p>
        </w:tc>
        <w:tc>
          <w:tcPr>
            <w:tcW w:w="27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7.12</w:t>
            </w:r>
          </w:p>
        </w:tc>
        <w:tc>
          <w:tcPr>
            <w:tcW w:w="6940" w:type="dxa"/>
            <w:vAlign w:val="bottom"/>
          </w:tcPr>
          <w:p>
            <w:pPr>
              <w:ind w:left="460"/>
              <w:spacing w:after="0"/>
              <w:rPr>
                <w:sz w:val="20"/>
                <w:szCs w:val="20"/>
                <w:color w:val="auto"/>
              </w:rPr>
            </w:pPr>
            <w:r>
              <w:rPr>
                <w:rFonts w:ascii="Arial" w:cs="Arial" w:eastAsia="Arial" w:hAnsi="Arial"/>
                <w:sz w:val="20"/>
                <w:szCs w:val="20"/>
                <w:color w:val="auto"/>
              </w:rPr>
              <w:t>Amendment of Material Documents</w:t>
            </w:r>
          </w:p>
        </w:tc>
        <w:tc>
          <w:tcPr>
            <w:tcW w:w="27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7.13</w:t>
            </w:r>
          </w:p>
        </w:tc>
        <w:tc>
          <w:tcPr>
            <w:tcW w:w="6940" w:type="dxa"/>
            <w:vAlign w:val="bottom"/>
          </w:tcPr>
          <w:p>
            <w:pPr>
              <w:ind w:left="460"/>
              <w:spacing w:after="0"/>
              <w:rPr>
                <w:sz w:val="20"/>
                <w:szCs w:val="20"/>
                <w:color w:val="auto"/>
              </w:rPr>
            </w:pPr>
            <w:r>
              <w:rPr>
                <w:rFonts w:ascii="Arial" w:cs="Arial" w:eastAsia="Arial" w:hAnsi="Arial"/>
                <w:sz w:val="20"/>
                <w:szCs w:val="20"/>
                <w:color w:val="auto"/>
              </w:rPr>
              <w:t>Fiscal Year</w:t>
            </w:r>
          </w:p>
        </w:tc>
        <w:tc>
          <w:tcPr>
            <w:tcW w:w="27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7.14</w:t>
            </w:r>
          </w:p>
        </w:tc>
        <w:tc>
          <w:tcPr>
            <w:tcW w:w="6940" w:type="dxa"/>
            <w:vAlign w:val="bottom"/>
          </w:tcPr>
          <w:p>
            <w:pPr>
              <w:ind w:left="460"/>
              <w:spacing w:after="0"/>
              <w:rPr>
                <w:sz w:val="20"/>
                <w:szCs w:val="20"/>
                <w:color w:val="auto"/>
              </w:rPr>
            </w:pPr>
            <w:r>
              <w:rPr>
                <w:rFonts w:ascii="Arial" w:cs="Arial" w:eastAsia="Arial" w:hAnsi="Arial"/>
                <w:sz w:val="20"/>
                <w:szCs w:val="20"/>
                <w:color w:val="auto"/>
              </w:rPr>
              <w:t>Deposit Accounts; Credit Card Processors</w:t>
            </w:r>
          </w:p>
        </w:tc>
        <w:tc>
          <w:tcPr>
            <w:tcW w:w="272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7.15</w:t>
            </w:r>
          </w:p>
        </w:tc>
        <w:tc>
          <w:tcPr>
            <w:tcW w:w="6940" w:type="dxa"/>
            <w:vAlign w:val="bottom"/>
          </w:tcPr>
          <w:p>
            <w:pPr>
              <w:ind w:left="460"/>
              <w:spacing w:after="0"/>
              <w:rPr>
                <w:sz w:val="20"/>
                <w:szCs w:val="20"/>
                <w:color w:val="auto"/>
              </w:rPr>
            </w:pPr>
            <w:r>
              <w:rPr>
                <w:rFonts w:ascii="Arial" w:cs="Arial" w:eastAsia="Arial" w:hAnsi="Arial"/>
                <w:sz w:val="20"/>
                <w:szCs w:val="20"/>
                <w:color w:val="auto"/>
              </w:rPr>
              <w:t>Financial Covenant</w:t>
            </w:r>
          </w:p>
        </w:tc>
        <w:tc>
          <w:tcPr>
            <w:tcW w:w="27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8520" w:type="dxa"/>
            <w:vAlign w:val="bottom"/>
            <w:gridSpan w:val="2"/>
          </w:tcPr>
          <w:p>
            <w:pPr>
              <w:ind w:left="20"/>
              <w:spacing w:after="0"/>
              <w:rPr>
                <w:sz w:val="20"/>
                <w:szCs w:val="20"/>
                <w:color w:val="auto"/>
              </w:rPr>
            </w:pPr>
            <w:r>
              <w:rPr>
                <w:rFonts w:ascii="Arial" w:cs="Arial" w:eastAsia="Arial" w:hAnsi="Arial"/>
                <w:sz w:val="20"/>
                <w:szCs w:val="20"/>
                <w:color w:val="auto"/>
              </w:rPr>
              <w:t>ARTICLE VIII EVENTS OF DEFAULT AND REMEDIES</w:t>
            </w:r>
          </w:p>
        </w:tc>
        <w:tc>
          <w:tcPr>
            <w:tcW w:w="27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8.01</w:t>
            </w:r>
          </w:p>
        </w:tc>
        <w:tc>
          <w:tcPr>
            <w:tcW w:w="6940" w:type="dxa"/>
            <w:vAlign w:val="bottom"/>
          </w:tcPr>
          <w:p>
            <w:pPr>
              <w:ind w:left="460"/>
              <w:spacing w:after="0"/>
              <w:rPr>
                <w:sz w:val="20"/>
                <w:szCs w:val="20"/>
                <w:color w:val="auto"/>
              </w:rPr>
            </w:pPr>
            <w:r>
              <w:rPr>
                <w:rFonts w:ascii="Arial" w:cs="Arial" w:eastAsia="Arial" w:hAnsi="Arial"/>
                <w:sz w:val="20"/>
                <w:szCs w:val="20"/>
                <w:color w:val="auto"/>
              </w:rPr>
              <w:t>Events of Default</w:t>
            </w:r>
          </w:p>
        </w:tc>
        <w:tc>
          <w:tcPr>
            <w:tcW w:w="27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8.02</w:t>
            </w:r>
          </w:p>
        </w:tc>
        <w:tc>
          <w:tcPr>
            <w:tcW w:w="6940" w:type="dxa"/>
            <w:vAlign w:val="bottom"/>
          </w:tcPr>
          <w:p>
            <w:pPr>
              <w:ind w:left="460"/>
              <w:spacing w:after="0"/>
              <w:rPr>
                <w:sz w:val="20"/>
                <w:szCs w:val="20"/>
                <w:color w:val="auto"/>
              </w:rPr>
            </w:pPr>
            <w:r>
              <w:rPr>
                <w:rFonts w:ascii="Arial" w:cs="Arial" w:eastAsia="Arial" w:hAnsi="Arial"/>
                <w:sz w:val="20"/>
                <w:szCs w:val="20"/>
                <w:color w:val="auto"/>
              </w:rPr>
              <w:t>Remedies Upon Event of Default</w:t>
            </w:r>
          </w:p>
        </w:tc>
        <w:tc>
          <w:tcPr>
            <w:tcW w:w="27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8.03</w:t>
            </w:r>
          </w:p>
        </w:tc>
        <w:tc>
          <w:tcPr>
            <w:tcW w:w="6940" w:type="dxa"/>
            <w:vAlign w:val="bottom"/>
          </w:tcPr>
          <w:p>
            <w:pPr>
              <w:ind w:left="460"/>
              <w:spacing w:after="0"/>
              <w:rPr>
                <w:sz w:val="20"/>
                <w:szCs w:val="20"/>
                <w:color w:val="auto"/>
              </w:rPr>
            </w:pPr>
            <w:r>
              <w:rPr>
                <w:rFonts w:ascii="Arial" w:cs="Arial" w:eastAsia="Arial" w:hAnsi="Arial"/>
                <w:sz w:val="20"/>
                <w:szCs w:val="20"/>
                <w:color w:val="auto"/>
              </w:rPr>
              <w:t>Application of Proceeds of Collateral</w:t>
            </w:r>
          </w:p>
        </w:tc>
        <w:tc>
          <w:tcPr>
            <w:tcW w:w="27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78"/>
        </w:trPr>
        <w:tc>
          <w:tcPr>
            <w:tcW w:w="8520" w:type="dxa"/>
            <w:vAlign w:val="bottom"/>
            <w:gridSpan w:val="2"/>
          </w:tcPr>
          <w:p>
            <w:pPr>
              <w:ind w:left="20"/>
              <w:spacing w:after="0"/>
              <w:rPr>
                <w:sz w:val="20"/>
                <w:szCs w:val="20"/>
                <w:color w:val="auto"/>
              </w:rPr>
            </w:pPr>
            <w:r>
              <w:rPr>
                <w:rFonts w:ascii="Arial" w:cs="Arial" w:eastAsia="Arial" w:hAnsi="Arial"/>
                <w:sz w:val="20"/>
                <w:szCs w:val="20"/>
                <w:color w:val="auto"/>
              </w:rPr>
              <w:t>ARTICLE IX THE AGENTS</w:t>
            </w:r>
          </w:p>
        </w:tc>
        <w:tc>
          <w:tcPr>
            <w:tcW w:w="27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378"/>
        </w:trPr>
        <w:tc>
          <w:tcPr>
            <w:tcW w:w="1580" w:type="dxa"/>
            <w:vAlign w:val="bottom"/>
          </w:tcPr>
          <w:p>
            <w:pPr>
              <w:ind w:left="660"/>
              <w:spacing w:after="0"/>
              <w:rPr>
                <w:sz w:val="20"/>
                <w:szCs w:val="20"/>
                <w:color w:val="auto"/>
              </w:rPr>
            </w:pPr>
            <w:r>
              <w:rPr>
                <w:rFonts w:ascii="Arial" w:cs="Arial" w:eastAsia="Arial" w:hAnsi="Arial"/>
                <w:sz w:val="20"/>
                <w:szCs w:val="20"/>
                <w:color w:val="auto"/>
              </w:rPr>
              <w:t>9.01</w:t>
            </w:r>
          </w:p>
        </w:tc>
        <w:tc>
          <w:tcPr>
            <w:tcW w:w="6940" w:type="dxa"/>
            <w:vAlign w:val="bottom"/>
          </w:tcPr>
          <w:p>
            <w:pPr>
              <w:ind w:left="460"/>
              <w:spacing w:after="0"/>
              <w:rPr>
                <w:sz w:val="20"/>
                <w:szCs w:val="20"/>
                <w:color w:val="auto"/>
              </w:rPr>
            </w:pPr>
            <w:r>
              <w:rPr>
                <w:rFonts w:ascii="Arial" w:cs="Arial" w:eastAsia="Arial" w:hAnsi="Arial"/>
                <w:sz w:val="20"/>
                <w:szCs w:val="20"/>
                <w:color w:val="auto"/>
              </w:rPr>
              <w:t>Appointment and Authority</w:t>
            </w:r>
          </w:p>
        </w:tc>
        <w:tc>
          <w:tcPr>
            <w:tcW w:w="27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9.02</w:t>
            </w:r>
          </w:p>
        </w:tc>
        <w:tc>
          <w:tcPr>
            <w:tcW w:w="6940" w:type="dxa"/>
            <w:vAlign w:val="bottom"/>
          </w:tcPr>
          <w:p>
            <w:pPr>
              <w:ind w:left="460"/>
              <w:spacing w:after="0"/>
              <w:rPr>
                <w:sz w:val="20"/>
                <w:szCs w:val="20"/>
                <w:color w:val="auto"/>
              </w:rPr>
            </w:pPr>
            <w:r>
              <w:rPr>
                <w:rFonts w:ascii="Arial" w:cs="Arial" w:eastAsia="Arial" w:hAnsi="Arial"/>
                <w:sz w:val="20"/>
                <w:szCs w:val="20"/>
                <w:color w:val="auto"/>
              </w:rPr>
              <w:t>Rights as a Lender</w:t>
            </w:r>
          </w:p>
        </w:tc>
        <w:tc>
          <w:tcPr>
            <w:tcW w:w="27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9.03</w:t>
            </w:r>
          </w:p>
        </w:tc>
        <w:tc>
          <w:tcPr>
            <w:tcW w:w="6940" w:type="dxa"/>
            <w:vAlign w:val="bottom"/>
          </w:tcPr>
          <w:p>
            <w:pPr>
              <w:ind w:left="460"/>
              <w:spacing w:after="0"/>
              <w:rPr>
                <w:sz w:val="20"/>
                <w:szCs w:val="20"/>
                <w:color w:val="auto"/>
              </w:rPr>
            </w:pPr>
            <w:r>
              <w:rPr>
                <w:rFonts w:ascii="Arial" w:cs="Arial" w:eastAsia="Arial" w:hAnsi="Arial"/>
                <w:sz w:val="20"/>
                <w:szCs w:val="20"/>
                <w:color w:val="auto"/>
              </w:rPr>
              <w:t>Exculpatory Provisions</w:t>
            </w:r>
          </w:p>
        </w:tc>
        <w:tc>
          <w:tcPr>
            <w:tcW w:w="27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9.04</w:t>
            </w:r>
          </w:p>
        </w:tc>
        <w:tc>
          <w:tcPr>
            <w:tcW w:w="6940" w:type="dxa"/>
            <w:vAlign w:val="bottom"/>
          </w:tcPr>
          <w:p>
            <w:pPr>
              <w:ind w:left="460"/>
              <w:spacing w:after="0"/>
              <w:rPr>
                <w:sz w:val="20"/>
                <w:szCs w:val="20"/>
                <w:color w:val="auto"/>
              </w:rPr>
            </w:pPr>
            <w:r>
              <w:rPr>
                <w:rFonts w:ascii="Arial" w:cs="Arial" w:eastAsia="Arial" w:hAnsi="Arial"/>
                <w:sz w:val="20"/>
                <w:szCs w:val="20"/>
                <w:color w:val="auto"/>
              </w:rPr>
              <w:t>Reliance by Agent</w:t>
            </w:r>
          </w:p>
        </w:tc>
        <w:tc>
          <w:tcPr>
            <w:tcW w:w="27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9.05</w:t>
            </w:r>
          </w:p>
        </w:tc>
        <w:tc>
          <w:tcPr>
            <w:tcW w:w="6940" w:type="dxa"/>
            <w:vAlign w:val="bottom"/>
          </w:tcPr>
          <w:p>
            <w:pPr>
              <w:ind w:left="460"/>
              <w:spacing w:after="0"/>
              <w:rPr>
                <w:sz w:val="20"/>
                <w:szCs w:val="20"/>
                <w:color w:val="auto"/>
              </w:rPr>
            </w:pPr>
            <w:r>
              <w:rPr>
                <w:rFonts w:ascii="Arial" w:cs="Arial" w:eastAsia="Arial" w:hAnsi="Arial"/>
                <w:sz w:val="20"/>
                <w:szCs w:val="20"/>
                <w:color w:val="auto"/>
              </w:rPr>
              <w:t>Delegation of Duties</w:t>
            </w:r>
          </w:p>
        </w:tc>
        <w:tc>
          <w:tcPr>
            <w:tcW w:w="27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9.06</w:t>
            </w:r>
          </w:p>
        </w:tc>
        <w:tc>
          <w:tcPr>
            <w:tcW w:w="6940" w:type="dxa"/>
            <w:vAlign w:val="bottom"/>
          </w:tcPr>
          <w:p>
            <w:pPr>
              <w:ind w:left="460"/>
              <w:spacing w:after="0"/>
              <w:rPr>
                <w:sz w:val="20"/>
                <w:szCs w:val="20"/>
                <w:color w:val="auto"/>
              </w:rPr>
            </w:pPr>
            <w:r>
              <w:rPr>
                <w:rFonts w:ascii="Arial" w:cs="Arial" w:eastAsia="Arial" w:hAnsi="Arial"/>
                <w:sz w:val="20"/>
                <w:szCs w:val="20"/>
                <w:color w:val="auto"/>
              </w:rPr>
              <w:t>Resignation of Agent</w:t>
            </w:r>
          </w:p>
        </w:tc>
        <w:tc>
          <w:tcPr>
            <w:tcW w:w="27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9.07</w:t>
            </w:r>
          </w:p>
        </w:tc>
        <w:tc>
          <w:tcPr>
            <w:tcW w:w="6940" w:type="dxa"/>
            <w:vAlign w:val="bottom"/>
          </w:tcPr>
          <w:p>
            <w:pPr>
              <w:ind w:left="460"/>
              <w:spacing w:after="0"/>
              <w:rPr>
                <w:sz w:val="20"/>
                <w:szCs w:val="20"/>
                <w:color w:val="auto"/>
              </w:rPr>
            </w:pPr>
            <w:r>
              <w:rPr>
                <w:rFonts w:ascii="Arial" w:cs="Arial" w:eastAsia="Arial" w:hAnsi="Arial"/>
                <w:sz w:val="20"/>
                <w:szCs w:val="20"/>
                <w:color w:val="auto"/>
              </w:rPr>
              <w:t>Non-Reliance on Agent and Other Lenders</w:t>
            </w:r>
          </w:p>
        </w:tc>
        <w:tc>
          <w:tcPr>
            <w:tcW w:w="272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9.08</w:t>
            </w:r>
          </w:p>
        </w:tc>
        <w:tc>
          <w:tcPr>
            <w:tcW w:w="6940" w:type="dxa"/>
            <w:vAlign w:val="bottom"/>
          </w:tcPr>
          <w:p>
            <w:pPr>
              <w:ind w:left="460"/>
              <w:spacing w:after="0"/>
              <w:rPr>
                <w:sz w:val="20"/>
                <w:szCs w:val="20"/>
                <w:color w:val="auto"/>
              </w:rPr>
            </w:pPr>
            <w:r>
              <w:rPr>
                <w:rFonts w:ascii="Arial" w:cs="Arial" w:eastAsia="Arial" w:hAnsi="Arial"/>
                <w:sz w:val="20"/>
                <w:szCs w:val="20"/>
                <w:color w:val="auto"/>
              </w:rPr>
              <w:t>No Other Duties, Etc.</w:t>
            </w:r>
          </w:p>
        </w:tc>
        <w:tc>
          <w:tcPr>
            <w:tcW w:w="27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9.09</w:t>
            </w:r>
          </w:p>
        </w:tc>
        <w:tc>
          <w:tcPr>
            <w:tcW w:w="6940" w:type="dxa"/>
            <w:vAlign w:val="bottom"/>
          </w:tcPr>
          <w:p>
            <w:pPr>
              <w:ind w:left="460"/>
              <w:spacing w:after="0"/>
              <w:rPr>
                <w:sz w:val="20"/>
                <w:szCs w:val="20"/>
                <w:color w:val="auto"/>
              </w:rPr>
            </w:pPr>
            <w:r>
              <w:rPr>
                <w:rFonts w:ascii="Arial" w:cs="Arial" w:eastAsia="Arial" w:hAnsi="Arial"/>
                <w:sz w:val="20"/>
                <w:szCs w:val="20"/>
                <w:color w:val="auto"/>
              </w:rPr>
              <w:t>Agent May File Proofs of Claim</w:t>
            </w:r>
          </w:p>
        </w:tc>
        <w:tc>
          <w:tcPr>
            <w:tcW w:w="27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9.10</w:t>
            </w:r>
          </w:p>
        </w:tc>
        <w:tc>
          <w:tcPr>
            <w:tcW w:w="6940" w:type="dxa"/>
            <w:vAlign w:val="bottom"/>
          </w:tcPr>
          <w:p>
            <w:pPr>
              <w:ind w:left="460"/>
              <w:spacing w:after="0"/>
              <w:rPr>
                <w:sz w:val="20"/>
                <w:szCs w:val="20"/>
                <w:color w:val="auto"/>
              </w:rPr>
            </w:pPr>
            <w:r>
              <w:rPr>
                <w:rFonts w:ascii="Arial" w:cs="Arial" w:eastAsia="Arial" w:hAnsi="Arial"/>
                <w:sz w:val="20"/>
                <w:szCs w:val="20"/>
                <w:color w:val="auto"/>
              </w:rPr>
              <w:t>Collateral and Guaranty Matters</w:t>
            </w:r>
          </w:p>
        </w:tc>
        <w:tc>
          <w:tcPr>
            <w:tcW w:w="27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9.11</w:t>
            </w:r>
          </w:p>
        </w:tc>
        <w:tc>
          <w:tcPr>
            <w:tcW w:w="6940" w:type="dxa"/>
            <w:vAlign w:val="bottom"/>
          </w:tcPr>
          <w:p>
            <w:pPr>
              <w:ind w:left="460"/>
              <w:spacing w:after="0"/>
              <w:rPr>
                <w:sz w:val="20"/>
                <w:szCs w:val="20"/>
                <w:color w:val="auto"/>
              </w:rPr>
            </w:pPr>
            <w:r>
              <w:rPr>
                <w:rFonts w:ascii="Arial" w:cs="Arial" w:eastAsia="Arial" w:hAnsi="Arial"/>
                <w:sz w:val="20"/>
                <w:szCs w:val="20"/>
                <w:color w:val="auto"/>
              </w:rPr>
              <w:t>Notice of Transfer</w:t>
            </w:r>
          </w:p>
        </w:tc>
        <w:tc>
          <w:tcPr>
            <w:tcW w:w="27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9.12</w:t>
            </w:r>
          </w:p>
        </w:tc>
        <w:tc>
          <w:tcPr>
            <w:tcW w:w="6940" w:type="dxa"/>
            <w:vAlign w:val="bottom"/>
          </w:tcPr>
          <w:p>
            <w:pPr>
              <w:ind w:left="460"/>
              <w:spacing w:after="0"/>
              <w:rPr>
                <w:sz w:val="20"/>
                <w:szCs w:val="20"/>
                <w:color w:val="auto"/>
              </w:rPr>
            </w:pPr>
            <w:r>
              <w:rPr>
                <w:rFonts w:ascii="Arial" w:cs="Arial" w:eastAsia="Arial" w:hAnsi="Arial"/>
                <w:sz w:val="20"/>
                <w:szCs w:val="20"/>
                <w:color w:val="auto"/>
              </w:rPr>
              <w:t>Reports and Financial Statements</w:t>
            </w:r>
          </w:p>
        </w:tc>
        <w:tc>
          <w:tcPr>
            <w:tcW w:w="27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9.13</w:t>
            </w:r>
          </w:p>
        </w:tc>
        <w:tc>
          <w:tcPr>
            <w:tcW w:w="6940" w:type="dxa"/>
            <w:vAlign w:val="bottom"/>
          </w:tcPr>
          <w:p>
            <w:pPr>
              <w:ind w:left="460"/>
              <w:spacing w:after="0"/>
              <w:rPr>
                <w:sz w:val="20"/>
                <w:szCs w:val="20"/>
                <w:color w:val="auto"/>
              </w:rPr>
            </w:pPr>
            <w:r>
              <w:rPr>
                <w:rFonts w:ascii="Arial" w:cs="Arial" w:eastAsia="Arial" w:hAnsi="Arial"/>
                <w:sz w:val="20"/>
                <w:szCs w:val="20"/>
                <w:color w:val="auto"/>
              </w:rPr>
              <w:t>Agency for Perfection</w:t>
            </w:r>
          </w:p>
        </w:tc>
        <w:tc>
          <w:tcPr>
            <w:tcW w:w="27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9.14</w:t>
            </w:r>
          </w:p>
        </w:tc>
        <w:tc>
          <w:tcPr>
            <w:tcW w:w="6940" w:type="dxa"/>
            <w:vAlign w:val="bottom"/>
          </w:tcPr>
          <w:p>
            <w:pPr>
              <w:ind w:left="460"/>
              <w:spacing w:after="0"/>
              <w:rPr>
                <w:sz w:val="20"/>
                <w:szCs w:val="20"/>
                <w:color w:val="auto"/>
              </w:rPr>
            </w:pPr>
            <w:r>
              <w:rPr>
                <w:rFonts w:ascii="Arial" w:cs="Arial" w:eastAsia="Arial" w:hAnsi="Arial"/>
                <w:sz w:val="20"/>
                <w:szCs w:val="20"/>
                <w:color w:val="auto"/>
              </w:rPr>
              <w:t>Indemnification of Agent</w:t>
            </w:r>
          </w:p>
        </w:tc>
        <w:tc>
          <w:tcPr>
            <w:tcW w:w="27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70"/>
        </w:trPr>
        <w:tc>
          <w:tcPr>
            <w:tcW w:w="1580" w:type="dxa"/>
            <w:vAlign w:val="bottom"/>
          </w:tcPr>
          <w:p>
            <w:pPr>
              <w:ind w:left="660"/>
              <w:spacing w:after="0"/>
              <w:rPr>
                <w:sz w:val="20"/>
                <w:szCs w:val="20"/>
                <w:color w:val="auto"/>
              </w:rPr>
            </w:pPr>
            <w:r>
              <w:rPr>
                <w:rFonts w:ascii="Arial" w:cs="Arial" w:eastAsia="Arial" w:hAnsi="Arial"/>
                <w:sz w:val="20"/>
                <w:szCs w:val="20"/>
                <w:color w:val="auto"/>
              </w:rPr>
              <w:t>9.15</w:t>
            </w:r>
          </w:p>
        </w:tc>
        <w:tc>
          <w:tcPr>
            <w:tcW w:w="6940" w:type="dxa"/>
            <w:vAlign w:val="bottom"/>
          </w:tcPr>
          <w:p>
            <w:pPr>
              <w:ind w:left="460"/>
              <w:spacing w:after="0"/>
              <w:rPr>
                <w:sz w:val="20"/>
                <w:szCs w:val="20"/>
                <w:color w:val="auto"/>
              </w:rPr>
            </w:pPr>
            <w:r>
              <w:rPr>
                <w:rFonts w:ascii="Arial" w:cs="Arial" w:eastAsia="Arial" w:hAnsi="Arial"/>
                <w:sz w:val="20"/>
                <w:szCs w:val="20"/>
                <w:color w:val="auto"/>
              </w:rPr>
              <w:t>Relation among Lenders</w:t>
            </w:r>
          </w:p>
        </w:tc>
        <w:tc>
          <w:tcPr>
            <w:tcW w:w="27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646"/>
        </w:trPr>
        <w:tc>
          <w:tcPr>
            <w:tcW w:w="158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6940" w:type="dxa"/>
            <w:vAlign w:val="bottom"/>
          </w:tcPr>
          <w:p>
            <w:pPr>
              <w:ind w:left="3940"/>
              <w:spacing w:after="0"/>
              <w:rPr>
                <w:sz w:val="20"/>
                <w:szCs w:val="20"/>
                <w:color w:val="auto"/>
              </w:rPr>
            </w:pPr>
            <w:r>
              <w:rPr>
                <w:rFonts w:ascii="Arial" w:cs="Arial" w:eastAsia="Arial" w:hAnsi="Arial"/>
                <w:sz w:val="20"/>
                <w:szCs w:val="20"/>
                <w:color w:val="auto"/>
              </w:rPr>
              <w:t>-4-</w:t>
            </w:r>
          </w:p>
        </w:tc>
        <w:tc>
          <w:tcPr>
            <w:tcW w:w="2720" w:type="dxa"/>
            <w:vAlign w:val="bottom"/>
          </w:tcPr>
          <w:p>
            <w:pPr>
              <w:spacing w:after="0"/>
              <w:rPr>
                <w:sz w:val="24"/>
                <w:szCs w:val="24"/>
                <w:color w:val="auto"/>
              </w:rPr>
            </w:pPr>
          </w:p>
        </w:tc>
      </w:tr>
      <w:tr>
        <w:trPr>
          <w:trHeight w:val="384"/>
        </w:trPr>
        <w:tc>
          <w:tcPr>
            <w:tcW w:w="15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0"/>
        </w:trPr>
        <w:tc>
          <w:tcPr>
            <w:tcW w:w="1640" w:type="dxa"/>
            <w:vAlign w:val="bottom"/>
          </w:tcPr>
          <w:p>
            <w:pPr>
              <w:ind w:left="660"/>
              <w:spacing w:after="0"/>
              <w:rPr>
                <w:sz w:val="20"/>
                <w:szCs w:val="20"/>
                <w:color w:val="auto"/>
              </w:rPr>
            </w:pPr>
            <w:r>
              <w:rPr>
                <w:rFonts w:ascii="Arial" w:cs="Arial" w:eastAsia="Arial" w:hAnsi="Arial"/>
                <w:sz w:val="20"/>
                <w:szCs w:val="20"/>
                <w:color w:val="auto"/>
              </w:rPr>
              <w:t>9.16</w:t>
            </w:r>
          </w:p>
        </w:tc>
        <w:tc>
          <w:tcPr>
            <w:tcW w:w="7680" w:type="dxa"/>
            <w:vAlign w:val="bottom"/>
          </w:tcPr>
          <w:p>
            <w:pPr>
              <w:ind w:left="400"/>
              <w:spacing w:after="0"/>
              <w:rPr>
                <w:sz w:val="20"/>
                <w:szCs w:val="20"/>
                <w:color w:val="auto"/>
              </w:rPr>
            </w:pPr>
            <w:r>
              <w:rPr>
                <w:rFonts w:ascii="Arial" w:cs="Arial" w:eastAsia="Arial" w:hAnsi="Arial"/>
                <w:sz w:val="20"/>
                <w:szCs w:val="20"/>
                <w:color w:val="auto"/>
              </w:rPr>
              <w:t>[Reserved]</w:t>
            </w:r>
          </w:p>
        </w:tc>
        <w:tc>
          <w:tcPr>
            <w:tcW w:w="19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9.17</w:t>
            </w:r>
          </w:p>
        </w:tc>
        <w:tc>
          <w:tcPr>
            <w:tcW w:w="7680" w:type="dxa"/>
            <w:vAlign w:val="bottom"/>
          </w:tcPr>
          <w:p>
            <w:pPr>
              <w:ind w:left="400"/>
              <w:spacing w:after="0"/>
              <w:rPr>
                <w:sz w:val="20"/>
                <w:szCs w:val="20"/>
                <w:color w:val="auto"/>
              </w:rPr>
            </w:pPr>
            <w:r>
              <w:rPr>
                <w:rFonts w:ascii="Arial" w:cs="Arial" w:eastAsia="Arial" w:hAnsi="Arial"/>
                <w:sz w:val="20"/>
                <w:szCs w:val="20"/>
                <w:color w:val="auto"/>
              </w:rPr>
              <w:t>Certain ERISA Matters</w:t>
            </w:r>
          </w:p>
        </w:tc>
        <w:tc>
          <w:tcPr>
            <w:tcW w:w="19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9.18</w:t>
            </w:r>
          </w:p>
        </w:tc>
        <w:tc>
          <w:tcPr>
            <w:tcW w:w="7680" w:type="dxa"/>
            <w:vAlign w:val="bottom"/>
          </w:tcPr>
          <w:p>
            <w:pPr>
              <w:ind w:left="400"/>
              <w:spacing w:after="0"/>
              <w:rPr>
                <w:sz w:val="20"/>
                <w:szCs w:val="20"/>
                <w:color w:val="auto"/>
              </w:rPr>
            </w:pPr>
            <w:r>
              <w:rPr>
                <w:rFonts w:ascii="Arial" w:cs="Arial" w:eastAsia="Arial" w:hAnsi="Arial"/>
                <w:sz w:val="20"/>
                <w:szCs w:val="20"/>
                <w:color w:val="auto"/>
              </w:rPr>
              <w:t>Erroneous Payments</w:t>
            </w:r>
          </w:p>
        </w:tc>
        <w:tc>
          <w:tcPr>
            <w:tcW w:w="192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378"/>
        </w:trPr>
        <w:tc>
          <w:tcPr>
            <w:tcW w:w="9320" w:type="dxa"/>
            <w:vAlign w:val="bottom"/>
            <w:gridSpan w:val="2"/>
          </w:tcPr>
          <w:p>
            <w:pPr>
              <w:ind w:left="20"/>
              <w:spacing w:after="0"/>
              <w:rPr>
                <w:sz w:val="20"/>
                <w:szCs w:val="20"/>
                <w:color w:val="auto"/>
              </w:rPr>
            </w:pPr>
            <w:r>
              <w:rPr>
                <w:rFonts w:ascii="Arial" w:cs="Arial" w:eastAsia="Arial" w:hAnsi="Arial"/>
                <w:sz w:val="20"/>
                <w:szCs w:val="20"/>
                <w:color w:val="auto"/>
              </w:rPr>
              <w:t>ARTICLE X MISCELLANEOUS</w:t>
            </w:r>
          </w:p>
        </w:tc>
        <w:tc>
          <w:tcPr>
            <w:tcW w:w="192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378"/>
        </w:trPr>
        <w:tc>
          <w:tcPr>
            <w:tcW w:w="1640" w:type="dxa"/>
            <w:vAlign w:val="bottom"/>
          </w:tcPr>
          <w:p>
            <w:pPr>
              <w:ind w:left="660"/>
              <w:spacing w:after="0"/>
              <w:rPr>
                <w:sz w:val="20"/>
                <w:szCs w:val="20"/>
                <w:color w:val="auto"/>
              </w:rPr>
            </w:pPr>
            <w:r>
              <w:rPr>
                <w:rFonts w:ascii="Arial" w:cs="Arial" w:eastAsia="Arial" w:hAnsi="Arial"/>
                <w:sz w:val="20"/>
                <w:szCs w:val="20"/>
                <w:color w:val="auto"/>
              </w:rPr>
              <w:t>10.01</w:t>
            </w:r>
          </w:p>
        </w:tc>
        <w:tc>
          <w:tcPr>
            <w:tcW w:w="7680" w:type="dxa"/>
            <w:vAlign w:val="bottom"/>
          </w:tcPr>
          <w:p>
            <w:pPr>
              <w:ind w:left="400"/>
              <w:spacing w:after="0"/>
              <w:rPr>
                <w:sz w:val="20"/>
                <w:szCs w:val="20"/>
                <w:color w:val="auto"/>
              </w:rPr>
            </w:pPr>
            <w:r>
              <w:rPr>
                <w:rFonts w:ascii="Arial" w:cs="Arial" w:eastAsia="Arial" w:hAnsi="Arial"/>
                <w:sz w:val="20"/>
                <w:szCs w:val="20"/>
                <w:color w:val="auto"/>
              </w:rPr>
              <w:t>Amendments, Etc.</w:t>
            </w:r>
          </w:p>
        </w:tc>
        <w:tc>
          <w:tcPr>
            <w:tcW w:w="192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10.02</w:t>
            </w:r>
          </w:p>
        </w:tc>
        <w:tc>
          <w:tcPr>
            <w:tcW w:w="7680" w:type="dxa"/>
            <w:vAlign w:val="bottom"/>
          </w:tcPr>
          <w:p>
            <w:pPr>
              <w:ind w:left="400"/>
              <w:spacing w:after="0"/>
              <w:rPr>
                <w:sz w:val="20"/>
                <w:szCs w:val="20"/>
                <w:color w:val="auto"/>
              </w:rPr>
            </w:pPr>
            <w:r>
              <w:rPr>
                <w:rFonts w:ascii="Arial" w:cs="Arial" w:eastAsia="Arial" w:hAnsi="Arial"/>
                <w:sz w:val="20"/>
                <w:szCs w:val="20"/>
                <w:color w:val="auto"/>
              </w:rPr>
              <w:t>Notices; Effectiveness; Electronic Communications</w:t>
            </w:r>
          </w:p>
        </w:tc>
        <w:tc>
          <w:tcPr>
            <w:tcW w:w="19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10.03</w:t>
            </w:r>
          </w:p>
        </w:tc>
        <w:tc>
          <w:tcPr>
            <w:tcW w:w="7680" w:type="dxa"/>
            <w:vAlign w:val="bottom"/>
          </w:tcPr>
          <w:p>
            <w:pPr>
              <w:ind w:left="400"/>
              <w:spacing w:after="0"/>
              <w:rPr>
                <w:sz w:val="20"/>
                <w:szCs w:val="20"/>
                <w:color w:val="auto"/>
              </w:rPr>
            </w:pPr>
            <w:r>
              <w:rPr>
                <w:rFonts w:ascii="Arial" w:cs="Arial" w:eastAsia="Arial" w:hAnsi="Arial"/>
                <w:sz w:val="20"/>
                <w:szCs w:val="20"/>
                <w:color w:val="auto"/>
              </w:rPr>
              <w:t>No Waiver; Cumulative Remedies</w:t>
            </w:r>
          </w:p>
        </w:tc>
        <w:tc>
          <w:tcPr>
            <w:tcW w:w="192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10.04</w:t>
            </w:r>
          </w:p>
        </w:tc>
        <w:tc>
          <w:tcPr>
            <w:tcW w:w="7680" w:type="dxa"/>
            <w:vAlign w:val="bottom"/>
          </w:tcPr>
          <w:p>
            <w:pPr>
              <w:ind w:left="400"/>
              <w:spacing w:after="0"/>
              <w:rPr>
                <w:sz w:val="20"/>
                <w:szCs w:val="20"/>
                <w:color w:val="auto"/>
              </w:rPr>
            </w:pPr>
            <w:r>
              <w:rPr>
                <w:rFonts w:ascii="Arial" w:cs="Arial" w:eastAsia="Arial" w:hAnsi="Arial"/>
                <w:sz w:val="20"/>
                <w:szCs w:val="20"/>
                <w:color w:val="auto"/>
              </w:rPr>
              <w:t>Expenses; Indemnity; Damage Waiver</w:t>
            </w:r>
          </w:p>
        </w:tc>
        <w:tc>
          <w:tcPr>
            <w:tcW w:w="192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10.05</w:t>
            </w:r>
          </w:p>
        </w:tc>
        <w:tc>
          <w:tcPr>
            <w:tcW w:w="7680" w:type="dxa"/>
            <w:vAlign w:val="bottom"/>
          </w:tcPr>
          <w:p>
            <w:pPr>
              <w:ind w:left="400"/>
              <w:spacing w:after="0"/>
              <w:rPr>
                <w:sz w:val="20"/>
                <w:szCs w:val="20"/>
                <w:color w:val="auto"/>
              </w:rPr>
            </w:pPr>
            <w:r>
              <w:rPr>
                <w:rFonts w:ascii="Arial" w:cs="Arial" w:eastAsia="Arial" w:hAnsi="Arial"/>
                <w:sz w:val="20"/>
                <w:szCs w:val="20"/>
                <w:color w:val="auto"/>
              </w:rPr>
              <w:t>Payments Set Aside</w:t>
            </w:r>
          </w:p>
        </w:tc>
        <w:tc>
          <w:tcPr>
            <w:tcW w:w="1920" w:type="dxa"/>
            <w:vAlign w:val="bottom"/>
          </w:tcPr>
          <w:p>
            <w:pPr>
              <w:jc w:val="right"/>
              <w:spacing w:after="0"/>
              <w:rPr>
                <w:sz w:val="20"/>
                <w:szCs w:val="20"/>
                <w:color w:val="auto"/>
              </w:rPr>
            </w:pPr>
            <w:r>
              <w:rPr>
                <w:rFonts w:ascii="Arial" w:cs="Arial" w:eastAsia="Arial" w:hAnsi="Arial"/>
                <w:sz w:val="20"/>
                <w:szCs w:val="20"/>
                <w:color w:val="auto"/>
              </w:rPr>
              <w:t>148</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10.06</w:t>
            </w:r>
          </w:p>
        </w:tc>
        <w:tc>
          <w:tcPr>
            <w:tcW w:w="7680" w:type="dxa"/>
            <w:vAlign w:val="bottom"/>
          </w:tcPr>
          <w:p>
            <w:pPr>
              <w:ind w:left="400"/>
              <w:spacing w:after="0"/>
              <w:rPr>
                <w:sz w:val="20"/>
                <w:szCs w:val="20"/>
                <w:color w:val="auto"/>
              </w:rPr>
            </w:pPr>
            <w:r>
              <w:rPr>
                <w:rFonts w:ascii="Arial" w:cs="Arial" w:eastAsia="Arial" w:hAnsi="Arial"/>
                <w:sz w:val="20"/>
                <w:szCs w:val="20"/>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20"/>
                <w:szCs w:val="20"/>
                <w:color w:val="auto"/>
              </w:rPr>
              <w:t>149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10.07</w:t>
            </w:r>
          </w:p>
        </w:tc>
        <w:tc>
          <w:tcPr>
            <w:tcW w:w="7680" w:type="dxa"/>
            <w:vAlign w:val="bottom"/>
          </w:tcPr>
          <w:p>
            <w:pPr>
              <w:ind w:left="400"/>
              <w:spacing w:after="0"/>
              <w:rPr>
                <w:sz w:val="20"/>
                <w:szCs w:val="20"/>
                <w:color w:val="auto"/>
              </w:rPr>
            </w:pPr>
            <w:r>
              <w:rPr>
                <w:rFonts w:ascii="Arial" w:cs="Arial" w:eastAsia="Arial" w:hAnsi="Arial"/>
                <w:sz w:val="20"/>
                <w:szCs w:val="20"/>
                <w:color w:val="auto"/>
              </w:rPr>
              <w:t>Treatment of Certain Information; Confidentiality</w:t>
            </w:r>
          </w:p>
        </w:tc>
        <w:tc>
          <w:tcPr>
            <w:tcW w:w="192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10.08</w:t>
            </w:r>
          </w:p>
        </w:tc>
        <w:tc>
          <w:tcPr>
            <w:tcW w:w="7680" w:type="dxa"/>
            <w:vAlign w:val="bottom"/>
          </w:tcPr>
          <w:p>
            <w:pPr>
              <w:ind w:left="400"/>
              <w:spacing w:after="0"/>
              <w:rPr>
                <w:sz w:val="20"/>
                <w:szCs w:val="20"/>
                <w:color w:val="auto"/>
              </w:rPr>
            </w:pPr>
            <w:r>
              <w:rPr>
                <w:rFonts w:ascii="Arial" w:cs="Arial" w:eastAsia="Arial" w:hAnsi="Arial"/>
                <w:sz w:val="20"/>
                <w:szCs w:val="20"/>
                <w:color w:val="auto"/>
              </w:rPr>
              <w:t>Right of Setoff</w:t>
            </w:r>
          </w:p>
        </w:tc>
        <w:tc>
          <w:tcPr>
            <w:tcW w:w="192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10.09</w:t>
            </w:r>
          </w:p>
        </w:tc>
        <w:tc>
          <w:tcPr>
            <w:tcW w:w="7680" w:type="dxa"/>
            <w:vAlign w:val="bottom"/>
          </w:tcPr>
          <w:p>
            <w:pPr>
              <w:ind w:left="400"/>
              <w:spacing w:after="0"/>
              <w:rPr>
                <w:sz w:val="20"/>
                <w:szCs w:val="20"/>
                <w:color w:val="auto"/>
              </w:rPr>
            </w:pPr>
            <w:r>
              <w:rPr>
                <w:rFonts w:ascii="Arial" w:cs="Arial" w:eastAsia="Arial" w:hAnsi="Arial"/>
                <w:sz w:val="20"/>
                <w:szCs w:val="20"/>
                <w:color w:val="auto"/>
              </w:rPr>
              <w:t>Interest Rate Limitation</w:t>
            </w:r>
          </w:p>
        </w:tc>
        <w:tc>
          <w:tcPr>
            <w:tcW w:w="192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10.10</w:t>
            </w:r>
          </w:p>
        </w:tc>
        <w:tc>
          <w:tcPr>
            <w:tcW w:w="7680" w:type="dxa"/>
            <w:vAlign w:val="bottom"/>
          </w:tcPr>
          <w:p>
            <w:pPr>
              <w:ind w:left="400"/>
              <w:spacing w:after="0"/>
              <w:rPr>
                <w:sz w:val="20"/>
                <w:szCs w:val="20"/>
                <w:color w:val="auto"/>
              </w:rPr>
            </w:pPr>
            <w:r>
              <w:rPr>
                <w:rFonts w:ascii="Arial" w:cs="Arial" w:eastAsia="Arial" w:hAnsi="Arial"/>
                <w:sz w:val="20"/>
                <w:szCs w:val="20"/>
                <w:color w:val="auto"/>
              </w:rPr>
              <w:t>Counterparts; Integration; Effectiveness</w:t>
            </w:r>
          </w:p>
        </w:tc>
        <w:tc>
          <w:tcPr>
            <w:tcW w:w="192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10.11</w:t>
            </w:r>
          </w:p>
        </w:tc>
        <w:tc>
          <w:tcPr>
            <w:tcW w:w="7680" w:type="dxa"/>
            <w:vAlign w:val="bottom"/>
          </w:tcPr>
          <w:p>
            <w:pPr>
              <w:ind w:left="400"/>
              <w:spacing w:after="0"/>
              <w:rPr>
                <w:sz w:val="20"/>
                <w:szCs w:val="20"/>
                <w:color w:val="auto"/>
              </w:rPr>
            </w:pPr>
            <w:r>
              <w:rPr>
                <w:rFonts w:ascii="Arial" w:cs="Arial" w:eastAsia="Arial" w:hAnsi="Arial"/>
                <w:sz w:val="20"/>
                <w:szCs w:val="20"/>
                <w:color w:val="auto"/>
              </w:rPr>
              <w:t>Survival</w:t>
            </w:r>
          </w:p>
        </w:tc>
        <w:tc>
          <w:tcPr>
            <w:tcW w:w="192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10.12</w:t>
            </w:r>
          </w:p>
        </w:tc>
        <w:tc>
          <w:tcPr>
            <w:tcW w:w="7680" w:type="dxa"/>
            <w:vAlign w:val="bottom"/>
          </w:tcPr>
          <w:p>
            <w:pPr>
              <w:ind w:left="400"/>
              <w:spacing w:after="0"/>
              <w:rPr>
                <w:sz w:val="20"/>
                <w:szCs w:val="20"/>
                <w:color w:val="auto"/>
              </w:rPr>
            </w:pPr>
            <w:r>
              <w:rPr>
                <w:rFonts w:ascii="Arial" w:cs="Arial" w:eastAsia="Arial" w:hAnsi="Arial"/>
                <w:sz w:val="20"/>
                <w:szCs w:val="20"/>
                <w:color w:val="auto"/>
              </w:rPr>
              <w:t>Severability</w:t>
            </w:r>
          </w:p>
        </w:tc>
        <w:tc>
          <w:tcPr>
            <w:tcW w:w="192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10.13</w:t>
            </w:r>
          </w:p>
        </w:tc>
        <w:tc>
          <w:tcPr>
            <w:tcW w:w="7680" w:type="dxa"/>
            <w:vAlign w:val="bottom"/>
          </w:tcPr>
          <w:p>
            <w:pPr>
              <w:ind w:left="400"/>
              <w:spacing w:after="0"/>
              <w:rPr>
                <w:sz w:val="20"/>
                <w:szCs w:val="20"/>
                <w:color w:val="auto"/>
              </w:rPr>
            </w:pPr>
            <w:r>
              <w:rPr>
                <w:rFonts w:ascii="Arial" w:cs="Arial" w:eastAsia="Arial" w:hAnsi="Arial"/>
                <w:sz w:val="20"/>
                <w:szCs w:val="20"/>
                <w:color w:val="auto"/>
              </w:rPr>
              <w:t>Replacement of Lenders</w:t>
            </w:r>
          </w:p>
        </w:tc>
        <w:tc>
          <w:tcPr>
            <w:tcW w:w="192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10.14</w:t>
            </w:r>
          </w:p>
        </w:tc>
        <w:tc>
          <w:tcPr>
            <w:tcW w:w="7680" w:type="dxa"/>
            <w:vAlign w:val="bottom"/>
          </w:tcPr>
          <w:p>
            <w:pPr>
              <w:ind w:left="400"/>
              <w:spacing w:after="0"/>
              <w:rPr>
                <w:sz w:val="20"/>
                <w:szCs w:val="20"/>
                <w:color w:val="auto"/>
              </w:rPr>
            </w:pPr>
            <w:r>
              <w:rPr>
                <w:rFonts w:ascii="Arial" w:cs="Arial" w:eastAsia="Arial" w:hAnsi="Arial"/>
                <w:sz w:val="20"/>
                <w:szCs w:val="20"/>
                <w:color w:val="auto"/>
              </w:rPr>
              <w:t>Governing Law; Jurisdiction; Etc.</w:t>
            </w:r>
          </w:p>
        </w:tc>
        <w:tc>
          <w:tcPr>
            <w:tcW w:w="192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10.15</w:t>
            </w:r>
          </w:p>
        </w:tc>
        <w:tc>
          <w:tcPr>
            <w:tcW w:w="7680" w:type="dxa"/>
            <w:vAlign w:val="bottom"/>
          </w:tcPr>
          <w:p>
            <w:pPr>
              <w:ind w:left="400"/>
              <w:spacing w:after="0"/>
              <w:rPr>
                <w:sz w:val="20"/>
                <w:szCs w:val="20"/>
                <w:color w:val="auto"/>
              </w:rPr>
            </w:pPr>
            <w:r>
              <w:rPr>
                <w:rFonts w:ascii="Arial" w:cs="Arial" w:eastAsia="Arial" w:hAnsi="Arial"/>
                <w:sz w:val="20"/>
                <w:szCs w:val="20"/>
                <w:color w:val="auto"/>
              </w:rPr>
              <w:t>Waiver of Jury Trial</w:t>
            </w:r>
          </w:p>
        </w:tc>
        <w:tc>
          <w:tcPr>
            <w:tcW w:w="192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10.16</w:t>
            </w:r>
          </w:p>
        </w:tc>
        <w:tc>
          <w:tcPr>
            <w:tcW w:w="7680" w:type="dxa"/>
            <w:vAlign w:val="bottom"/>
          </w:tcPr>
          <w:p>
            <w:pPr>
              <w:ind w:left="400"/>
              <w:spacing w:after="0"/>
              <w:rPr>
                <w:sz w:val="20"/>
                <w:szCs w:val="20"/>
                <w:color w:val="auto"/>
              </w:rPr>
            </w:pPr>
            <w:r>
              <w:rPr>
                <w:rFonts w:ascii="Arial" w:cs="Arial" w:eastAsia="Arial" w:hAnsi="Arial"/>
                <w:sz w:val="20"/>
                <w:szCs w:val="20"/>
                <w:color w:val="auto"/>
              </w:rPr>
              <w:t>No Advisory or Fiduciary Responsibility</w:t>
            </w:r>
          </w:p>
        </w:tc>
        <w:tc>
          <w:tcPr>
            <w:tcW w:w="1920" w:type="dxa"/>
            <w:vAlign w:val="bottom"/>
          </w:tcPr>
          <w:p>
            <w:pPr>
              <w:jc w:val="right"/>
              <w:spacing w:after="0"/>
              <w:rPr>
                <w:sz w:val="20"/>
                <w:szCs w:val="20"/>
                <w:color w:val="auto"/>
              </w:rPr>
            </w:pPr>
            <w:r>
              <w:rPr>
                <w:rFonts w:ascii="Arial" w:cs="Arial" w:eastAsia="Arial" w:hAnsi="Arial"/>
                <w:sz w:val="20"/>
                <w:szCs w:val="20"/>
                <w:color w:val="auto"/>
              </w:rPr>
              <w:t>157</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10.17</w:t>
            </w:r>
          </w:p>
        </w:tc>
        <w:tc>
          <w:tcPr>
            <w:tcW w:w="7680" w:type="dxa"/>
            <w:vAlign w:val="bottom"/>
          </w:tcPr>
          <w:p>
            <w:pPr>
              <w:ind w:left="400"/>
              <w:spacing w:after="0"/>
              <w:rPr>
                <w:sz w:val="20"/>
                <w:szCs w:val="20"/>
                <w:color w:val="auto"/>
              </w:rPr>
            </w:pPr>
            <w:r>
              <w:rPr>
                <w:rFonts w:ascii="Arial" w:cs="Arial" w:eastAsia="Arial" w:hAnsi="Arial"/>
                <w:sz w:val="20"/>
                <w:szCs w:val="20"/>
                <w:color w:val="auto"/>
              </w:rPr>
              <w:t>USA PATRIOT Act Notice</w:t>
            </w:r>
          </w:p>
        </w:tc>
        <w:tc>
          <w:tcPr>
            <w:tcW w:w="1920" w:type="dxa"/>
            <w:vAlign w:val="bottom"/>
          </w:tcPr>
          <w:p>
            <w:pPr>
              <w:jc w:val="right"/>
              <w:spacing w:after="0"/>
              <w:rPr>
                <w:sz w:val="20"/>
                <w:szCs w:val="20"/>
                <w:color w:val="auto"/>
              </w:rPr>
            </w:pPr>
            <w:r>
              <w:rPr>
                <w:rFonts w:ascii="Arial" w:cs="Arial" w:eastAsia="Arial" w:hAnsi="Arial"/>
                <w:sz w:val="20"/>
                <w:szCs w:val="20"/>
                <w:color w:val="auto"/>
              </w:rPr>
              <w:t>158</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10.18</w:t>
            </w:r>
          </w:p>
        </w:tc>
        <w:tc>
          <w:tcPr>
            <w:tcW w:w="7680" w:type="dxa"/>
            <w:vAlign w:val="bottom"/>
          </w:tcPr>
          <w:p>
            <w:pPr>
              <w:ind w:left="400"/>
              <w:spacing w:after="0"/>
              <w:rPr>
                <w:sz w:val="20"/>
                <w:szCs w:val="20"/>
                <w:color w:val="auto"/>
              </w:rPr>
            </w:pPr>
            <w:r>
              <w:rPr>
                <w:rFonts w:ascii="Arial" w:cs="Arial" w:eastAsia="Arial" w:hAnsi="Arial"/>
                <w:sz w:val="20"/>
                <w:szCs w:val="20"/>
                <w:color w:val="auto"/>
              </w:rPr>
              <w:t>Foreign Assets Control Regulations</w:t>
            </w:r>
          </w:p>
        </w:tc>
        <w:tc>
          <w:tcPr>
            <w:tcW w:w="1920" w:type="dxa"/>
            <w:vAlign w:val="bottom"/>
          </w:tcPr>
          <w:p>
            <w:pPr>
              <w:jc w:val="right"/>
              <w:spacing w:after="0"/>
              <w:rPr>
                <w:sz w:val="20"/>
                <w:szCs w:val="20"/>
                <w:color w:val="auto"/>
              </w:rPr>
            </w:pPr>
            <w:r>
              <w:rPr>
                <w:rFonts w:ascii="Arial" w:cs="Arial" w:eastAsia="Arial" w:hAnsi="Arial"/>
                <w:sz w:val="20"/>
                <w:szCs w:val="20"/>
                <w:color w:val="auto"/>
              </w:rPr>
              <w:t>158</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10.19</w:t>
            </w:r>
          </w:p>
        </w:tc>
        <w:tc>
          <w:tcPr>
            <w:tcW w:w="7680" w:type="dxa"/>
            <w:vAlign w:val="bottom"/>
          </w:tcPr>
          <w:p>
            <w:pPr>
              <w:ind w:left="400"/>
              <w:spacing w:after="0"/>
              <w:rPr>
                <w:sz w:val="20"/>
                <w:szCs w:val="20"/>
                <w:color w:val="auto"/>
              </w:rPr>
            </w:pPr>
            <w:r>
              <w:rPr>
                <w:rFonts w:ascii="Arial" w:cs="Arial" w:eastAsia="Arial" w:hAnsi="Arial"/>
                <w:sz w:val="20"/>
                <w:szCs w:val="20"/>
                <w:color w:val="auto"/>
              </w:rPr>
              <w:t>Time of the Essence</w:t>
            </w:r>
          </w:p>
        </w:tc>
        <w:tc>
          <w:tcPr>
            <w:tcW w:w="192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10.20</w:t>
            </w:r>
          </w:p>
        </w:tc>
        <w:tc>
          <w:tcPr>
            <w:tcW w:w="7680" w:type="dxa"/>
            <w:vAlign w:val="bottom"/>
          </w:tcPr>
          <w:p>
            <w:pPr>
              <w:ind w:left="400"/>
              <w:spacing w:after="0"/>
              <w:rPr>
                <w:sz w:val="20"/>
                <w:szCs w:val="20"/>
                <w:color w:val="auto"/>
              </w:rPr>
            </w:pPr>
            <w:r>
              <w:rPr>
                <w:rFonts w:ascii="Arial" w:cs="Arial" w:eastAsia="Arial" w:hAnsi="Arial"/>
                <w:sz w:val="20"/>
                <w:szCs w:val="20"/>
                <w:color w:val="auto"/>
              </w:rPr>
              <w:t>Press Releases</w:t>
            </w:r>
          </w:p>
        </w:tc>
        <w:tc>
          <w:tcPr>
            <w:tcW w:w="192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10.21</w:t>
            </w:r>
          </w:p>
        </w:tc>
        <w:tc>
          <w:tcPr>
            <w:tcW w:w="7680" w:type="dxa"/>
            <w:vAlign w:val="bottom"/>
          </w:tcPr>
          <w:p>
            <w:pPr>
              <w:ind w:left="400"/>
              <w:spacing w:after="0"/>
              <w:rPr>
                <w:sz w:val="20"/>
                <w:szCs w:val="20"/>
                <w:color w:val="auto"/>
              </w:rPr>
            </w:pPr>
            <w:r>
              <w:rPr>
                <w:rFonts w:ascii="Arial" w:cs="Arial" w:eastAsia="Arial" w:hAnsi="Arial"/>
                <w:sz w:val="20"/>
                <w:szCs w:val="20"/>
                <w:color w:val="auto"/>
              </w:rPr>
              <w:t>Additional Waivers</w:t>
            </w:r>
          </w:p>
        </w:tc>
        <w:tc>
          <w:tcPr>
            <w:tcW w:w="192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10.22</w:t>
            </w:r>
          </w:p>
        </w:tc>
        <w:tc>
          <w:tcPr>
            <w:tcW w:w="7680" w:type="dxa"/>
            <w:vAlign w:val="bottom"/>
          </w:tcPr>
          <w:p>
            <w:pPr>
              <w:ind w:left="400"/>
              <w:spacing w:after="0"/>
              <w:rPr>
                <w:sz w:val="20"/>
                <w:szCs w:val="20"/>
                <w:color w:val="auto"/>
              </w:rPr>
            </w:pPr>
            <w:r>
              <w:rPr>
                <w:rFonts w:ascii="Arial" w:cs="Arial" w:eastAsia="Arial" w:hAnsi="Arial"/>
                <w:sz w:val="20"/>
                <w:szCs w:val="20"/>
                <w:color w:val="auto"/>
              </w:rPr>
              <w:t>No Strict Construction</w:t>
            </w:r>
          </w:p>
        </w:tc>
        <w:tc>
          <w:tcPr>
            <w:tcW w:w="192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10.23</w:t>
            </w:r>
          </w:p>
        </w:tc>
        <w:tc>
          <w:tcPr>
            <w:tcW w:w="7680" w:type="dxa"/>
            <w:vAlign w:val="bottom"/>
          </w:tcPr>
          <w:p>
            <w:pPr>
              <w:ind w:left="400"/>
              <w:spacing w:after="0"/>
              <w:rPr>
                <w:sz w:val="20"/>
                <w:szCs w:val="20"/>
                <w:color w:val="auto"/>
              </w:rPr>
            </w:pPr>
            <w:r>
              <w:rPr>
                <w:rFonts w:ascii="Arial" w:cs="Arial" w:eastAsia="Arial" w:hAnsi="Arial"/>
                <w:sz w:val="20"/>
                <w:szCs w:val="20"/>
                <w:color w:val="auto"/>
              </w:rPr>
              <w:t>Attachments</w:t>
            </w:r>
          </w:p>
        </w:tc>
        <w:tc>
          <w:tcPr>
            <w:tcW w:w="192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10.24</w:t>
            </w:r>
          </w:p>
        </w:tc>
        <w:tc>
          <w:tcPr>
            <w:tcW w:w="7680" w:type="dxa"/>
            <w:vAlign w:val="bottom"/>
          </w:tcPr>
          <w:p>
            <w:pPr>
              <w:ind w:left="400"/>
              <w:spacing w:after="0"/>
              <w:rPr>
                <w:sz w:val="20"/>
                <w:szCs w:val="20"/>
                <w:color w:val="auto"/>
              </w:rPr>
            </w:pPr>
            <w:r>
              <w:rPr>
                <w:rFonts w:ascii="Arial" w:cs="Arial" w:eastAsia="Arial" w:hAnsi="Arial"/>
                <w:sz w:val="20"/>
                <w:szCs w:val="20"/>
                <w:color w:val="auto"/>
              </w:rPr>
              <w:t>Electronic Execution of Assignments and Certain Other Documents</w:t>
            </w:r>
          </w:p>
        </w:tc>
        <w:tc>
          <w:tcPr>
            <w:tcW w:w="192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10.25</w:t>
            </w:r>
          </w:p>
        </w:tc>
        <w:tc>
          <w:tcPr>
            <w:tcW w:w="7680" w:type="dxa"/>
            <w:vAlign w:val="bottom"/>
          </w:tcPr>
          <w:p>
            <w:pPr>
              <w:ind w:left="400"/>
              <w:spacing w:after="0"/>
              <w:rPr>
                <w:sz w:val="20"/>
                <w:szCs w:val="20"/>
                <w:color w:val="auto"/>
              </w:rPr>
            </w:pPr>
            <w:r>
              <w:rPr>
                <w:rFonts w:ascii="Arial" w:cs="Arial" w:eastAsia="Arial" w:hAnsi="Arial"/>
                <w:sz w:val="20"/>
                <w:szCs w:val="20"/>
                <w:color w:val="auto"/>
              </w:rPr>
              <w:t>Keepwell</w:t>
            </w:r>
          </w:p>
        </w:tc>
        <w:tc>
          <w:tcPr>
            <w:tcW w:w="192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10.26</w:t>
            </w:r>
          </w:p>
        </w:tc>
        <w:tc>
          <w:tcPr>
            <w:tcW w:w="7680" w:type="dxa"/>
            <w:vAlign w:val="bottom"/>
          </w:tcPr>
          <w:p>
            <w:pPr>
              <w:ind w:left="400"/>
              <w:spacing w:after="0"/>
              <w:rPr>
                <w:sz w:val="20"/>
                <w:szCs w:val="20"/>
                <w:color w:val="auto"/>
              </w:rPr>
            </w:pPr>
            <w:r>
              <w:rPr>
                <w:rFonts w:ascii="Arial" w:cs="Arial" w:eastAsia="Arial" w:hAnsi="Arial"/>
                <w:sz w:val="20"/>
                <w:szCs w:val="20"/>
                <w:color w:val="auto"/>
              </w:rPr>
              <w:t>Acknowledgement Regarding Any Supported QFCs</w:t>
            </w:r>
          </w:p>
        </w:tc>
        <w:tc>
          <w:tcPr>
            <w:tcW w:w="192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70"/>
        </w:trPr>
        <w:tc>
          <w:tcPr>
            <w:tcW w:w="1640" w:type="dxa"/>
            <w:vAlign w:val="bottom"/>
          </w:tcPr>
          <w:p>
            <w:pPr>
              <w:ind w:left="660"/>
              <w:spacing w:after="0"/>
              <w:rPr>
                <w:sz w:val="20"/>
                <w:szCs w:val="20"/>
                <w:color w:val="auto"/>
              </w:rPr>
            </w:pPr>
            <w:r>
              <w:rPr>
                <w:rFonts w:ascii="Arial" w:cs="Arial" w:eastAsia="Arial" w:hAnsi="Arial"/>
                <w:sz w:val="20"/>
                <w:szCs w:val="20"/>
                <w:color w:val="auto"/>
              </w:rPr>
              <w:t>10.27</w:t>
            </w:r>
          </w:p>
        </w:tc>
        <w:tc>
          <w:tcPr>
            <w:tcW w:w="7680" w:type="dxa"/>
            <w:vAlign w:val="bottom"/>
          </w:tcPr>
          <w:p>
            <w:pPr>
              <w:ind w:left="40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70"/>
        </w:trPr>
        <w:tc>
          <w:tcPr>
            <w:tcW w:w="1640" w:type="dxa"/>
            <w:vAlign w:val="bottom"/>
          </w:tcPr>
          <w:p>
            <w:pPr>
              <w:ind w:left="20"/>
              <w:spacing w:after="0"/>
              <w:rPr>
                <w:sz w:val="20"/>
                <w:szCs w:val="20"/>
                <w:color w:val="auto"/>
              </w:rPr>
            </w:pPr>
            <w:r>
              <w:rPr>
                <w:rFonts w:ascii="Arial" w:cs="Arial" w:eastAsia="Arial" w:hAnsi="Arial"/>
                <w:sz w:val="20"/>
                <w:szCs w:val="20"/>
                <w:color w:val="auto"/>
              </w:rPr>
              <w:t>SIGNATURES</w:t>
            </w:r>
          </w:p>
        </w:tc>
        <w:tc>
          <w:tcPr>
            <w:tcW w:w="76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164-167</w:t>
            </w:r>
          </w:p>
        </w:tc>
      </w:tr>
      <w:tr>
        <w:trPr>
          <w:trHeight w:val="646"/>
        </w:trPr>
        <w:tc>
          <w:tcPr>
            <w:tcW w:w="16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7680" w:type="dxa"/>
            <w:vAlign w:val="bottom"/>
          </w:tcPr>
          <w:p>
            <w:pPr>
              <w:ind w:left="3880"/>
              <w:spacing w:after="0"/>
              <w:rPr>
                <w:sz w:val="20"/>
                <w:szCs w:val="20"/>
                <w:color w:val="auto"/>
              </w:rPr>
            </w:pPr>
            <w:r>
              <w:rPr>
                <w:rFonts w:ascii="Arial" w:cs="Arial" w:eastAsia="Arial" w:hAnsi="Arial"/>
                <w:sz w:val="20"/>
                <w:szCs w:val="20"/>
                <w:color w:val="auto"/>
              </w:rPr>
              <w:t>-5-</w:t>
            </w:r>
          </w:p>
        </w:tc>
        <w:tc>
          <w:tcPr>
            <w:tcW w:w="1920" w:type="dxa"/>
            <w:vAlign w:val="bottom"/>
          </w:tcPr>
          <w:p>
            <w:pPr>
              <w:spacing w:after="0"/>
              <w:rPr>
                <w:sz w:val="24"/>
                <w:szCs w:val="24"/>
                <w:color w:val="auto"/>
              </w:rPr>
            </w:pPr>
          </w:p>
        </w:tc>
      </w:tr>
      <w:tr>
        <w:trPr>
          <w:trHeight w:val="383"/>
        </w:trPr>
        <w:tc>
          <w:tcPr>
            <w:tcW w:w="16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1700" w:type="dxa"/>
            <w:vAlign w:val="bottom"/>
          </w:tcPr>
          <w:p>
            <w:pPr>
              <w:ind w:left="20"/>
              <w:spacing w:after="0"/>
              <w:rPr>
                <w:sz w:val="20"/>
                <w:szCs w:val="20"/>
                <w:color w:val="auto"/>
              </w:rPr>
            </w:pPr>
            <w:r>
              <w:rPr>
                <w:rFonts w:ascii="Arial" w:cs="Arial" w:eastAsia="Arial" w:hAnsi="Arial"/>
                <w:sz w:val="20"/>
                <w:szCs w:val="20"/>
                <w:b w:val="1"/>
                <w:bCs w:val="1"/>
                <w:color w:val="auto"/>
              </w:rPr>
              <w:t>SCHEDULES</w:t>
            </w:r>
          </w:p>
        </w:tc>
        <w:tc>
          <w:tcPr>
            <w:tcW w:w="9540" w:type="dxa"/>
            <w:vAlign w:val="bottom"/>
          </w:tcPr>
          <w:p>
            <w:pPr>
              <w:spacing w:after="0"/>
              <w:rPr>
                <w:sz w:val="22"/>
                <w:szCs w:val="22"/>
                <w:color w:val="auto"/>
              </w:rPr>
            </w:pPr>
          </w:p>
        </w:tc>
      </w:tr>
      <w:tr>
        <w:trPr>
          <w:trHeight w:val="378"/>
        </w:trPr>
        <w:tc>
          <w:tcPr>
            <w:tcW w:w="1700" w:type="dxa"/>
            <w:vAlign w:val="bottom"/>
          </w:tcPr>
          <w:p>
            <w:pPr>
              <w:ind w:left="20"/>
              <w:spacing w:after="0"/>
              <w:rPr>
                <w:sz w:val="20"/>
                <w:szCs w:val="20"/>
                <w:color w:val="auto"/>
              </w:rPr>
            </w:pPr>
            <w:r>
              <w:rPr>
                <w:rFonts w:ascii="Arial" w:cs="Arial" w:eastAsia="Arial" w:hAnsi="Arial"/>
                <w:sz w:val="20"/>
                <w:szCs w:val="20"/>
                <w:color w:val="auto"/>
              </w:rPr>
              <w:t>1.01</w:t>
            </w:r>
          </w:p>
        </w:tc>
        <w:tc>
          <w:tcPr>
            <w:tcW w:w="9540" w:type="dxa"/>
            <w:vAlign w:val="bottom"/>
          </w:tcPr>
          <w:p>
            <w:pPr>
              <w:ind w:left="340"/>
              <w:spacing w:after="0"/>
              <w:rPr>
                <w:sz w:val="20"/>
                <w:szCs w:val="20"/>
                <w:color w:val="auto"/>
              </w:rPr>
            </w:pPr>
            <w:r>
              <w:rPr>
                <w:rFonts w:ascii="Arial" w:cs="Arial" w:eastAsia="Arial" w:hAnsi="Arial"/>
                <w:sz w:val="20"/>
                <w:szCs w:val="20"/>
                <w:color w:val="auto"/>
              </w:rPr>
              <w:t>Borrowers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2.01</w:t>
            </w:r>
          </w:p>
        </w:tc>
        <w:tc>
          <w:tcPr>
            <w:tcW w:w="9540" w:type="dxa"/>
            <w:vAlign w:val="bottom"/>
          </w:tcPr>
          <w:p>
            <w:pPr>
              <w:ind w:left="340"/>
              <w:spacing w:after="0"/>
              <w:rPr>
                <w:sz w:val="20"/>
                <w:szCs w:val="20"/>
                <w:color w:val="auto"/>
              </w:rPr>
            </w:pPr>
            <w:r>
              <w:rPr>
                <w:rFonts w:ascii="Arial" w:cs="Arial" w:eastAsia="Arial" w:hAnsi="Arial"/>
                <w:sz w:val="20"/>
                <w:szCs w:val="20"/>
                <w:color w:val="auto"/>
              </w:rPr>
              <w:t>Commitments and Applicable Percentages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2.03</w:t>
            </w:r>
          </w:p>
        </w:tc>
        <w:tc>
          <w:tcPr>
            <w:tcW w:w="9540" w:type="dxa"/>
            <w:vAlign w:val="bottom"/>
          </w:tcPr>
          <w:p>
            <w:pPr>
              <w:ind w:left="340"/>
              <w:spacing w:after="0"/>
              <w:rPr>
                <w:sz w:val="20"/>
                <w:szCs w:val="20"/>
                <w:color w:val="auto"/>
              </w:rPr>
            </w:pPr>
            <w:r>
              <w:rPr>
                <w:rFonts w:ascii="Arial" w:cs="Arial" w:eastAsia="Arial" w:hAnsi="Arial"/>
                <w:sz w:val="20"/>
                <w:szCs w:val="20"/>
                <w:color w:val="auto"/>
              </w:rPr>
              <w:t>Existing Letters of Credit</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5.01</w:t>
            </w:r>
          </w:p>
        </w:tc>
        <w:tc>
          <w:tcPr>
            <w:tcW w:w="9540" w:type="dxa"/>
            <w:vAlign w:val="bottom"/>
          </w:tcPr>
          <w:p>
            <w:pPr>
              <w:ind w:left="340"/>
              <w:spacing w:after="0"/>
              <w:rPr>
                <w:sz w:val="20"/>
                <w:szCs w:val="20"/>
                <w:color w:val="auto"/>
              </w:rPr>
            </w:pPr>
            <w:r>
              <w:rPr>
                <w:rFonts w:ascii="Arial" w:cs="Arial" w:eastAsia="Arial" w:hAnsi="Arial"/>
                <w:sz w:val="20"/>
                <w:szCs w:val="20"/>
                <w:color w:val="auto"/>
              </w:rPr>
              <w:t>Loan Parties Organizational Information</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5.06</w:t>
            </w:r>
          </w:p>
        </w:tc>
        <w:tc>
          <w:tcPr>
            <w:tcW w:w="9540" w:type="dxa"/>
            <w:vAlign w:val="bottom"/>
          </w:tcPr>
          <w:p>
            <w:pPr>
              <w:ind w:left="340"/>
              <w:spacing w:after="0"/>
              <w:rPr>
                <w:sz w:val="20"/>
                <w:szCs w:val="20"/>
                <w:color w:val="auto"/>
              </w:rPr>
            </w:pPr>
            <w:r>
              <w:rPr>
                <w:rFonts w:ascii="Arial" w:cs="Arial" w:eastAsia="Arial" w:hAnsi="Arial"/>
                <w:sz w:val="20"/>
                <w:szCs w:val="20"/>
                <w:color w:val="auto"/>
              </w:rPr>
              <w:t>Litigation</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5.08(b)(1)</w:t>
            </w:r>
          </w:p>
        </w:tc>
        <w:tc>
          <w:tcPr>
            <w:tcW w:w="9540" w:type="dxa"/>
            <w:vAlign w:val="bottom"/>
          </w:tcPr>
          <w:p>
            <w:pPr>
              <w:ind w:left="340"/>
              <w:spacing w:after="0"/>
              <w:rPr>
                <w:sz w:val="20"/>
                <w:szCs w:val="20"/>
                <w:color w:val="auto"/>
              </w:rPr>
            </w:pPr>
            <w:r>
              <w:rPr>
                <w:rFonts w:ascii="Arial" w:cs="Arial" w:eastAsia="Arial" w:hAnsi="Arial"/>
                <w:sz w:val="20"/>
                <w:szCs w:val="20"/>
                <w:color w:val="auto"/>
              </w:rPr>
              <w:t>Owned Real Estate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5.08(b)(2)</w:t>
            </w:r>
          </w:p>
        </w:tc>
        <w:tc>
          <w:tcPr>
            <w:tcW w:w="9540" w:type="dxa"/>
            <w:vAlign w:val="bottom"/>
          </w:tcPr>
          <w:p>
            <w:pPr>
              <w:ind w:left="340"/>
              <w:spacing w:after="0"/>
              <w:rPr>
                <w:sz w:val="20"/>
                <w:szCs w:val="20"/>
                <w:color w:val="auto"/>
              </w:rPr>
            </w:pPr>
            <w:r>
              <w:rPr>
                <w:rFonts w:ascii="Arial" w:cs="Arial" w:eastAsia="Arial" w:hAnsi="Arial"/>
                <w:sz w:val="20"/>
                <w:szCs w:val="20"/>
                <w:color w:val="auto"/>
              </w:rPr>
              <w:t>Leased Real Estate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5.10</w:t>
            </w:r>
          </w:p>
        </w:tc>
        <w:tc>
          <w:tcPr>
            <w:tcW w:w="9540" w:type="dxa"/>
            <w:vAlign w:val="bottom"/>
          </w:tcPr>
          <w:p>
            <w:pPr>
              <w:ind w:left="340"/>
              <w:spacing w:after="0"/>
              <w:rPr>
                <w:sz w:val="20"/>
                <w:szCs w:val="20"/>
                <w:color w:val="auto"/>
              </w:rPr>
            </w:pPr>
            <w:r>
              <w:rPr>
                <w:rFonts w:ascii="Arial" w:cs="Arial" w:eastAsia="Arial" w:hAnsi="Arial"/>
                <w:sz w:val="20"/>
                <w:szCs w:val="20"/>
                <w:color w:val="auto"/>
              </w:rPr>
              <w:t>Insurance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5.13</w:t>
            </w:r>
          </w:p>
        </w:tc>
        <w:tc>
          <w:tcPr>
            <w:tcW w:w="9540" w:type="dxa"/>
            <w:vAlign w:val="bottom"/>
          </w:tcPr>
          <w:p>
            <w:pPr>
              <w:ind w:left="340"/>
              <w:spacing w:after="0"/>
              <w:rPr>
                <w:sz w:val="20"/>
                <w:szCs w:val="20"/>
                <w:color w:val="auto"/>
              </w:rPr>
            </w:pPr>
            <w:r>
              <w:rPr>
                <w:rFonts w:ascii="Arial" w:cs="Arial" w:eastAsia="Arial" w:hAnsi="Arial"/>
                <w:sz w:val="20"/>
                <w:szCs w:val="20"/>
                <w:color w:val="auto"/>
              </w:rPr>
              <w:t>Subsidiaries; Other Equity Investments; Equity Interests in the Borrowers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5.17</w:t>
            </w:r>
          </w:p>
        </w:tc>
        <w:tc>
          <w:tcPr>
            <w:tcW w:w="9540" w:type="dxa"/>
            <w:vAlign w:val="bottom"/>
          </w:tcPr>
          <w:p>
            <w:pPr>
              <w:ind w:left="340"/>
              <w:spacing w:after="0"/>
              <w:rPr>
                <w:sz w:val="20"/>
                <w:szCs w:val="20"/>
                <w:color w:val="auto"/>
              </w:rPr>
            </w:pPr>
            <w:r>
              <w:rPr>
                <w:rFonts w:ascii="Arial" w:cs="Arial" w:eastAsia="Arial" w:hAnsi="Arial"/>
                <w:sz w:val="20"/>
                <w:szCs w:val="20"/>
                <w:color w:val="auto"/>
              </w:rPr>
              <w:t>Intellectual Property Matters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5.18</w:t>
            </w:r>
          </w:p>
        </w:tc>
        <w:tc>
          <w:tcPr>
            <w:tcW w:w="9540" w:type="dxa"/>
            <w:vAlign w:val="bottom"/>
          </w:tcPr>
          <w:p>
            <w:pPr>
              <w:ind w:left="340"/>
              <w:spacing w:after="0"/>
              <w:rPr>
                <w:sz w:val="20"/>
                <w:szCs w:val="20"/>
                <w:color w:val="auto"/>
              </w:rPr>
            </w:pPr>
            <w:r>
              <w:rPr>
                <w:rFonts w:ascii="Arial" w:cs="Arial" w:eastAsia="Arial" w:hAnsi="Arial"/>
                <w:sz w:val="20"/>
                <w:szCs w:val="20"/>
                <w:color w:val="auto"/>
              </w:rPr>
              <w:t>Collective Bargaining Agreements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5.21(a)</w:t>
            </w:r>
          </w:p>
        </w:tc>
        <w:tc>
          <w:tcPr>
            <w:tcW w:w="9540" w:type="dxa"/>
            <w:vAlign w:val="bottom"/>
          </w:tcPr>
          <w:p>
            <w:pPr>
              <w:ind w:left="340"/>
              <w:spacing w:after="0"/>
              <w:rPr>
                <w:sz w:val="20"/>
                <w:szCs w:val="20"/>
                <w:color w:val="auto"/>
              </w:rPr>
            </w:pPr>
            <w:r>
              <w:rPr>
                <w:rFonts w:ascii="Arial" w:cs="Arial" w:eastAsia="Arial" w:hAnsi="Arial"/>
                <w:sz w:val="20"/>
                <w:szCs w:val="20"/>
                <w:color w:val="auto"/>
              </w:rPr>
              <w:t>DDAs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5.21(b)</w:t>
            </w:r>
          </w:p>
        </w:tc>
        <w:tc>
          <w:tcPr>
            <w:tcW w:w="9540" w:type="dxa"/>
            <w:vAlign w:val="bottom"/>
          </w:tcPr>
          <w:p>
            <w:pPr>
              <w:ind w:left="340"/>
              <w:spacing w:after="0"/>
              <w:rPr>
                <w:sz w:val="20"/>
                <w:szCs w:val="20"/>
                <w:color w:val="auto"/>
              </w:rPr>
            </w:pPr>
            <w:r>
              <w:rPr>
                <w:rFonts w:ascii="Arial" w:cs="Arial" w:eastAsia="Arial" w:hAnsi="Arial"/>
                <w:sz w:val="20"/>
                <w:szCs w:val="20"/>
                <w:color w:val="auto"/>
              </w:rPr>
              <w:t>Credit Card Arrangements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5.24</w:t>
            </w:r>
          </w:p>
        </w:tc>
        <w:tc>
          <w:tcPr>
            <w:tcW w:w="9540" w:type="dxa"/>
            <w:vAlign w:val="bottom"/>
          </w:tcPr>
          <w:p>
            <w:pPr>
              <w:ind w:left="340"/>
              <w:spacing w:after="0"/>
              <w:rPr>
                <w:sz w:val="20"/>
                <w:szCs w:val="20"/>
                <w:color w:val="auto"/>
              </w:rPr>
            </w:pPr>
            <w:r>
              <w:rPr>
                <w:rFonts w:ascii="Arial" w:cs="Arial" w:eastAsia="Arial" w:hAnsi="Arial"/>
                <w:sz w:val="20"/>
                <w:szCs w:val="20"/>
                <w:color w:val="auto"/>
              </w:rPr>
              <w:t>Material Contracts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6.02</w:t>
            </w:r>
          </w:p>
        </w:tc>
        <w:tc>
          <w:tcPr>
            <w:tcW w:w="9540" w:type="dxa"/>
            <w:vAlign w:val="bottom"/>
          </w:tcPr>
          <w:p>
            <w:pPr>
              <w:ind w:left="340"/>
              <w:spacing w:after="0"/>
              <w:rPr>
                <w:sz w:val="20"/>
                <w:szCs w:val="20"/>
                <w:color w:val="auto"/>
              </w:rPr>
            </w:pPr>
            <w:r>
              <w:rPr>
                <w:rFonts w:ascii="Arial" w:cs="Arial" w:eastAsia="Arial" w:hAnsi="Arial"/>
                <w:sz w:val="20"/>
                <w:szCs w:val="20"/>
                <w:color w:val="auto"/>
              </w:rPr>
              <w:t>Financial and Collateral Reporting</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7.01</w:t>
            </w:r>
          </w:p>
        </w:tc>
        <w:tc>
          <w:tcPr>
            <w:tcW w:w="9540" w:type="dxa"/>
            <w:vAlign w:val="bottom"/>
          </w:tcPr>
          <w:p>
            <w:pPr>
              <w:ind w:left="340"/>
              <w:spacing w:after="0"/>
              <w:rPr>
                <w:sz w:val="20"/>
                <w:szCs w:val="20"/>
                <w:color w:val="auto"/>
              </w:rPr>
            </w:pPr>
            <w:r>
              <w:rPr>
                <w:rFonts w:ascii="Arial" w:cs="Arial" w:eastAsia="Arial" w:hAnsi="Arial"/>
                <w:sz w:val="20"/>
                <w:szCs w:val="20"/>
                <w:color w:val="auto"/>
              </w:rPr>
              <w:t>Existing Liens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7.02</w:t>
            </w:r>
          </w:p>
        </w:tc>
        <w:tc>
          <w:tcPr>
            <w:tcW w:w="9540" w:type="dxa"/>
            <w:vAlign w:val="bottom"/>
          </w:tcPr>
          <w:p>
            <w:pPr>
              <w:ind w:left="340"/>
              <w:spacing w:after="0"/>
              <w:rPr>
                <w:sz w:val="20"/>
                <w:szCs w:val="20"/>
                <w:color w:val="auto"/>
              </w:rPr>
            </w:pPr>
            <w:r>
              <w:rPr>
                <w:rFonts w:ascii="Arial" w:cs="Arial" w:eastAsia="Arial" w:hAnsi="Arial"/>
                <w:sz w:val="20"/>
                <w:szCs w:val="20"/>
                <w:color w:val="auto"/>
              </w:rPr>
              <w:t>Existing Investments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7.03</w:t>
            </w:r>
          </w:p>
        </w:tc>
        <w:tc>
          <w:tcPr>
            <w:tcW w:w="9540" w:type="dxa"/>
            <w:vAlign w:val="bottom"/>
          </w:tcPr>
          <w:p>
            <w:pPr>
              <w:ind w:left="340"/>
              <w:spacing w:after="0"/>
              <w:rPr>
                <w:sz w:val="20"/>
                <w:szCs w:val="20"/>
                <w:color w:val="auto"/>
              </w:rPr>
            </w:pPr>
            <w:r>
              <w:rPr>
                <w:rFonts w:ascii="Arial" w:cs="Arial" w:eastAsia="Arial" w:hAnsi="Arial"/>
                <w:sz w:val="20"/>
                <w:szCs w:val="20"/>
                <w:color w:val="auto"/>
              </w:rPr>
              <w:t>Existing Indebtedness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7.09</w:t>
            </w:r>
          </w:p>
        </w:tc>
        <w:tc>
          <w:tcPr>
            <w:tcW w:w="9540" w:type="dxa"/>
            <w:vAlign w:val="bottom"/>
          </w:tcPr>
          <w:p>
            <w:pPr>
              <w:ind w:left="340"/>
              <w:spacing w:after="0"/>
              <w:rPr>
                <w:sz w:val="20"/>
                <w:szCs w:val="20"/>
                <w:color w:val="auto"/>
              </w:rPr>
            </w:pPr>
            <w:r>
              <w:rPr>
                <w:rFonts w:ascii="Arial" w:cs="Arial" w:eastAsia="Arial" w:hAnsi="Arial"/>
                <w:sz w:val="20"/>
                <w:szCs w:val="20"/>
                <w:color w:val="auto"/>
              </w:rPr>
              <w:t>Affiliate Transactions</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10.02</w:t>
            </w:r>
          </w:p>
        </w:tc>
        <w:tc>
          <w:tcPr>
            <w:tcW w:w="9540" w:type="dxa"/>
            <w:vAlign w:val="bottom"/>
          </w:tcPr>
          <w:p>
            <w:pPr>
              <w:ind w:left="340"/>
              <w:spacing w:after="0"/>
              <w:rPr>
                <w:sz w:val="20"/>
                <w:szCs w:val="20"/>
                <w:color w:val="auto"/>
              </w:rPr>
            </w:pPr>
            <w:r>
              <w:rPr>
                <w:rFonts w:ascii="Arial" w:cs="Arial" w:eastAsia="Arial" w:hAnsi="Arial"/>
                <w:sz w:val="20"/>
                <w:szCs w:val="20"/>
                <w:color w:val="auto"/>
              </w:rPr>
              <w:t>Agent’s Office; Certain Addresses for Notices</w:t>
            </w:r>
          </w:p>
        </w:tc>
      </w:tr>
      <w:tr>
        <w:trPr>
          <w:trHeight w:val="823"/>
        </w:trPr>
        <w:tc>
          <w:tcPr>
            <w:tcW w:w="1700" w:type="dxa"/>
            <w:vAlign w:val="bottom"/>
          </w:tcPr>
          <w:p>
            <w:pPr>
              <w:ind w:left="20"/>
              <w:spacing w:after="0"/>
              <w:rPr>
                <w:sz w:val="20"/>
                <w:szCs w:val="20"/>
                <w:color w:val="auto"/>
              </w:rPr>
            </w:pPr>
            <w:r>
              <w:rPr>
                <w:rFonts w:ascii="Arial" w:cs="Arial" w:eastAsia="Arial" w:hAnsi="Arial"/>
                <w:sz w:val="20"/>
                <w:szCs w:val="20"/>
                <w:b w:val="1"/>
                <w:bCs w:val="1"/>
                <w:color w:val="auto"/>
              </w:rPr>
              <w:t>EXHIBITS</w:t>
            </w:r>
          </w:p>
        </w:tc>
        <w:tc>
          <w:tcPr>
            <w:tcW w:w="9540" w:type="dxa"/>
            <w:vAlign w:val="bottom"/>
          </w:tcPr>
          <w:p>
            <w:pPr>
              <w:spacing w:after="0"/>
              <w:rPr>
                <w:sz w:val="24"/>
                <w:szCs w:val="24"/>
                <w:color w:val="auto"/>
              </w:rPr>
            </w:pPr>
          </w:p>
        </w:tc>
      </w:tr>
      <w:tr>
        <w:trPr>
          <w:trHeight w:val="378"/>
        </w:trPr>
        <w:tc>
          <w:tcPr>
            <w:tcW w:w="1700" w:type="dxa"/>
            <w:vAlign w:val="bottom"/>
          </w:tcPr>
          <w:p>
            <w:pPr>
              <w:ind w:left="660"/>
              <w:spacing w:after="0"/>
              <w:rPr>
                <w:sz w:val="20"/>
                <w:szCs w:val="20"/>
                <w:color w:val="auto"/>
              </w:rPr>
            </w:pPr>
            <w:r>
              <w:rPr>
                <w:rFonts w:ascii="Arial" w:cs="Arial" w:eastAsia="Arial" w:hAnsi="Arial"/>
                <w:sz w:val="20"/>
                <w:szCs w:val="20"/>
                <w:b w:val="1"/>
                <w:bCs w:val="1"/>
                <w:i w:val="1"/>
                <w:iCs w:val="1"/>
                <w:color w:val="auto"/>
              </w:rPr>
              <w:t>Form of</w:t>
            </w:r>
          </w:p>
        </w:tc>
        <w:tc>
          <w:tcPr>
            <w:tcW w:w="9540" w:type="dxa"/>
            <w:vAlign w:val="bottom"/>
          </w:tcPr>
          <w:p>
            <w:pPr>
              <w:spacing w:after="0"/>
              <w:rPr>
                <w:sz w:val="24"/>
                <w:szCs w:val="24"/>
                <w:color w:val="auto"/>
              </w:rPr>
            </w:pPr>
          </w:p>
        </w:tc>
      </w:tr>
      <w:tr>
        <w:trPr>
          <w:trHeight w:val="378"/>
        </w:trPr>
        <w:tc>
          <w:tcPr>
            <w:tcW w:w="1700" w:type="dxa"/>
            <w:vAlign w:val="bottom"/>
          </w:tcPr>
          <w:p>
            <w:pPr>
              <w:ind w:left="20"/>
              <w:spacing w:after="0"/>
              <w:rPr>
                <w:sz w:val="20"/>
                <w:szCs w:val="20"/>
                <w:color w:val="auto"/>
              </w:rPr>
            </w:pPr>
            <w:r>
              <w:rPr>
                <w:rFonts w:ascii="Arial" w:cs="Arial" w:eastAsia="Arial" w:hAnsi="Arial"/>
                <w:sz w:val="20"/>
                <w:szCs w:val="20"/>
                <w:color w:val="auto"/>
              </w:rPr>
              <w:t>A</w:t>
            </w:r>
          </w:p>
        </w:tc>
        <w:tc>
          <w:tcPr>
            <w:tcW w:w="9540" w:type="dxa"/>
            <w:vAlign w:val="bottom"/>
          </w:tcPr>
          <w:p>
            <w:pPr>
              <w:ind w:left="340"/>
              <w:spacing w:after="0"/>
              <w:rPr>
                <w:sz w:val="20"/>
                <w:szCs w:val="20"/>
                <w:color w:val="auto"/>
              </w:rPr>
            </w:pPr>
            <w:r>
              <w:rPr>
                <w:rFonts w:ascii="Arial" w:cs="Arial" w:eastAsia="Arial" w:hAnsi="Arial"/>
                <w:sz w:val="20"/>
                <w:szCs w:val="20"/>
                <w:color w:val="auto"/>
              </w:rPr>
              <w:t>Committed Loan Notice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B</w:t>
            </w:r>
          </w:p>
        </w:tc>
        <w:tc>
          <w:tcPr>
            <w:tcW w:w="9540" w:type="dxa"/>
            <w:vAlign w:val="bottom"/>
          </w:tcPr>
          <w:p>
            <w:pPr>
              <w:ind w:left="340"/>
              <w:spacing w:after="0"/>
              <w:rPr>
                <w:sz w:val="20"/>
                <w:szCs w:val="20"/>
                <w:color w:val="auto"/>
              </w:rPr>
            </w:pPr>
            <w:r>
              <w:rPr>
                <w:rFonts w:ascii="Arial" w:cs="Arial" w:eastAsia="Arial" w:hAnsi="Arial"/>
                <w:sz w:val="20"/>
                <w:szCs w:val="20"/>
                <w:color w:val="auto"/>
              </w:rPr>
              <w:t>Swing Line Loan Notice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C-1</w:t>
            </w:r>
          </w:p>
        </w:tc>
        <w:tc>
          <w:tcPr>
            <w:tcW w:w="9540" w:type="dxa"/>
            <w:vAlign w:val="bottom"/>
          </w:tcPr>
          <w:p>
            <w:pPr>
              <w:ind w:left="340"/>
              <w:spacing w:after="0"/>
              <w:rPr>
                <w:sz w:val="20"/>
                <w:szCs w:val="20"/>
                <w:color w:val="auto"/>
              </w:rPr>
            </w:pPr>
            <w:r>
              <w:rPr>
                <w:rFonts w:ascii="Arial" w:cs="Arial" w:eastAsia="Arial" w:hAnsi="Arial"/>
                <w:sz w:val="20"/>
                <w:szCs w:val="20"/>
                <w:color w:val="auto"/>
              </w:rPr>
              <w:t>Revolving Note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C-2</w:t>
            </w:r>
          </w:p>
        </w:tc>
        <w:tc>
          <w:tcPr>
            <w:tcW w:w="9540" w:type="dxa"/>
            <w:vAlign w:val="bottom"/>
          </w:tcPr>
          <w:p>
            <w:pPr>
              <w:ind w:left="340"/>
              <w:spacing w:after="0"/>
              <w:rPr>
                <w:sz w:val="20"/>
                <w:szCs w:val="20"/>
                <w:color w:val="auto"/>
              </w:rPr>
            </w:pPr>
            <w:r>
              <w:rPr>
                <w:rFonts w:ascii="Arial" w:cs="Arial" w:eastAsia="Arial" w:hAnsi="Arial"/>
                <w:sz w:val="20"/>
                <w:szCs w:val="20"/>
                <w:color w:val="auto"/>
              </w:rPr>
              <w:t>Swing Line Note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D</w:t>
            </w:r>
          </w:p>
        </w:tc>
        <w:tc>
          <w:tcPr>
            <w:tcW w:w="9540" w:type="dxa"/>
            <w:vAlign w:val="bottom"/>
          </w:tcPr>
          <w:p>
            <w:pPr>
              <w:ind w:left="340"/>
              <w:spacing w:after="0"/>
              <w:rPr>
                <w:sz w:val="20"/>
                <w:szCs w:val="20"/>
                <w:color w:val="auto"/>
              </w:rPr>
            </w:pPr>
            <w:r>
              <w:rPr>
                <w:rFonts w:ascii="Arial" w:cs="Arial" w:eastAsia="Arial" w:hAnsi="Arial"/>
                <w:sz w:val="20"/>
                <w:szCs w:val="20"/>
                <w:color w:val="auto"/>
              </w:rPr>
              <w:t>Compliance Certificate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E</w:t>
            </w:r>
          </w:p>
        </w:tc>
        <w:tc>
          <w:tcPr>
            <w:tcW w:w="9540" w:type="dxa"/>
            <w:vAlign w:val="bottom"/>
          </w:tcPr>
          <w:p>
            <w:pPr>
              <w:ind w:left="340"/>
              <w:spacing w:after="0"/>
              <w:rPr>
                <w:sz w:val="20"/>
                <w:szCs w:val="20"/>
                <w:color w:val="auto"/>
              </w:rPr>
            </w:pPr>
            <w:r>
              <w:rPr>
                <w:rFonts w:ascii="Arial" w:cs="Arial" w:eastAsia="Arial" w:hAnsi="Arial"/>
                <w:sz w:val="20"/>
                <w:szCs w:val="20"/>
                <w:color w:val="auto"/>
              </w:rPr>
              <w:t>Assignment and Assumption</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F</w:t>
            </w:r>
          </w:p>
        </w:tc>
        <w:tc>
          <w:tcPr>
            <w:tcW w:w="9540" w:type="dxa"/>
            <w:vAlign w:val="bottom"/>
          </w:tcPr>
          <w:p>
            <w:pPr>
              <w:ind w:left="340"/>
              <w:spacing w:after="0"/>
              <w:rPr>
                <w:sz w:val="20"/>
                <w:szCs w:val="20"/>
                <w:color w:val="auto"/>
              </w:rPr>
            </w:pPr>
            <w:r>
              <w:rPr>
                <w:rFonts w:ascii="Arial" w:cs="Arial" w:eastAsia="Arial" w:hAnsi="Arial"/>
                <w:sz w:val="20"/>
                <w:szCs w:val="20"/>
                <w:color w:val="auto"/>
              </w:rPr>
              <w:t>Borrowing Base Certificate</w:t>
            </w:r>
          </w:p>
        </w:tc>
      </w:tr>
      <w:tr>
        <w:trPr>
          <w:trHeight w:val="270"/>
        </w:trPr>
        <w:tc>
          <w:tcPr>
            <w:tcW w:w="1700" w:type="dxa"/>
            <w:vAlign w:val="bottom"/>
          </w:tcPr>
          <w:p>
            <w:pPr>
              <w:ind w:left="20"/>
              <w:spacing w:after="0"/>
              <w:rPr>
                <w:sz w:val="20"/>
                <w:szCs w:val="20"/>
                <w:color w:val="auto"/>
              </w:rPr>
            </w:pPr>
            <w:r>
              <w:rPr>
                <w:rFonts w:ascii="Arial" w:cs="Arial" w:eastAsia="Arial" w:hAnsi="Arial"/>
                <w:sz w:val="20"/>
                <w:szCs w:val="20"/>
                <w:color w:val="auto"/>
              </w:rPr>
              <w:t>G-1 – G-4</w:t>
            </w:r>
          </w:p>
        </w:tc>
        <w:tc>
          <w:tcPr>
            <w:tcW w:w="9540" w:type="dxa"/>
            <w:vAlign w:val="bottom"/>
          </w:tcPr>
          <w:p>
            <w:pPr>
              <w:ind w:left="340"/>
              <w:spacing w:after="0"/>
              <w:rPr>
                <w:sz w:val="20"/>
                <w:szCs w:val="20"/>
                <w:color w:val="auto"/>
              </w:rPr>
            </w:pPr>
            <w:r>
              <w:rPr>
                <w:rFonts w:ascii="Arial" w:cs="Arial" w:eastAsia="Arial" w:hAnsi="Arial"/>
                <w:sz w:val="20"/>
                <w:szCs w:val="20"/>
                <w:color w:val="auto"/>
              </w:rPr>
              <w:t>Tax Compliance Certificates</w:t>
            </w:r>
          </w:p>
        </w:tc>
      </w:tr>
      <w:tr>
        <w:trPr>
          <w:trHeight w:val="646"/>
        </w:trPr>
        <w:tc>
          <w:tcPr>
            <w:tcW w:w="170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9540" w:type="dxa"/>
            <w:vAlign w:val="bottom"/>
          </w:tcPr>
          <w:p>
            <w:pPr>
              <w:ind w:left="3820"/>
              <w:spacing w:after="0"/>
              <w:rPr>
                <w:sz w:val="20"/>
                <w:szCs w:val="20"/>
                <w:color w:val="auto"/>
              </w:rPr>
            </w:pPr>
            <w:r>
              <w:rPr>
                <w:rFonts w:ascii="Arial" w:cs="Arial" w:eastAsia="Arial" w:hAnsi="Arial"/>
                <w:sz w:val="20"/>
                <w:szCs w:val="20"/>
                <w:color w:val="auto"/>
              </w:rPr>
              <w:t>-6-</w:t>
            </w:r>
          </w:p>
        </w:tc>
      </w:tr>
      <w:tr>
        <w:trPr>
          <w:trHeight w:val="383"/>
        </w:trPr>
        <w:tc>
          <w:tcPr>
            <w:tcW w:w="170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0" w:name="page11"/>
    <w:bookmarkEnd w:id="10"/>
    <w:p>
      <w:pPr>
        <w:ind w:left="4640"/>
        <w:spacing w:after="0"/>
        <w:rPr>
          <w:sz w:val="20"/>
          <w:szCs w:val="20"/>
          <w:color w:val="auto"/>
        </w:rPr>
      </w:pPr>
      <w:r>
        <w:rPr>
          <w:rFonts w:ascii="Arial" w:cs="Arial" w:eastAsia="Arial" w:hAnsi="Arial"/>
          <w:sz w:val="20"/>
          <w:szCs w:val="20"/>
          <w:color w:val="auto"/>
        </w:rPr>
        <w:t>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This CREDIT AGREEMENT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October 28, 2021, among: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DESTINATION XL GROUP, INC., a Delaware corporation (the “</w:t>
      </w:r>
      <w:r>
        <w:rPr>
          <w:rFonts w:ascii="Arial" w:cs="Arial" w:eastAsia="Arial" w:hAnsi="Arial"/>
          <w:sz w:val="20"/>
          <w:szCs w:val="20"/>
          <w:u w:val="single" w:color="auto"/>
          <w:color w:val="auto"/>
        </w:rPr>
        <w:t>Lead Borrower</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Persons named on </w:t>
      </w:r>
      <w:r>
        <w:rPr>
          <w:rFonts w:ascii="Arial" w:cs="Arial" w:eastAsia="Arial" w:hAnsi="Arial"/>
          <w:sz w:val="20"/>
          <w:szCs w:val="20"/>
          <w:u w:val="single" w:color="auto"/>
          <w:color w:val="auto"/>
        </w:rPr>
        <w:t>Schedule 1.01</w:t>
      </w:r>
      <w:r>
        <w:rPr>
          <w:rFonts w:ascii="Arial" w:cs="Arial" w:eastAsia="Arial" w:hAnsi="Arial"/>
          <w:sz w:val="20"/>
          <w:szCs w:val="20"/>
          <w:color w:val="auto"/>
        </w:rPr>
        <w:t xml:space="preserve"> hereto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Guarantors,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each Revolving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189"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color w:val="auto"/>
        </w:rPr>
        <w:t>CITIZENS BANK, N.A., a national banking association with offices at 28 State Street, Boston, MA 02109, as Administrative Agent, Collateral Agent, L/C Issuer and Swing Line Lender.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175" w:lineRule="exact"/>
        <w:rPr>
          <w:sz w:val="20"/>
          <w:szCs w:val="20"/>
          <w:color w:val="auto"/>
        </w:rPr>
      </w:pPr>
    </w:p>
    <w:p>
      <w:pPr>
        <w:ind w:right="200"/>
        <w:spacing w:after="0" w:line="292" w:lineRule="auto"/>
        <w:rPr>
          <w:sz w:val="20"/>
          <w:szCs w:val="20"/>
          <w:color w:val="auto"/>
        </w:rPr>
      </w:pPr>
      <w:r>
        <w:rPr>
          <w:rFonts w:ascii="Arial" w:cs="Arial" w:eastAsia="Arial" w:hAnsi="Arial"/>
          <w:sz w:val="20"/>
          <w:szCs w:val="20"/>
          <w:color w:val="auto"/>
        </w:rPr>
        <w:t>WHEREAS, the Borrowers have requested that the Revolving Lenders provide a revolving credit facility, and the Revolving Lenders have indicated their willingness to lend and the L/C Issuer has indicated its willingness to issue Letters of Credit, in each case on the terms and conditions set forth herein;</w:t>
      </w:r>
    </w:p>
    <w:p>
      <w:pPr>
        <w:spacing w:after="0" w:line="119" w:lineRule="exact"/>
        <w:rPr>
          <w:sz w:val="20"/>
          <w:szCs w:val="20"/>
          <w:color w:val="auto"/>
        </w:rPr>
      </w:pPr>
    </w:p>
    <w:p>
      <w:pPr>
        <w:ind w:right="540"/>
        <w:spacing w:after="0" w:line="303" w:lineRule="auto"/>
        <w:rPr>
          <w:sz w:val="20"/>
          <w:szCs w:val="20"/>
          <w:color w:val="auto"/>
        </w:rPr>
      </w:pPr>
      <w:r>
        <w:rPr>
          <w:rFonts w:ascii="Arial" w:cs="Arial" w:eastAsia="Arial" w:hAnsi="Arial"/>
          <w:sz w:val="20"/>
          <w:szCs w:val="20"/>
          <w:color w:val="auto"/>
        </w:rPr>
        <w:t>NOW, THEREFORE, in consideration of the mutual conditions and agreements set forth in this Agreement, and for good and valuable consideration, the receipt of which is hereby acknowledged, the undersigned hereby agree as follows: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DEFINITIONS AND ACCOUNTING TERMS</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1.01 Defined Terms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As used in this Agreement, the following terms shall have the meanings set forth below:</w:t>
      </w:r>
    </w:p>
    <w:p>
      <w:pPr>
        <w:spacing w:after="0" w:line="189" w:lineRule="exact"/>
        <w:rPr>
          <w:sz w:val="20"/>
          <w:szCs w:val="20"/>
          <w:color w:val="auto"/>
        </w:rPr>
      </w:pPr>
    </w:p>
    <w:p>
      <w:pPr>
        <w:spacing w:after="0" w:line="319" w:lineRule="auto"/>
        <w:rPr>
          <w:sz w:val="20"/>
          <w:szCs w:val="20"/>
          <w:color w:val="auto"/>
        </w:rPr>
      </w:pPr>
      <w:r>
        <w:rPr>
          <w:rFonts w:ascii="Arial" w:cs="Arial" w:eastAsia="Arial" w:hAnsi="Arial"/>
          <w:sz w:val="18"/>
          <w:szCs w:val="18"/>
          <w:color w:val="auto"/>
        </w:rPr>
        <w:t>“Accelerated Borrowing Base Delivery Event” means either (i) the occurrence and continuance of any Event of Default, or (ii) the failure of the Borrowers to maintain Availability at least equal to twelve and one-half percent (12.5%) of the Revolving Loan Cap. For purposes of this Agreement, the occurrence of an Accelerated Borrowing Base Delivery Event shall be deemed continuing at the Agent’s option (i) so long as such Event of Default has not been waived or is no longer continuing, and/or (ii) if the Accelerated Borrowing Base Delivery Event arises as a result of the Borrowers’ failure to achieve Availability as required hereunder, until Availability has exceeded twelve and one-half percent (12.5%) of the Revolving Loan Cap for sixty (60)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spacing w:after="0" w:line="89"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color w:val="auto"/>
        </w:rPr>
        <w:t>“Acceptable Document of Title” means, with respect to any Inventory, a tangible, negotiable bill of lading or other Document (as defined in the UCC) that (a) is issued by a common carrier which is not an Affiliate of the Approved Foreign Vendor or any Loan Party which is in actual possession of such Inventory, (b) is issued to the order of a Loan Party or, if so requested by the Agent, to the order of the Agent, (c) names the Agent as a notify party and bears a conspicuous notation on its face of the Agent’s</w:t>
      </w:r>
    </w:p>
    <w:p>
      <w:pPr>
        <w:spacing w:after="0" w:line="228"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1" w:name="page12"/>
    <w:bookmarkEnd w:id="11"/>
    <w:p>
      <w:pPr>
        <w:ind w:right="120"/>
        <w:spacing w:after="0" w:line="303" w:lineRule="auto"/>
        <w:rPr>
          <w:sz w:val="20"/>
          <w:szCs w:val="20"/>
          <w:color w:val="auto"/>
        </w:rPr>
      </w:pPr>
      <w:r>
        <w:rPr>
          <w:rFonts w:ascii="Arial" w:cs="Arial" w:eastAsia="Arial" w:hAnsi="Arial"/>
          <w:sz w:val="20"/>
          <w:szCs w:val="20"/>
          <w:color w:val="auto"/>
        </w:rPr>
        <w:t>security interest therein, (d) is not subject to any Lien (other than in favor of the Agent), and (e) is on terms otherwise reasonably acceptable to the Agent.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“Accommodation Payment” has the meaning set forth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“ACH” means automated clearing house transfers.</w:t>
      </w:r>
    </w:p>
    <w:p>
      <w:pPr>
        <w:spacing w:after="0" w:line="189" w:lineRule="exact"/>
        <w:rPr>
          <w:sz w:val="20"/>
          <w:szCs w:val="20"/>
          <w:color w:val="auto"/>
        </w:rPr>
      </w:pPr>
    </w:p>
    <w:p>
      <w:pPr>
        <w:jc w:val="both"/>
        <w:ind w:right="180"/>
        <w:spacing w:after="0" w:line="292" w:lineRule="auto"/>
        <w:rPr>
          <w:sz w:val="20"/>
          <w:szCs w:val="20"/>
          <w:color w:val="auto"/>
        </w:rPr>
      </w:pPr>
      <w:r>
        <w:rPr>
          <w:rFonts w:ascii="Arial" w:cs="Arial" w:eastAsia="Arial" w:hAnsi="Arial"/>
          <w:sz w:val="20"/>
          <w:szCs w:val="20"/>
          <w:color w:val="auto"/>
        </w:rPr>
        <w:t>“Account” means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“Account Control Agreement” has the meaning specified in the Security Agreement.</w:t>
      </w:r>
    </w:p>
    <w:p>
      <w:pPr>
        <w:spacing w:after="0" w:line="175" w:lineRule="exact"/>
        <w:rPr>
          <w:sz w:val="20"/>
          <w:szCs w:val="20"/>
          <w:color w:val="auto"/>
        </w:rPr>
      </w:pPr>
    </w:p>
    <w:p>
      <w:pPr>
        <w:ind w:right="40"/>
        <w:spacing w:after="0" w:line="352" w:lineRule="auto"/>
        <w:rPr>
          <w:sz w:val="20"/>
          <w:szCs w:val="20"/>
          <w:color w:val="auto"/>
        </w:rPr>
      </w:pPr>
      <w:r>
        <w:rPr>
          <w:rFonts w:ascii="Arial" w:cs="Arial" w:eastAsia="Arial" w:hAnsi="Arial"/>
          <w:sz w:val="16"/>
          <w:szCs w:val="16"/>
          <w:color w:val="auto"/>
        </w:rPr>
        <w:t>“Acquisition” means, with respect to any Person (a) a purchase of a Controlling interest in, the Equity Interests of any other Person, (b) a purchase or other acquisition of all or substantially all of the assets or properties of, another Person or of any business unit of another Person,</w:t>
      </w:r>
    </w:p>
    <w:p>
      <w:pPr>
        <w:ind w:firstLine="8"/>
        <w:spacing w:after="0" w:line="288" w:lineRule="auto"/>
        <w:tabs>
          <w:tab w:leader="none" w:pos="269"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merger or consolidation of such Person with any other Person or other transaction or series of transactions resulting in the acquisition of all or substantially all of the assets, or a Controlling interest in the Equity Interests, of any Person, or (d) any acquisition of any Store locations of any Person, in each case in any transaction or group of transactions which are part of a common plan, with an aggregate purchase price of $5,000,000.</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“Act” has the meaning set forth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“Additional Commitment Lender” has the meaning set forth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175" w:lineRule="exact"/>
        <w:rPr>
          <w:sz w:val="20"/>
          <w:szCs w:val="20"/>
          <w:color w:val="auto"/>
        </w:rPr>
      </w:pPr>
    </w:p>
    <w:p>
      <w:pPr>
        <w:ind w:right="240"/>
        <w:spacing w:after="0" w:line="292" w:lineRule="auto"/>
        <w:rPr>
          <w:sz w:val="20"/>
          <w:szCs w:val="20"/>
          <w:color w:val="auto"/>
        </w:rPr>
      </w:pPr>
      <w:r>
        <w:rPr>
          <w:rFonts w:ascii="Arial" w:cs="Arial" w:eastAsia="Arial" w:hAnsi="Arial"/>
          <w:sz w:val="20"/>
          <w:szCs w:val="20"/>
          <w:color w:val="auto"/>
        </w:rPr>
        <w:t xml:space="preserve">“Adjusted LIBOR Rate” means, with respect to any LIBOR Borrowing for any Interest Period, an interest rate per annum equal to the LIBOR Rate in effect for such Interest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the Statutory Reserve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Adjusted LIBOR Rate shall at no time be less than 0% per annum.</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“Adjustment Date” means the first day of each Fiscal Quarter, commencing with November 1, 2021.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Questionnaire” means an Administrative Questionnaire in a form supplied by the Agent.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“Affected Financial Institution” means any EEA Financial Institution or UK Financial Institution.</w:t>
      </w:r>
    </w:p>
    <w:p>
      <w:pPr>
        <w:spacing w:after="0" w:line="189"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w:t>
      </w:r>
    </w:p>
    <w:p>
      <w:pPr>
        <w:spacing w:after="0" w:line="94"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“Agent” means Citizens Bank in its capacity as administrative agent and collateral agent under any of the Loan Documents, or any successor thereto.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“Agent Parties” has the meaning set forth in </w:t>
      </w:r>
      <w:r>
        <w:rPr>
          <w:rFonts w:ascii="Arial" w:cs="Arial" w:eastAsia="Arial" w:hAnsi="Arial"/>
          <w:sz w:val="20"/>
          <w:szCs w:val="20"/>
          <w:u w:val="single" w:color="auto"/>
          <w:color w:val="auto"/>
        </w:rPr>
        <w:t>Section 10.02(c)</w:t>
      </w:r>
      <w:r>
        <w:rPr>
          <w:rFonts w:ascii="Arial" w:cs="Arial" w:eastAsia="Arial" w:hAnsi="Arial"/>
          <w:sz w:val="20"/>
          <w:szCs w:val="20"/>
          <w:color w:val="auto"/>
        </w:rPr>
        <w:t>.</w:t>
      </w:r>
    </w:p>
    <w:p>
      <w:pPr>
        <w:spacing w:after="0" w:line="189"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 xml:space="preserve">“Agent’s Office” means the Agent’s address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as the Agent may from time to time notify the Lead Borrower and the Lenders.</w:t>
      </w:r>
    </w:p>
    <w:p>
      <w:pPr>
        <w:spacing w:after="0" w:line="22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 w:name="page13"/>
    <w:bookmarkEnd w:id="12"/>
    <w:p>
      <w:pPr>
        <w:ind w:right="60"/>
        <w:spacing w:after="0" w:line="303" w:lineRule="auto"/>
        <w:rPr>
          <w:sz w:val="20"/>
          <w:szCs w:val="20"/>
          <w:color w:val="auto"/>
        </w:rPr>
      </w:pPr>
      <w:r>
        <w:rPr>
          <w:rFonts w:ascii="Arial" w:cs="Arial" w:eastAsia="Arial" w:hAnsi="Arial"/>
          <w:sz w:val="20"/>
          <w:szCs w:val="20"/>
          <w:color w:val="auto"/>
        </w:rPr>
        <w:t>“Aggregate Revolving Commitments” means the sum of the Revolving Commitments of all the Revolving Lenders. As of the Closing Date, the Aggregate Revolving Commitments are $125,000,000.</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“Agreement” means this Credit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“Allocable Amount” has the meaning set forth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“Amazon” means Amazon.com Services, Inc., a Delaware corporation, and its affiliates.</w:t>
      </w:r>
    </w:p>
    <w:p>
      <w:pPr>
        <w:spacing w:after="0" w:line="189" w:lineRule="exact"/>
        <w:rPr>
          <w:sz w:val="20"/>
          <w:szCs w:val="20"/>
          <w:color w:val="auto"/>
        </w:rPr>
      </w:pPr>
    </w:p>
    <w:p>
      <w:pPr>
        <w:jc w:val="both"/>
        <w:ind w:right="600"/>
        <w:spacing w:after="0" w:line="292" w:lineRule="auto"/>
        <w:rPr>
          <w:sz w:val="20"/>
          <w:szCs w:val="20"/>
          <w:color w:val="auto"/>
        </w:rPr>
      </w:pPr>
      <w:r>
        <w:rPr>
          <w:rFonts w:ascii="Arial" w:cs="Arial" w:eastAsia="Arial" w:hAnsi="Arial"/>
          <w:sz w:val="20"/>
          <w:szCs w:val="20"/>
          <w:color w:val="auto"/>
        </w:rPr>
        <w:t>“Anti-Corruption Laws”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106" w:lineRule="exact"/>
        <w:rPr>
          <w:sz w:val="20"/>
          <w:szCs w:val="20"/>
          <w:color w:val="auto"/>
        </w:rPr>
      </w:pPr>
    </w:p>
    <w:p>
      <w:pPr>
        <w:ind w:right="280"/>
        <w:spacing w:after="0" w:line="292" w:lineRule="auto"/>
        <w:rPr>
          <w:sz w:val="20"/>
          <w:szCs w:val="20"/>
          <w:color w:val="auto"/>
        </w:rPr>
      </w:pPr>
      <w:r>
        <w:rPr>
          <w:rFonts w:ascii="Arial" w:cs="Arial" w:eastAsia="Arial" w:hAnsi="Arial"/>
          <w:sz w:val="20"/>
          <w:szCs w:val="20"/>
          <w:color w:val="auto"/>
        </w:rPr>
        <w:t>“Anti-Money Laundering Laws”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1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“Applicable Lenders” means the Required Lenders, the Required Supermajority Lenders, all affected Lenders, or all Lenders, as the context may require.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“Applicable Margin” means:</w:t>
      </w:r>
    </w:p>
    <w:p>
      <w:pPr>
        <w:spacing w:after="0" w:line="175" w:lineRule="exact"/>
        <w:rPr>
          <w:sz w:val="20"/>
          <w:szCs w:val="20"/>
          <w:color w:val="auto"/>
        </w:rPr>
      </w:pPr>
    </w:p>
    <w:p>
      <w:pPr>
        <w:ind w:left="1600" w:right="140" w:firstLine="799"/>
        <w:spacing w:after="0" w:line="303" w:lineRule="auto"/>
        <w:tabs>
          <w:tab w:leader="none" w:pos="2997" w:val="left"/>
        </w:tabs>
        <w:numPr>
          <w:ilvl w:val="0"/>
          <w:numId w:val="4"/>
        </w:numPr>
        <w:rPr>
          <w:rFonts w:ascii="Arial" w:cs="Arial" w:eastAsia="Arial" w:hAnsi="Arial"/>
          <w:sz w:val="20"/>
          <w:szCs w:val="20"/>
          <w:color w:val="auto"/>
        </w:rPr>
      </w:pPr>
      <w:r>
        <w:rPr>
          <w:rFonts w:ascii="Arial" w:cs="Arial" w:eastAsia="Arial" w:hAnsi="Arial"/>
          <w:sz w:val="20"/>
          <w:szCs w:val="20"/>
          <w:color w:val="auto"/>
        </w:rPr>
        <w:t>From and after the Closing Date until the first Adjustment Date, the percentages set forth in Level I of the pricing grid below; and</w:t>
      </w:r>
    </w:p>
    <w:p>
      <w:pPr>
        <w:spacing w:after="0" w:line="107" w:lineRule="exact"/>
        <w:rPr>
          <w:rFonts w:ascii="Arial" w:cs="Arial" w:eastAsia="Arial" w:hAnsi="Arial"/>
          <w:sz w:val="20"/>
          <w:szCs w:val="20"/>
          <w:color w:val="auto"/>
        </w:rPr>
      </w:pPr>
    </w:p>
    <w:p>
      <w:pPr>
        <w:ind w:left="1600" w:firstLine="799"/>
        <w:spacing w:after="0" w:line="301" w:lineRule="auto"/>
        <w:tabs>
          <w:tab w:leader="none" w:pos="299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From and after the first Adjustment Date and on each Adjustment Date thereafter, the Applicable Margin shall be determined from the following pricing grid based upon the Average Revolving Availability as of the Fiscal Quarter ended immediately preceding such Adjustment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any Borrowing Base Certificates are at any time restated or otherwise revised (including as a result of an audit) or if the information set forth in any Borrowing Base Certificates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3" w:name="page14"/>
    <w:bookmarkEnd w:id="13"/>
    <w:tbl>
      <w:tblPr>
        <w:tblLayout w:type="fixed"/>
        <w:tblInd w:w="1750" w:type="dxa"/>
        <w:tblCellMar>
          <w:top w:w="0" w:type="dxa"/>
          <w:left w:w="0" w:type="dxa"/>
          <w:bottom w:w="0" w:type="dxa"/>
          <w:right w:w="0" w:type="dxa"/>
        </w:tblCellMar>
      </w:tblPr>
      <w:tr>
        <w:trPr>
          <w:trHeight w:val="291"/>
        </w:trPr>
        <w:tc>
          <w:tcPr>
            <w:tcW w:w="102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Average</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Applicable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134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Level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Revolving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Margin for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Margin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Standby L/C</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Commercial L/C</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vMerge w:val="continue"/>
          </w:tcPr>
          <w:p>
            <w:pPr>
              <w:spacing w:after="0"/>
              <w:rPr>
                <w:sz w:val="23"/>
                <w:szCs w:val="23"/>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Availability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LIBOR Rate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Fee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Fee</w:t>
            </w:r>
          </w:p>
        </w:tc>
        <w:tc>
          <w:tcPr>
            <w:tcW w:w="0" w:type="dxa"/>
            <w:vAlign w:val="bottom"/>
          </w:tcPr>
          <w:p>
            <w:pPr>
              <w:spacing w:after="0"/>
              <w:rPr>
                <w:sz w:val="1"/>
                <w:szCs w:val="1"/>
                <w:color w:val="auto"/>
              </w:rPr>
            </w:pPr>
          </w:p>
        </w:tc>
      </w:tr>
      <w:tr>
        <w:trPr>
          <w:trHeight w:val="276"/>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3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Greater than 35%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0.25%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of the Borrowing</w:t>
            </w:r>
          </w:p>
        </w:tc>
        <w:tc>
          <w:tcPr>
            <w:tcW w:w="156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Base</w:t>
            </w:r>
          </w:p>
        </w:tc>
        <w:tc>
          <w:tcPr>
            <w:tcW w:w="156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to 35% of the</w:t>
            </w:r>
          </w:p>
        </w:tc>
        <w:tc>
          <w:tcPr>
            <w:tcW w:w="156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right w:val="single" w:sz="8" w:color="auto"/>
            </w:tcBorders>
          </w:tcPr>
          <w:p>
            <w:pPr>
              <w:spacing w:after="0"/>
              <w:rPr>
                <w:sz w:val="23"/>
                <w:szCs w:val="23"/>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Borrowing Base</w:t>
            </w:r>
          </w:p>
        </w:tc>
        <w:tc>
          <w:tcPr>
            <w:tcW w:w="156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right="60" w:firstLine="749"/>
        <w:spacing w:after="0" w:line="321" w:lineRule="auto"/>
        <w:rPr>
          <w:sz w:val="20"/>
          <w:szCs w:val="20"/>
          <w:color w:val="auto"/>
        </w:rPr>
      </w:pPr>
      <w:r>
        <w:rPr>
          <w:rFonts w:ascii="Arial" w:cs="Arial" w:eastAsia="Arial" w:hAnsi="Arial"/>
          <w:sz w:val="18"/>
          <w:szCs w:val="18"/>
          <w:color w:val="auto"/>
        </w:rPr>
        <w:t xml:space="preserve">“Applicable Percentage” means, with respect to any Lender at any time, the percentage (carried out to the ninth decimal place) of the Aggregate Revolving Commitments represented by such Lender’s Revolving Commitment at such time. If the commitment of each Lender to make Loans and the obligation of the L/C Issuer to make L/C Credit Extensions have been terminated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87"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“Appraised Value” means, with respect to Inventory, the appraised orderly liquidation value, net of costs and expenses to be incurred in connection with any such liquidation, which value is expressed as a percentage of Cost of Inventory as set forth in the inventory stock ledger of the Lead Borrower, which value shall be determined from time to time on a seasonal or monthly basis, as determined by the Agent in its reasonable discretion, pursuant to the most recent appraisal undertaken by an independent appraiser engaged by the Agent.</w:t>
      </w:r>
    </w:p>
    <w:p>
      <w:pPr>
        <w:spacing w:after="0" w:line="94"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“Approved Foreign Vendor” means a Foreign Vendor which (a) is located in any country acceptable to the Agent in its discretion, (b) has received timely payment or performance of all obligations owed to it by the Loan Parties, (c) has not asserted and has no right to assert any reclamation, repossession, diversion, stoppage in transit, Lien or title retention rights in respect of such Inventory and (d), if so requested by the Agent, shall use commercially reasonable efforts to enter into the Foreign Vendor Agreement.</w:t>
      </w:r>
    </w:p>
    <w:p>
      <w:pPr>
        <w:spacing w:after="0" w:line="107" w:lineRule="exact"/>
        <w:rPr>
          <w:sz w:val="20"/>
          <w:szCs w:val="20"/>
          <w:color w:val="auto"/>
        </w:rPr>
      </w:pPr>
    </w:p>
    <w:p>
      <w:pPr>
        <w:jc w:val="both"/>
        <w:ind w:right="40"/>
        <w:spacing w:after="0" w:line="292" w:lineRule="auto"/>
        <w:rPr>
          <w:sz w:val="20"/>
          <w:szCs w:val="20"/>
          <w:color w:val="auto"/>
        </w:rPr>
      </w:pPr>
      <w:r>
        <w:rPr>
          <w:rFonts w:ascii="Arial" w:cs="Arial" w:eastAsia="Arial" w:hAnsi="Arial"/>
          <w:sz w:val="20"/>
          <w:szCs w:val="20"/>
          <w:color w:val="auto"/>
        </w:rPr>
        <w:t>“Approved Fund” means any Fund that is administered or managed by (a) a Lender, (b) an Affiliate of a Lender, (c) an entity or an Affiliate of an entity that administers or manages a Lender or (d) the same investment advisor or an advisor under common control with such Lender, Affiliate or advisor, as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“Approved Wholesale Retailer” means Amazon and any other wholesale retailer, as determined by the Agent in its sole discretion.</w:t>
      </w:r>
    </w:p>
    <w:p>
      <w:pPr>
        <w:spacing w:after="0" w:line="32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73" w:right="41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“Arranger” means Citizens Bank, N.A., in its capacity as sole lead arranger and sole book manager.</w:t>
      </w:r>
    </w:p>
    <w:p>
      <w:pPr>
        <w:spacing w:after="0" w:line="18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“Assignee Group” means two or more Eligible Assignees that are Affiliates of one another or two or more Approved Funds managed by the same investment advisor.</w:t>
      </w:r>
    </w:p>
    <w:p>
      <w:pPr>
        <w:spacing w:after="0" w:line="94"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color w:val="auto"/>
        </w:rPr>
        <w:t xml:space="preserve">“Assignment and Assumption”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and accepted by the Agent, in substantially the form of Exhibit E or any other form approved by the Agent.</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23"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“Audited Financial Statements” means the audited consolidated balance sheet of the Lead Borrower and its Subsidiaries for the Fiscal Year ended January 30, 2021, and the related consolidated statements of income or operations, Shareholders’ Equity and cash flows for such Fiscal Year of the Lead Borrower and its Subsidiaries, including the notes thereto.</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“Auto-Renewal Letter of Credit” has the meaning set forth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“Availability” means, as of any date of determination thereof by the Agent, the result, if a positive number, of:</w:t>
      </w:r>
    </w:p>
    <w:p>
      <w:pPr>
        <w:spacing w:after="0" w:line="189" w:lineRule="exact"/>
        <w:rPr>
          <w:sz w:val="20"/>
          <w:szCs w:val="20"/>
          <w:color w:val="auto"/>
        </w:rPr>
      </w:pPr>
    </w:p>
    <w:p>
      <w:pPr>
        <w:ind w:left="3000" w:right="7340" w:hanging="1495"/>
        <w:spacing w:after="0" w:line="477" w:lineRule="auto"/>
        <w:tabs>
          <w:tab w:leader="none" w:pos="189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Revolving Loan Cap </w:t>
      </w:r>
      <w:r>
        <w:rPr>
          <w:rFonts w:ascii="Arial" w:cs="Arial" w:eastAsia="Arial" w:hAnsi="Arial"/>
          <w:sz w:val="18"/>
          <w:szCs w:val="18"/>
          <w:u w:val="single" w:color="auto"/>
          <w:color w:val="auto"/>
        </w:rPr>
        <w:t>Minus</w:t>
      </w:r>
    </w:p>
    <w:p>
      <w:pPr>
        <w:ind w:left="1900" w:hanging="395"/>
        <w:spacing w:after="0"/>
        <w:tabs>
          <w:tab w:leader="none" w:pos="1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aggregate amount of the Total Outstandings.</w:t>
      </w:r>
    </w:p>
    <w:p>
      <w:pPr>
        <w:spacing w:after="0" w:line="189" w:lineRule="exact"/>
        <w:rPr>
          <w:sz w:val="20"/>
          <w:szCs w:val="20"/>
          <w:color w:val="auto"/>
        </w:rPr>
      </w:pPr>
    </w:p>
    <w:p>
      <w:pPr>
        <w:ind w:right="640"/>
        <w:spacing w:after="0" w:line="303" w:lineRule="auto"/>
        <w:rPr>
          <w:sz w:val="20"/>
          <w:szCs w:val="20"/>
          <w:color w:val="auto"/>
        </w:rPr>
      </w:pPr>
      <w:r>
        <w:rPr>
          <w:rFonts w:ascii="Arial" w:cs="Arial" w:eastAsia="Arial" w:hAnsi="Arial"/>
          <w:sz w:val="20"/>
          <w:szCs w:val="20"/>
          <w:color w:val="auto"/>
        </w:rPr>
        <w:t>In calculating Availability at any time and for any purpose under this Agreement, the Lead Borrower shall certify to the Agent that all accounts payable and Taxes are being paid on a timely basis.</w:t>
      </w:r>
    </w:p>
    <w:p>
      <w:pPr>
        <w:spacing w:after="0" w:line="94" w:lineRule="exact"/>
        <w:rPr>
          <w:sz w:val="20"/>
          <w:szCs w:val="20"/>
          <w:color w:val="auto"/>
        </w:rPr>
      </w:pPr>
    </w:p>
    <w:p>
      <w:pPr>
        <w:ind w:right="180"/>
        <w:spacing w:after="0" w:line="314" w:lineRule="auto"/>
        <w:rPr>
          <w:sz w:val="20"/>
          <w:szCs w:val="20"/>
          <w:color w:val="auto"/>
        </w:rPr>
      </w:pPr>
      <w:r>
        <w:rPr>
          <w:rFonts w:ascii="Arial" w:cs="Arial" w:eastAsia="Arial" w:hAnsi="Arial"/>
          <w:sz w:val="19"/>
          <w:szCs w:val="19"/>
          <w:color w:val="auto"/>
        </w:rPr>
        <w:t xml:space="preserve">“Availability Period” means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Aggregate Revolving Commitments and of the obligation of the L/C Issuer to make L/C Credit Extensions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101" w:lineRule="exact"/>
        <w:rPr>
          <w:sz w:val="20"/>
          <w:szCs w:val="20"/>
          <w:color w:val="auto"/>
        </w:rPr>
      </w:pPr>
    </w:p>
    <w:p>
      <w:pPr>
        <w:ind w:right="220"/>
        <w:spacing w:after="0" w:line="321" w:lineRule="auto"/>
        <w:rPr>
          <w:sz w:val="20"/>
          <w:szCs w:val="20"/>
          <w:color w:val="auto"/>
        </w:rPr>
      </w:pPr>
      <w:r>
        <w:rPr>
          <w:rFonts w:ascii="Arial" w:cs="Arial" w:eastAsia="Arial" w:hAnsi="Arial"/>
          <w:sz w:val="18"/>
          <w:szCs w:val="18"/>
          <w:color w:val="auto"/>
        </w:rPr>
        <w:t>“Availability Reserves” means, without duplication of any other Reserves or items that are otherwise addressed or excluded through eligibility criteria, such reserves as the Agent from time to time determines in its discretion as being appropriate (a) to reflect the impediments to the Agent’s ability to realize upon the Collateral, (b) to reflect claims and liabilities that the Agent determines in good faith will need to be satisfied in connection with the realization upon such Collateral, (c) to reflect criteria, events, conditions, contingencies or risks which adversely affect any component of the Borrowing Base or the assets, business, financial performance or financial condition of any Loan Party, (d) to reflect that a Default or an Event of Default then exists or (e) on account of Cash Management Services and Bank Products. Without limiting the generality of the foregoing, Availability Reserves may include, in the</w:t>
      </w:r>
    </w:p>
    <w:p>
      <w:pPr>
        <w:spacing w:after="0" w:line="222"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5" w:name="page16"/>
    <w:bookmarkEnd w:id="15"/>
    <w:p>
      <w:pPr>
        <w:ind w:right="120"/>
        <w:spacing w:after="0" w:line="284" w:lineRule="auto"/>
        <w:rPr>
          <w:sz w:val="20"/>
          <w:szCs w:val="20"/>
          <w:color w:val="auto"/>
        </w:rPr>
      </w:pPr>
      <w:r>
        <w:rPr>
          <w:rFonts w:ascii="Arial" w:cs="Arial" w:eastAsia="Arial" w:hAnsi="Arial"/>
          <w:sz w:val="20"/>
          <w:szCs w:val="20"/>
          <w:color w:val="auto"/>
        </w:rPr>
        <w:t xml:space="preserve">Agent’s discretion, (but are not limited to) reserves based on: (i) rent (not to exceed the sum of all delinquent rent plus three (3) months’ rent); (ii) customs duties, and other costs to release Inventory which is being imported into the United States; (iii) outstanding Taxes and other governmental charges, including, without limitation, ad valorem, real estate, personal property, sales, claims of the PBGC and other Taxes which may be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have priority over the interests of the Agent in the Collateral; (iv) salaries, wages and benefits due to employees of any Borrower, (v) Customer Credit Liabilities, (vi) customer deposits, (vii) reserves for reasonably anticipated changes in the Appraised Value of Eligible Inventory between appraisals, (viii) warehousemen’s or bailee’s charges and other Permitted Encumbrances which are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may have priority over the interests of the Agent in the Collateral, (ix) amounts due to vendors on account of consigned goods, (x) Cash Management Reserves, (xi) Bank Products Reserves, and (xii) royalties payable in respect of licensed merchandise.</w:t>
      </w:r>
    </w:p>
    <w:p>
      <w:pPr>
        <w:spacing w:after="0" w:line="129" w:lineRule="exact"/>
        <w:rPr>
          <w:sz w:val="20"/>
          <w:szCs w:val="20"/>
          <w:color w:val="auto"/>
        </w:rPr>
      </w:pPr>
    </w:p>
    <w:p>
      <w:pPr>
        <w:ind w:right="60"/>
        <w:spacing w:after="0" w:line="329" w:lineRule="auto"/>
        <w:rPr>
          <w:sz w:val="20"/>
          <w:szCs w:val="20"/>
          <w:color w:val="auto"/>
        </w:rPr>
      </w:pPr>
      <w:r>
        <w:rPr>
          <w:rFonts w:ascii="Arial" w:cs="Arial" w:eastAsia="Arial" w:hAnsi="Arial"/>
          <w:sz w:val="18"/>
          <w:szCs w:val="18"/>
          <w:color w:val="231F20"/>
        </w:rPr>
        <w:t xml:space="preserve">“Available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w:t>
      </w:r>
      <w:r>
        <w:rPr>
          <w:rFonts w:ascii="Arial" w:cs="Arial" w:eastAsia="Arial" w:hAnsi="Arial"/>
          <w:sz w:val="18"/>
          <w:szCs w:val="18"/>
          <w:color w:val="000000"/>
        </w:rPr>
        <w:t>(iv)</w:t>
      </w:r>
      <w:r>
        <w:rPr>
          <w:rFonts w:ascii="Arial" w:cs="Arial" w:eastAsia="Arial" w:hAnsi="Arial"/>
          <w:sz w:val="18"/>
          <w:szCs w:val="18"/>
          <w:color w:val="231F20"/>
        </w:rPr>
        <w:t xml:space="preserve"> of Section 3.03(b).</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“Average Revolving Availability” shall mean the average daily Availability for the immediately preceding Fiscal Quarter.</w:t>
      </w:r>
    </w:p>
    <w:p>
      <w:pPr>
        <w:spacing w:after="0" w:line="189" w:lineRule="exact"/>
        <w:rPr>
          <w:sz w:val="20"/>
          <w:szCs w:val="20"/>
          <w:color w:val="auto"/>
        </w:rPr>
      </w:pPr>
    </w:p>
    <w:p>
      <w:pPr>
        <w:ind w:right="260"/>
        <w:spacing w:after="0" w:line="303" w:lineRule="auto"/>
        <w:rPr>
          <w:sz w:val="20"/>
          <w:szCs w:val="20"/>
          <w:color w:val="auto"/>
        </w:rPr>
      </w:pPr>
      <w:r>
        <w:rPr>
          <w:rFonts w:ascii="Arial" w:cs="Arial" w:eastAsia="Arial" w:hAnsi="Arial"/>
          <w:sz w:val="20"/>
          <w:szCs w:val="20"/>
          <w:color w:val="auto"/>
        </w:rPr>
        <w:t>“Bail-In Action” means the exercise of any Write-Down and Conversion Powers by the applicable EEA Resolution Authority in respect of any liability of an EEA Financial Institution.</w:t>
      </w:r>
    </w:p>
    <w:p>
      <w:pPr>
        <w:spacing w:after="0" w:line="108"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“Bail-In Legislation” means with respect to (a) any EEA Member Country implementing Article 55 of Directive 2014/59/EU of the European Parliament and of the Council of the European Union, the implementing law for such EEA Member Country from time to time which is described in the EU Bail-In Legislation Schedule, or (b) the United Kingdom, Part I of the United Kingdom Banking Act 2009 and any other law applicable in the United Kingdom relating to the resolution of unsound or failing banks, investment firms or other financial institutions or their affiliates (other than through liquidation, administration or other insolvency proceedings).</w:t>
      </w:r>
    </w:p>
    <w:p>
      <w:pPr>
        <w:spacing w:after="0" w:line="97" w:lineRule="exact"/>
        <w:rPr>
          <w:sz w:val="20"/>
          <w:szCs w:val="20"/>
          <w:color w:val="auto"/>
        </w:rPr>
      </w:pPr>
    </w:p>
    <w:p>
      <w:pPr>
        <w:ind w:right="120"/>
        <w:spacing w:after="0" w:line="331" w:lineRule="auto"/>
        <w:rPr>
          <w:sz w:val="20"/>
          <w:szCs w:val="20"/>
          <w:color w:val="auto"/>
        </w:rPr>
      </w:pPr>
      <w:r>
        <w:rPr>
          <w:rFonts w:ascii="Arial" w:cs="Arial" w:eastAsia="Arial" w:hAnsi="Arial"/>
          <w:sz w:val="19"/>
          <w:szCs w:val="19"/>
          <w:color w:val="auto"/>
        </w:rPr>
        <w:t>“Bank Product Reserves” means such reserves as the Agent from time to time determines in its reasonable discretion as being appropriate to reflect the liabilities and obligations of the Loan Parties with respect to Bank Products then provided or outstanding.</w:t>
      </w:r>
    </w:p>
    <w:p>
      <w:pPr>
        <w:spacing w:after="0" w:line="86" w:lineRule="exact"/>
        <w:rPr>
          <w:sz w:val="20"/>
          <w:szCs w:val="20"/>
          <w:color w:val="auto"/>
        </w:rPr>
      </w:pPr>
    </w:p>
    <w:p>
      <w:pPr>
        <w:ind w:right="60"/>
        <w:spacing w:after="0" w:line="381" w:lineRule="auto"/>
        <w:rPr>
          <w:sz w:val="20"/>
          <w:szCs w:val="20"/>
          <w:color w:val="auto"/>
        </w:rPr>
      </w:pPr>
      <w:r>
        <w:rPr>
          <w:rFonts w:ascii="Arial" w:cs="Arial" w:eastAsia="Arial" w:hAnsi="Arial"/>
          <w:sz w:val="16"/>
          <w:szCs w:val="16"/>
          <w:color w:val="auto"/>
        </w:rPr>
        <w:t>“Bank Products” means any services or facilities provided to any Loan Party by the Agent, any Lender, or any of their respective Affiliates (or by a Person that, at the time it entered into an agreement to provide such services or facilities, was the Agent, a Lender or an Affiliate thereof), including, without limitation, on account of (a) Swap Contracts, (b) leasing, (c) factoring and (d) supply chain finance services (including, without limitation, trade payable services and supplier accounts receivable purchases), but excluding Cash Management Services.</w:t>
      </w:r>
    </w:p>
    <w:p>
      <w:pPr>
        <w:spacing w:after="0" w:line="60"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“Banker’s Acceptance” means a time draft or bill of exchange or other deferred payment obligation relating to a Commercial Letter of Credit which has been accepted by the L/C Issuer.</w:t>
      </w:r>
    </w:p>
    <w:p>
      <w:pPr>
        <w:spacing w:after="0" w:line="2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6" w:name="page17"/>
    <w:bookmarkEnd w:id="16"/>
    <w:p>
      <w:pPr>
        <w:spacing w:after="0" w:line="319" w:lineRule="auto"/>
        <w:rPr>
          <w:sz w:val="20"/>
          <w:szCs w:val="20"/>
          <w:color w:val="auto"/>
        </w:rPr>
      </w:pPr>
      <w:r>
        <w:rPr>
          <w:rFonts w:ascii="Arial" w:cs="Arial" w:eastAsia="Arial" w:hAnsi="Arial"/>
          <w:sz w:val="18"/>
          <w:szCs w:val="18"/>
          <w:color w:val="auto"/>
        </w:rPr>
        <w:t xml:space="preserve">“Base Rate” means, for any day, a rate per annum equal to the greatest of (a) the Prime Rate in effect on such day, (b) 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per annum and (c) the Daily LIBOR Rate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Base Rate shall at no time be less than 0.00% per annum. If the Agent shall have determined (which determination shall be conclusive absent clearly manifest error) that it is unable to ascertain the Federal Funds Effective Rate or the Daily LIBOR Rate for any reason, including the inability or failure of the Agent to obtain sufficient quotations in accordance with the terms of the definition of the term Federal Funds Effective Rate, the Base Rate shall be determined without regard to clause (b) or (c), as applicable, of the preceding sentence until the circumstances giving rise to such inability no longer exist. Any change in the Base Rate due to a change in the Prime Rate, the Federal Funds Effective Rate or the Daily LIBOR Rate shall be effective from and including the effective date of such change in the Prime Rate, the Federal Funds Effective Rate or the Daily LIBOR Rate,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auto"/>
        </w:rPr>
        <w:t>“Base Rate Loan” means a Loan that bears interest based on the Base Rate.</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“Benchmark” means, initially, USD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clause (i) of Section 3.03(b).</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“Benchmark Replacement” means, for any Available Tenor, the first alternative set forth in the order below that can be determined by the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Agent for the applicable Benchmark Replacement Date:</w:t>
      </w:r>
    </w:p>
    <w:p>
      <w:pPr>
        <w:spacing w:after="0" w:line="189" w:lineRule="exact"/>
        <w:rPr>
          <w:sz w:val="20"/>
          <w:szCs w:val="20"/>
          <w:color w:val="auto"/>
        </w:rPr>
      </w:pPr>
    </w:p>
    <w:p>
      <w:pPr>
        <w:ind w:left="1240" w:hanging="359"/>
        <w:spacing w:after="0"/>
        <w:tabs>
          <w:tab w:leader="none" w:pos="1240" w:val="left"/>
        </w:tabs>
        <w:numPr>
          <w:ilvl w:val="0"/>
          <w:numId w:val="6"/>
        </w:numPr>
        <w:rPr>
          <w:rFonts w:ascii="Arial" w:cs="Arial" w:eastAsia="Arial" w:hAnsi="Arial"/>
          <w:sz w:val="20"/>
          <w:szCs w:val="20"/>
          <w:color w:val="231F20"/>
        </w:rPr>
      </w:pPr>
      <w:r>
        <w:rPr>
          <w:rFonts w:ascii="Arial" w:cs="Arial" w:eastAsia="Arial" w:hAnsi="Arial"/>
          <w:sz w:val="20"/>
          <w:szCs w:val="20"/>
          <w:color w:val="auto"/>
        </w:rPr>
        <w:t>the sum of: (a) Term SOFR and (b) the related Benchmark Replacement Adjustment;</w:t>
      </w:r>
    </w:p>
    <w:p>
      <w:pPr>
        <w:spacing w:after="0" w:line="175" w:lineRule="exact"/>
        <w:rPr>
          <w:rFonts w:ascii="Arial" w:cs="Arial" w:eastAsia="Arial" w:hAnsi="Arial"/>
          <w:sz w:val="20"/>
          <w:szCs w:val="20"/>
          <w:color w:val="231F20"/>
        </w:rPr>
      </w:pPr>
    </w:p>
    <w:p>
      <w:pPr>
        <w:ind w:left="1240" w:hanging="359"/>
        <w:spacing w:after="0"/>
        <w:tabs>
          <w:tab w:leader="none" w:pos="1240" w:val="left"/>
        </w:tabs>
        <w:numPr>
          <w:ilvl w:val="0"/>
          <w:numId w:val="6"/>
        </w:numPr>
        <w:rPr>
          <w:rFonts w:ascii="Arial" w:cs="Arial" w:eastAsia="Arial" w:hAnsi="Arial"/>
          <w:sz w:val="20"/>
          <w:szCs w:val="20"/>
          <w:color w:val="231F20"/>
        </w:rPr>
      </w:pPr>
      <w:r>
        <w:rPr>
          <w:rFonts w:ascii="Arial" w:cs="Arial" w:eastAsia="Arial" w:hAnsi="Arial"/>
          <w:sz w:val="20"/>
          <w:szCs w:val="20"/>
          <w:color w:val="auto"/>
        </w:rPr>
        <w:t>the sum of: (a) Daily Simple SOFR and (b) the related Benchmark Replacement Adjustment;</w:t>
      </w:r>
    </w:p>
    <w:p>
      <w:pPr>
        <w:spacing w:after="0" w:line="188" w:lineRule="exact"/>
        <w:rPr>
          <w:rFonts w:ascii="Arial" w:cs="Arial" w:eastAsia="Arial" w:hAnsi="Arial"/>
          <w:sz w:val="20"/>
          <w:szCs w:val="20"/>
          <w:color w:val="231F20"/>
        </w:rPr>
      </w:pPr>
    </w:p>
    <w:p>
      <w:pPr>
        <w:ind w:left="1240" w:right="20" w:hanging="359"/>
        <w:spacing w:after="0" w:line="286" w:lineRule="auto"/>
        <w:tabs>
          <w:tab w:leader="none" w:pos="1240" w:val="left"/>
        </w:tabs>
        <w:numPr>
          <w:ilvl w:val="0"/>
          <w:numId w:val="6"/>
        </w:numPr>
        <w:rPr>
          <w:rFonts w:ascii="Arial" w:cs="Arial" w:eastAsia="Arial" w:hAnsi="Arial"/>
          <w:sz w:val="20"/>
          <w:szCs w:val="20"/>
          <w:color w:val="231F20"/>
        </w:rPr>
      </w:pPr>
      <w:r>
        <w:rPr>
          <w:rFonts w:ascii="Arial" w:cs="Arial" w:eastAsia="Arial" w:hAnsi="Arial"/>
          <w:sz w:val="20"/>
          <w:szCs w:val="20"/>
          <w:color w:val="auto"/>
        </w:rPr>
        <w:t>the sum of: (a) the alternate benchmark rate that has been selected by the Agent and the Lead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24" w:lineRule="exact"/>
        <w:rPr>
          <w:sz w:val="20"/>
          <w:szCs w:val="20"/>
          <w:color w:val="auto"/>
        </w:rPr>
      </w:pPr>
    </w:p>
    <w:p>
      <w:pPr>
        <w:ind w:right="220"/>
        <w:spacing w:after="0" w:line="28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clause (1), such Unadjusted Benchmark Replacement is displayed on a screen or other information service that publishes such rate from time to time as selected by the Agent in its reasonable discretion. If the Benchmark Replacement as determined pursuant to clause (1), (2) or (3) above would be less than the Floor, the Benchmark Replacement will be deemed to be the Floor for the purposes of this Agreement and the other Loan Documents.</w:t>
      </w:r>
    </w:p>
    <w:p>
      <w:pPr>
        <w:spacing w:after="0" w:line="111" w:lineRule="exact"/>
        <w:rPr>
          <w:sz w:val="20"/>
          <w:szCs w:val="20"/>
          <w:color w:val="auto"/>
        </w:rPr>
      </w:pPr>
    </w:p>
    <w:p>
      <w:pPr>
        <w:ind w:right="40"/>
        <w:spacing w:after="0" w:line="438" w:lineRule="auto"/>
        <w:rPr>
          <w:sz w:val="20"/>
          <w:szCs w:val="20"/>
          <w:color w:val="auto"/>
        </w:rPr>
      </w:pPr>
      <w:r>
        <w:rPr>
          <w:rFonts w:ascii="Arial" w:cs="Arial" w:eastAsia="Arial" w:hAnsi="Arial"/>
          <w:sz w:val="16"/>
          <w:szCs w:val="16"/>
          <w:color w:val="auto"/>
        </w:rPr>
        <w:t>“Benchmark Replacement Adjustment” means, with respect to any replacement of the then- current Benchmark with an Unadjusted Benchmark Replacement for any applicable Interest Period and Available Tenor for any setting of such Unadjusted Benchmark Replacement:</w:t>
      </w:r>
    </w:p>
    <w:p>
      <w:pPr>
        <w:spacing w:after="0" w:line="13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7" w:name="page18"/>
    <w:bookmarkEnd w:id="17"/>
    <w:p>
      <w:pPr>
        <w:ind w:left="860" w:right="120" w:hanging="346"/>
        <w:spacing w:after="0" w:line="303" w:lineRule="auto"/>
        <w:tabs>
          <w:tab w:leader="none" w:pos="860" w:val="left"/>
        </w:tabs>
        <w:numPr>
          <w:ilvl w:val="0"/>
          <w:numId w:val="7"/>
        </w:numPr>
        <w:rPr>
          <w:rFonts w:ascii="Arial" w:cs="Arial" w:eastAsia="Arial" w:hAnsi="Arial"/>
          <w:sz w:val="20"/>
          <w:szCs w:val="20"/>
          <w:color w:val="231F20"/>
        </w:rPr>
      </w:pPr>
      <w:r>
        <w:rPr>
          <w:rFonts w:ascii="Arial" w:cs="Arial" w:eastAsia="Arial" w:hAnsi="Arial"/>
          <w:sz w:val="20"/>
          <w:szCs w:val="20"/>
          <w:color w:val="auto"/>
        </w:rPr>
        <w:t>for purposes of clauses (1) and (2) of the definition of “Benchmark Replacement,” the first alternative set forth in the order below that can be determined by the Agent:</w:t>
      </w:r>
    </w:p>
    <w:p>
      <w:pPr>
        <w:spacing w:after="0" w:line="107" w:lineRule="exact"/>
        <w:rPr>
          <w:rFonts w:ascii="Arial" w:cs="Arial" w:eastAsia="Arial" w:hAnsi="Arial"/>
          <w:sz w:val="20"/>
          <w:szCs w:val="20"/>
          <w:color w:val="231F20"/>
        </w:rPr>
      </w:pPr>
    </w:p>
    <w:p>
      <w:pPr>
        <w:ind w:left="1960" w:right="40" w:hanging="332"/>
        <w:spacing w:after="0" w:line="329" w:lineRule="auto"/>
        <w:tabs>
          <w:tab w:leader="none" w:pos="1960" w:val="left"/>
        </w:tabs>
        <w:numPr>
          <w:ilvl w:val="1"/>
          <w:numId w:val="7"/>
        </w:numPr>
        <w:rPr>
          <w:rFonts w:ascii="Arial" w:cs="Arial" w:eastAsia="Arial" w:hAnsi="Arial"/>
          <w:sz w:val="18"/>
          <w:szCs w:val="18"/>
          <w:color w:val="231F20"/>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80" w:lineRule="exact"/>
        <w:rPr>
          <w:rFonts w:ascii="Arial" w:cs="Arial" w:eastAsia="Arial" w:hAnsi="Arial"/>
          <w:sz w:val="18"/>
          <w:szCs w:val="18"/>
          <w:color w:val="231F20"/>
        </w:rPr>
      </w:pPr>
    </w:p>
    <w:p>
      <w:pPr>
        <w:ind w:left="1960" w:right="20" w:hanging="332"/>
        <w:spacing w:after="0" w:line="288" w:lineRule="auto"/>
        <w:tabs>
          <w:tab w:leader="none" w:pos="1960" w:val="left"/>
        </w:tabs>
        <w:numPr>
          <w:ilvl w:val="1"/>
          <w:numId w:val="7"/>
        </w:numPr>
        <w:rPr>
          <w:rFonts w:ascii="Arial" w:cs="Arial" w:eastAsia="Arial" w:hAnsi="Arial"/>
          <w:sz w:val="20"/>
          <w:szCs w:val="20"/>
          <w:color w:val="231F20"/>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24" w:lineRule="exact"/>
        <w:rPr>
          <w:rFonts w:ascii="Arial" w:cs="Arial" w:eastAsia="Arial" w:hAnsi="Arial"/>
          <w:sz w:val="20"/>
          <w:szCs w:val="20"/>
          <w:color w:val="231F20"/>
        </w:rPr>
      </w:pPr>
    </w:p>
    <w:p>
      <w:pPr>
        <w:ind w:left="860" w:right="100" w:hanging="346"/>
        <w:spacing w:after="0" w:line="320" w:lineRule="auto"/>
        <w:tabs>
          <w:tab w:leader="none" w:pos="86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Agent and the Lead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01" w:lineRule="exact"/>
        <w:rPr>
          <w:sz w:val="20"/>
          <w:szCs w:val="20"/>
          <w:color w:val="auto"/>
        </w:rPr>
      </w:pPr>
    </w:p>
    <w:p>
      <w:pPr>
        <w:ind w:right="560"/>
        <w:spacing w:after="0" w:line="33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above, such adjustment is displayed on a screen or other information service that publishes such Benchmark Replacement Adjustment from time to time as selected by the Agent in its reasonable discretion.</w:t>
      </w:r>
    </w:p>
    <w:p>
      <w:pPr>
        <w:spacing w:after="0" w:line="72" w:lineRule="exact"/>
        <w:rPr>
          <w:sz w:val="20"/>
          <w:szCs w:val="20"/>
          <w:color w:val="auto"/>
        </w:rPr>
      </w:pPr>
    </w:p>
    <w:p>
      <w:pPr>
        <w:spacing w:after="0" w:line="319" w:lineRule="auto"/>
        <w:rPr>
          <w:sz w:val="20"/>
          <w:szCs w:val="20"/>
          <w:color w:val="auto"/>
        </w:rPr>
      </w:pPr>
      <w:r>
        <w:rPr>
          <w:rFonts w:ascii="Arial" w:cs="Arial" w:eastAsia="Arial" w:hAnsi="Arial"/>
          <w:sz w:val="18"/>
          <w:szCs w:val="18"/>
          <w:color w:val="auto"/>
        </w:rPr>
        <w:t>“Benchmark Replacement Conforming Changes”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“Benchmark Replacement Date” means the earliest to occur of the following events with respect to the then-current Benchmark:</w:t>
      </w:r>
    </w:p>
    <w:p>
      <w:pPr>
        <w:spacing w:after="0" w:line="32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8" w:name="page19"/>
    <w:bookmarkEnd w:id="18"/>
    <w:p>
      <w:pPr>
        <w:ind w:left="860" w:hanging="346"/>
        <w:spacing w:after="0" w:line="288" w:lineRule="auto"/>
        <w:tabs>
          <w:tab w:leader="none" w:pos="860" w:val="left"/>
        </w:tabs>
        <w:numPr>
          <w:ilvl w:val="0"/>
          <w:numId w:val="8"/>
        </w:numPr>
        <w:rPr>
          <w:rFonts w:ascii="Arial" w:cs="Arial" w:eastAsia="Arial" w:hAnsi="Arial"/>
          <w:sz w:val="20"/>
          <w:szCs w:val="20"/>
          <w:color w:val="231F20"/>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24" w:lineRule="exact"/>
        <w:rPr>
          <w:rFonts w:ascii="Arial" w:cs="Arial" w:eastAsia="Arial" w:hAnsi="Arial"/>
          <w:sz w:val="20"/>
          <w:szCs w:val="20"/>
          <w:color w:val="231F20"/>
        </w:rPr>
      </w:pPr>
    </w:p>
    <w:p>
      <w:pPr>
        <w:ind w:left="860" w:right="520" w:hanging="346"/>
        <w:spacing w:after="0" w:line="303" w:lineRule="auto"/>
        <w:tabs>
          <w:tab w:leader="none" w:pos="860" w:val="left"/>
        </w:tabs>
        <w:numPr>
          <w:ilvl w:val="0"/>
          <w:numId w:val="8"/>
        </w:numPr>
        <w:rPr>
          <w:rFonts w:ascii="Arial" w:cs="Arial" w:eastAsia="Arial" w:hAnsi="Arial"/>
          <w:sz w:val="20"/>
          <w:szCs w:val="20"/>
          <w:color w:val="231F20"/>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94" w:lineRule="exact"/>
        <w:rPr>
          <w:rFonts w:ascii="Arial" w:cs="Arial" w:eastAsia="Arial" w:hAnsi="Arial"/>
          <w:sz w:val="20"/>
          <w:szCs w:val="20"/>
          <w:color w:val="231F20"/>
        </w:rPr>
      </w:pPr>
    </w:p>
    <w:p>
      <w:pPr>
        <w:jc w:val="both"/>
        <w:ind w:left="860" w:right="20" w:hanging="346"/>
        <w:spacing w:after="0" w:line="288" w:lineRule="auto"/>
        <w:tabs>
          <w:tab w:leader="none" w:pos="860" w:val="left"/>
        </w:tabs>
        <w:numPr>
          <w:ilvl w:val="0"/>
          <w:numId w:val="8"/>
        </w:numPr>
        <w:rPr>
          <w:rFonts w:ascii="Arial" w:cs="Arial" w:eastAsia="Arial" w:hAnsi="Arial"/>
          <w:sz w:val="20"/>
          <w:szCs w:val="20"/>
          <w:color w:val="231F20"/>
        </w:rPr>
      </w:pPr>
      <w:r>
        <w:rPr>
          <w:rFonts w:ascii="Arial" w:cs="Arial" w:eastAsia="Arial" w:hAnsi="Arial"/>
          <w:sz w:val="20"/>
          <w:szCs w:val="20"/>
          <w:color w:val="auto"/>
        </w:rPr>
        <w:t>in the case of an Early Opt-in Election, the sixth (6th) Business Day after the date notice of such Early Opt-in Election is provided to Lenders, so long as the Agent has not received, by 5:00 p.m. (New York City time) on the fifth (5th) Business Day after the date notice of such Early Opt-in Election is provided to Lenders, written notice of objection to such Early Opt-in Election from Lenders comprising the Required Lenders.</w:t>
      </w:r>
    </w:p>
    <w:p>
      <w:pPr>
        <w:spacing w:after="0" w:line="125" w:lineRule="exact"/>
        <w:rPr>
          <w:sz w:val="20"/>
          <w:szCs w:val="20"/>
          <w:color w:val="auto"/>
        </w:rPr>
      </w:pPr>
    </w:p>
    <w:p>
      <w:pPr>
        <w:ind w:right="240"/>
        <w:spacing w:after="0" w:line="305"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“Benchmark Transition Event” means the occurrence of one or more of the following events with respect to the then-current Benchmark:</w:t>
      </w:r>
    </w:p>
    <w:p>
      <w:pPr>
        <w:spacing w:after="0" w:line="198" w:lineRule="exact"/>
        <w:rPr>
          <w:sz w:val="20"/>
          <w:szCs w:val="20"/>
          <w:color w:val="auto"/>
        </w:rPr>
      </w:pPr>
    </w:p>
    <w:p>
      <w:pPr>
        <w:ind w:left="860" w:right="200" w:hanging="346"/>
        <w:spacing w:after="0" w:line="287" w:lineRule="auto"/>
        <w:tabs>
          <w:tab w:leader="none" w:pos="860" w:val="left"/>
        </w:tabs>
        <w:numPr>
          <w:ilvl w:val="0"/>
          <w:numId w:val="9"/>
        </w:numPr>
        <w:rPr>
          <w:rFonts w:ascii="Arial" w:cs="Arial" w:eastAsia="Arial" w:hAnsi="Arial"/>
          <w:sz w:val="20"/>
          <w:szCs w:val="20"/>
          <w:color w:val="231F20"/>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23" w:lineRule="exact"/>
        <w:rPr>
          <w:rFonts w:ascii="Arial" w:cs="Arial" w:eastAsia="Arial" w:hAnsi="Arial"/>
          <w:sz w:val="20"/>
          <w:szCs w:val="20"/>
          <w:color w:val="231F20"/>
        </w:rPr>
      </w:pPr>
    </w:p>
    <w:p>
      <w:pPr>
        <w:ind w:left="860" w:right="40" w:hanging="346"/>
        <w:spacing w:after="0" w:line="364" w:lineRule="auto"/>
        <w:tabs>
          <w:tab w:leader="none" w:pos="860" w:val="left"/>
        </w:tabs>
        <w:numPr>
          <w:ilvl w:val="0"/>
          <w:numId w:val="9"/>
        </w:numPr>
        <w:rPr>
          <w:rFonts w:ascii="Arial" w:cs="Arial" w:eastAsia="Arial" w:hAnsi="Arial"/>
          <w:sz w:val="16"/>
          <w:szCs w:val="16"/>
          <w:color w:val="231F20"/>
        </w:rPr>
      </w:pPr>
      <w:r>
        <w:rPr>
          <w:rFonts w:ascii="Arial" w:cs="Arial" w:eastAsia="Arial" w:hAnsi="Arial"/>
          <w:sz w:val="16"/>
          <w:szCs w:val="16"/>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w:t>
      </w:r>
    </w:p>
    <w:p>
      <w:pPr>
        <w:spacing w:after="0" w:line="19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9" w:name="page20"/>
    <w:bookmarkEnd w:id="19"/>
    <w:p>
      <w:pPr>
        <w:ind w:left="860" w:right="80" w:hanging="346"/>
        <w:spacing w:after="0" w:line="314" w:lineRule="auto"/>
        <w:tabs>
          <w:tab w:leader="none" w:pos="860" w:val="left"/>
        </w:tabs>
        <w:numPr>
          <w:ilvl w:val="0"/>
          <w:numId w:val="10"/>
        </w:numPr>
        <w:rPr>
          <w:rFonts w:ascii="Arial" w:cs="Arial" w:eastAsia="Arial" w:hAnsi="Arial"/>
          <w:sz w:val="19"/>
          <w:szCs w:val="19"/>
          <w:color w:val="231F20"/>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or a Governmental Authority having jurisdiction over the Agent announcing that all Available Tenors of such Benchmark (or such component thereof) are no longer representative.</w:t>
      </w:r>
    </w:p>
    <w:p>
      <w:pPr>
        <w:spacing w:after="0" w:line="101"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6"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“Beneficial Ownership Certification”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“Beneficial Ownership Regulation” means 31 C.F.R. § 1010.230.</w:t>
      </w:r>
    </w:p>
    <w:p>
      <w:pPr>
        <w:spacing w:after="0" w:line="189"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“BHC Act Affiliate” of a party means an “affiliate” (as such term is defined under, and interpreted in accordance with, 12 U.S.C. 1841(k)) of such party.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“Borrower Materials” has the meaning set forth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“Borrowers” has the meaning specified in the introductory paragraph hereto.</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“Borrowing” means a Committed Borrowing or a Swing Line Loan, as the context may require.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“Borrowing Base” means, at any time of calculation, an amount equal to:</w:t>
      </w:r>
    </w:p>
    <w:p>
      <w:pPr>
        <w:spacing w:after="0" w:line="189" w:lineRule="exact"/>
        <w:rPr>
          <w:sz w:val="20"/>
          <w:szCs w:val="20"/>
          <w:color w:val="auto"/>
        </w:rPr>
      </w:pPr>
    </w:p>
    <w:p>
      <w:pPr>
        <w:ind w:left="1500" w:right="4380" w:hanging="743"/>
        <w:spacing w:after="0" w:line="429" w:lineRule="auto"/>
        <w:tabs>
          <w:tab w:leader="none" w:pos="1147"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face amount of Eligible Credit Card Receivables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90%; </w:t>
      </w:r>
      <w:r>
        <w:rPr>
          <w:rFonts w:ascii="Arial" w:cs="Arial" w:eastAsia="Arial" w:hAnsi="Arial"/>
          <w:sz w:val="20"/>
          <w:szCs w:val="20"/>
          <w:u w:val="single" w:color="auto"/>
          <w:color w:val="auto"/>
        </w:rPr>
        <w:t>plus</w:t>
      </w:r>
    </w:p>
    <w:p>
      <w:pPr>
        <w:spacing w:after="0" w:line="1" w:lineRule="exact"/>
        <w:rPr>
          <w:rFonts w:ascii="Arial" w:cs="Arial" w:eastAsia="Arial" w:hAnsi="Arial"/>
          <w:sz w:val="20"/>
          <w:szCs w:val="20"/>
          <w:color w:val="auto"/>
        </w:rPr>
      </w:pPr>
    </w:p>
    <w:p>
      <w:pPr>
        <w:ind w:left="760" w:right="60" w:hanging="3"/>
        <w:spacing w:after="0" w:line="314" w:lineRule="auto"/>
        <w:tabs>
          <w:tab w:leader="none" w:pos="1205"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product of (i) the Inventory Advance Rate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Appraised Value of Eligible Inventory (other than Eligible In-Transit Inventory or Eligible Letters of Credit) of the Loan Parties,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(iii) the Cost of Eligible Inventory (other than Eligible In-Transit Inventory or Eligible Letters of Credit) of the Loan Parties, net of Inventory Reserves;</w:t>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plus</w:t>
      </w:r>
    </w:p>
    <w:p>
      <w:pPr>
        <w:spacing w:after="0" w:line="189" w:lineRule="exact"/>
        <w:rPr>
          <w:sz w:val="20"/>
          <w:szCs w:val="20"/>
          <w:color w:val="auto"/>
        </w:rPr>
      </w:pPr>
    </w:p>
    <w:p>
      <w:pPr>
        <w:ind w:left="760" w:right="460" w:hanging="3"/>
        <w:spacing w:after="0" w:line="292" w:lineRule="auto"/>
        <w:tabs>
          <w:tab w:leader="none" w:pos="1205"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the product (without duplication) of (i) the In-Transit Advance Rate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the Appraised Value of Eligible In-Transit Inventory of the Loan Parties,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(iii) the Cost of Eligible In-Transit Inventory of the Loan Parties, net of Inventory Reserves;</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plus</w:t>
      </w:r>
    </w:p>
    <w:p>
      <w:pPr>
        <w:spacing w:after="0" w:line="189" w:lineRule="exact"/>
        <w:rPr>
          <w:sz w:val="20"/>
          <w:szCs w:val="20"/>
          <w:color w:val="auto"/>
        </w:rPr>
      </w:pPr>
    </w:p>
    <w:p>
      <w:pPr>
        <w:ind w:left="760" w:right="200" w:hanging="3"/>
        <w:spacing w:after="0" w:line="292" w:lineRule="auto"/>
        <w:tabs>
          <w:tab w:leader="none" w:pos="1156"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the product (without duplication) of (i) the Letter of Credit Inventory Advance Rate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 the Appraised Value of the Inventory of the Loan Parties supported by the Eligible Letters of Credit,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(iii) the Cost of such Inventory when completed, net of Inventory Reserves;</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20" w:name="page21"/>
    <w:bookmarkEnd w:id="20"/>
    <w:p>
      <w:pPr>
        <w:ind w:left="1500"/>
        <w:spacing w:after="0"/>
        <w:rPr>
          <w:sz w:val="20"/>
          <w:szCs w:val="20"/>
          <w:color w:val="auto"/>
        </w:rPr>
      </w:pPr>
      <w:r>
        <w:rPr>
          <w:rFonts w:ascii="Arial" w:cs="Arial" w:eastAsia="Arial" w:hAnsi="Arial"/>
          <w:sz w:val="20"/>
          <w:szCs w:val="20"/>
          <w:u w:val="single" w:color="auto"/>
          <w:color w:val="auto"/>
        </w:rPr>
        <w:t>plus</w:t>
      </w:r>
    </w:p>
    <w:p>
      <w:pPr>
        <w:spacing w:after="0" w:line="189" w:lineRule="exact"/>
        <w:rPr>
          <w:sz w:val="20"/>
          <w:szCs w:val="20"/>
          <w:color w:val="auto"/>
        </w:rPr>
      </w:pPr>
    </w:p>
    <w:p>
      <w:pPr>
        <w:ind w:right="120" w:firstLine="1505"/>
        <w:spacing w:after="0" w:line="329" w:lineRule="auto"/>
        <w:tabs>
          <w:tab w:leader="none" w:pos="18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face amount of Eligible Wholesale Receivables (net of Receivables Reserves applicable thereto)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85%;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advanced under the Borrowing Base pursuant to this clause (e)(i) in respect of Eligible Wholesale Receivables owing from Amazon shall at no time exceed $8,000,000 and (ii) in respect of Eligible Wholesale Receivables owing from other Approved Wholesale Retailers shall at no time exceed an amount to be determined by the Agent in its reasonable discretion;</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20"/>
          <w:szCs w:val="20"/>
          <w:u w:val="single" w:color="auto"/>
          <w:color w:val="auto"/>
        </w:rPr>
        <w:t>minus</w:t>
      </w:r>
    </w:p>
    <w:p>
      <w:pPr>
        <w:spacing w:after="0" w:line="189" w:lineRule="exact"/>
        <w:rPr>
          <w:sz w:val="20"/>
          <w:szCs w:val="20"/>
          <w:color w:val="auto"/>
        </w:rPr>
      </w:pPr>
    </w:p>
    <w:p>
      <w:pPr>
        <w:ind w:left="1160" w:hanging="403"/>
        <w:spacing w:after="0"/>
        <w:tabs>
          <w:tab w:leader="none" w:pos="11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then amount of all Availability Reserves.</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color w:val="auto"/>
        </w:rPr>
        <w:t>“Borrowing Base Certificate” means a certificate substantially in the form of Exhibit F hereto (with such changes therein as may be required by the Agent to reflect the components of and reserves against the Borrowing Base as provided for hereunder from time to time), executed and certified as accurate and complete by a Responsible Officer of the Lead Borrower which shall include appropriate exhibits, schedules, supporting documentation and additional reports as reasonably requested by the Agent.</w:t>
      </w:r>
    </w:p>
    <w:p>
      <w:pPr>
        <w:spacing w:after="0" w:line="93" w:lineRule="exact"/>
        <w:rPr>
          <w:sz w:val="20"/>
          <w:szCs w:val="20"/>
          <w:color w:val="auto"/>
        </w:rPr>
      </w:pPr>
    </w:p>
    <w:p>
      <w:pPr>
        <w:ind w:right="280"/>
        <w:spacing w:after="0" w:line="338" w:lineRule="auto"/>
        <w:rPr>
          <w:sz w:val="20"/>
          <w:szCs w:val="20"/>
          <w:color w:val="auto"/>
        </w:rPr>
      </w:pPr>
      <w:r>
        <w:rPr>
          <w:rFonts w:ascii="Arial" w:cs="Arial" w:eastAsia="Arial" w:hAnsi="Arial"/>
          <w:sz w:val="18"/>
          <w:szCs w:val="18"/>
          <w:color w:val="auto"/>
        </w:rPr>
        <w:t>“Business Day” means any day other than a Saturday, Sunday or other day on which commercial banks are authorized to close under the Laws of, or are in fact closed in, the state where the Agent’s Office is located and, if such day relates to any LIBOR Rate Loan, means any such day on which dealings in Dollar deposits are conducted by and between banks in the London interbank market.</w:t>
      </w:r>
    </w:p>
    <w:p>
      <w:pPr>
        <w:spacing w:after="0" w:line="84"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123"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11" w:lineRule="exact"/>
        <w:rPr>
          <w:sz w:val="20"/>
          <w:szCs w:val="20"/>
          <w:color w:val="auto"/>
        </w:rPr>
      </w:pPr>
    </w:p>
    <w:p>
      <w:pPr>
        <w:jc w:val="both"/>
        <w:ind w:right="100" w:firstLine="49"/>
        <w:spacing w:after="0" w:line="292" w:lineRule="auto"/>
        <w:rPr>
          <w:sz w:val="20"/>
          <w:szCs w:val="20"/>
          <w:color w:val="auto"/>
        </w:rPr>
      </w:pPr>
      <w:r>
        <w:rPr>
          <w:rFonts w:ascii="Arial" w:cs="Arial" w:eastAsia="Arial" w:hAnsi="Arial"/>
          <w:sz w:val="20"/>
          <w:szCs w:val="20"/>
          <w:color w:val="auto"/>
        </w:rPr>
        <w:t xml:space="preserve">“Cash Collateral Account” means a non-interest bearing account established by one or more of the Loan Parties with Citizens Bank, and in the name of, the Agent (or as the Agent shall otherwise direct) and under the sole and exclusive dominion and control of the Agent, in which deposits are required to be made in accordance with </w:t>
      </w:r>
      <w:r>
        <w:rPr>
          <w:rFonts w:ascii="Arial" w:cs="Arial" w:eastAsia="Arial" w:hAnsi="Arial"/>
          <w:sz w:val="20"/>
          <w:szCs w:val="20"/>
          <w:u w:val="single" w:color="auto"/>
          <w:color w:val="auto"/>
        </w:rPr>
        <w:t>Section 2.03(g)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8.02(iii)</w:t>
      </w:r>
      <w:r>
        <w:rPr>
          <w:rFonts w:ascii="Arial" w:cs="Arial" w:eastAsia="Arial" w:hAnsi="Arial"/>
          <w:sz w:val="20"/>
          <w:szCs w:val="20"/>
          <w:color w:val="auto"/>
        </w:rPr>
        <w:t>.</w:t>
      </w:r>
    </w:p>
    <w:p>
      <w:pPr>
        <w:spacing w:after="0" w:line="119"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“Cash Collateralize” means to deposit in the Cash Collateral Account or to pledge and deposit with or deliver to the Agent, for the benefit of one or more of the Agent, the L/C Issuer or the Revolving Lenders, as collateral for L/C Obligations or obligations of the Revolving Lenders to fund participations in respect thereof (as the context may require), L/C Obligations, cash or deposit account balances or, if the Agent and the L/C Issuer shall agree in their sole discretion, other credit support, in each case pursuant</w:t>
      </w:r>
    </w:p>
    <w:p>
      <w:pPr>
        <w:spacing w:after="0" w:line="22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1" w:name="page22"/>
    <w:bookmarkEnd w:id="21"/>
    <w:p>
      <w:pPr>
        <w:ind w:right="260"/>
        <w:spacing w:after="0" w:line="303" w:lineRule="auto"/>
        <w:rPr>
          <w:sz w:val="20"/>
          <w:szCs w:val="20"/>
          <w:color w:val="auto"/>
        </w:rPr>
      </w:pPr>
      <w:r>
        <w:rPr>
          <w:rFonts w:ascii="Arial" w:cs="Arial" w:eastAsia="Arial" w:hAnsi="Arial"/>
          <w:sz w:val="20"/>
          <w:szCs w:val="20"/>
          <w:color w:val="auto"/>
        </w:rPr>
        <w:t>to documentation in form and substance satisfactory to the Agent and the L/C Issuer. “Cash Collateral” shall have a meaning correlative to the foregoing and shall include the proceeds of such cash collateral and other credit support.</w:t>
      </w:r>
    </w:p>
    <w:p>
      <w:pPr>
        <w:spacing w:after="0" w:line="108" w:lineRule="exact"/>
        <w:rPr>
          <w:sz w:val="20"/>
          <w:szCs w:val="20"/>
          <w:color w:val="auto"/>
        </w:rPr>
      </w:pPr>
    </w:p>
    <w:p>
      <w:pPr>
        <w:ind w:right="140"/>
        <w:spacing w:after="0" w:line="300" w:lineRule="auto"/>
        <w:rPr>
          <w:sz w:val="20"/>
          <w:szCs w:val="20"/>
          <w:color w:val="auto"/>
        </w:rPr>
      </w:pPr>
      <w:r>
        <w:rPr>
          <w:rFonts w:ascii="Arial" w:cs="Arial" w:eastAsia="Arial" w:hAnsi="Arial"/>
          <w:sz w:val="19"/>
          <w:szCs w:val="19"/>
          <w:color w:val="auto"/>
        </w:rPr>
        <w:t xml:space="preserve">“Cash Dominion Event” means either (i) the occurrence and continuance of any Event of Default, or (ii) the failure of the Borrowers to maintain Availability at all times equal to or greater than twelve and one-half percent (12.5%) of the Revolving Loan Cap. For purposes of this Agreement, the occurrence of a Cash Dominion Event shall be deemed continuing at the Agent’s option (i) so long as such Event of Default has not been waived or is no longer continuing, and/or (ii) if the Cash Dominion Event arises as a result of the Borrowers’ failure to achieve Availability as required hereunder, until Availability has equaled or exceeded twelve and one-half percent (12.5%) of the Revolving Loan Cap for sixty (60) consecutive calendar days, in which case a Cash Dominion Event shall no longer be deemed to be continuing for purposes of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Cash Dominion Event shall be deemed continuing (even if an Event of Default is no longer continuing and/or Availability exceeds the required amount for sixty (60) consecutive calendar days) at all times after a Cash Dominion Event has occurred and been discontinued on two (2) occasions after the Closing Date. The termination of a Cash Dominion Event as provided herein shall in no way limit, waive or delay the occurrence of a subsequent Cash Dominion Event in the event that the conditions set forth in this definition again arise.</w:t>
      </w:r>
    </w:p>
    <w:p>
      <w:pPr>
        <w:spacing w:after="0" w:line="101"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“Cash Management Reserves” means such reserves as the Agent, from time to time, determines in its reasonable discretion as being appropriate to reflect the reasonably anticipated liabilities and obligations of the Loan Parties with respect to Cash Management Services then provided or outstanding.</w:t>
      </w:r>
    </w:p>
    <w:p>
      <w:pPr>
        <w:spacing w:after="0" w:line="119"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“Cash Management Services” means the following cash management services provided to any Loan Party by the Agent or any Lender or any of their respective Affiliates (or by a Person that, at the time it entered into an agreement to provide such cash management services, was the Agent, a Lender or an Affiliate thereof), including, without limitation, (a) ACH transactions, (b) treasury and/or cash management services, including, without limitation, controlled disbursement services, treasury, depository, overdraft, and electronic funds transfer services, (c) purchase cards, (d) credit or debit cards, (e) credit card processing services and other credit card merchant services (other than those constituting a line of credit).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“CERCLA” means the Comprehensive Environmental Response, Compensation, and Liability Act, 42 U.S.C. § 9601 et seq.</w:t>
      </w:r>
    </w:p>
    <w:p>
      <w:pPr>
        <w:spacing w:after="0" w:line="175"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“CERCLIS” means the Comprehensive Environmental Response, Compensation, and Liability Information System maintained by the United States Environmental Protection Agency.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“CFC” means a Person that is a controlled foreign corporation under Section 957 of the Code.</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 xml:space="preserve">“Change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notwithstanding anything herein to the contrary, (x) the Dodd-Frank Wall Street Reform and Consumer Protection Act and all requests, rules, guidelines or directives thereunder or issued in connection therewith and (y) all</w:t>
      </w:r>
    </w:p>
    <w:p>
      <w:pPr>
        <w:spacing w:after="0" w:line="23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2" w:name="page23"/>
    <w:bookmarkEnd w:id="22"/>
    <w:p>
      <w:pPr>
        <w:ind w:right="40"/>
        <w:spacing w:after="0" w:line="314" w:lineRule="auto"/>
        <w:rPr>
          <w:sz w:val="20"/>
          <w:szCs w:val="20"/>
          <w:color w:val="auto"/>
        </w:rPr>
      </w:pPr>
      <w:r>
        <w:rPr>
          <w:rFonts w:ascii="Arial" w:cs="Arial" w:eastAsia="Arial" w:hAnsi="Arial"/>
          <w:sz w:val="19"/>
          <w:szCs w:val="19"/>
          <w:color w:val="auto"/>
        </w:rPr>
        <w:t>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“Change of Control” means an event or series of events by which:</w:t>
      </w:r>
    </w:p>
    <w:p>
      <w:pPr>
        <w:spacing w:after="0" w:line="175" w:lineRule="exact"/>
        <w:rPr>
          <w:sz w:val="20"/>
          <w:szCs w:val="20"/>
          <w:color w:val="auto"/>
        </w:rPr>
      </w:pPr>
    </w:p>
    <w:p>
      <w:pPr>
        <w:ind w:left="760" w:hanging="3"/>
        <w:spacing w:after="0" w:line="284" w:lineRule="auto"/>
        <w:tabs>
          <w:tab w:leader="none" w:pos="1156"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as amended,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0"/>
          <w:szCs w:val="20"/>
          <w:u w:val="single" w:color="auto"/>
          <w:color w:val="auto"/>
        </w:rPr>
        <w:t>option right</w:t>
      </w:r>
      <w:r>
        <w:rPr>
          <w:rFonts w:ascii="Arial" w:cs="Arial" w:eastAsia="Arial" w:hAnsi="Arial"/>
          <w:sz w:val="20"/>
          <w:szCs w:val="20"/>
          <w:color w:val="auto"/>
        </w:rPr>
        <w:t>”)), directly or indirectly, of 35% or more of the Equity Interests of the Lead Borrower entitled to vote for members of the board of directors or equivalent governing body of the Lead Borrower on a fully-diluted basis (and taking into account all such Equity Interests that such “person” or “group” has the right to acquire pursuant to any option right); or</w:t>
      </w:r>
    </w:p>
    <w:p>
      <w:pPr>
        <w:spacing w:after="0" w:line="129" w:lineRule="exact"/>
        <w:rPr>
          <w:rFonts w:ascii="Arial" w:cs="Arial" w:eastAsia="Arial" w:hAnsi="Arial"/>
          <w:sz w:val="20"/>
          <w:szCs w:val="20"/>
          <w:color w:val="auto"/>
        </w:rPr>
      </w:pPr>
    </w:p>
    <w:p>
      <w:pPr>
        <w:ind w:left="760" w:right="340" w:hanging="3"/>
        <w:spacing w:after="0" w:line="303" w:lineRule="auto"/>
        <w:tabs>
          <w:tab w:leader="none" w:pos="1156"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any “change in control” or “sale” or “disposition” or similar event as defined in any Organizational Document of any Loan Party or in any Material Contract, or any document governing Material Indebtedness of any Loan Party;</w:t>
      </w:r>
    </w:p>
    <w:p>
      <w:pPr>
        <w:spacing w:after="0" w:line="107" w:lineRule="exact"/>
        <w:rPr>
          <w:rFonts w:ascii="Arial" w:cs="Arial" w:eastAsia="Arial" w:hAnsi="Arial"/>
          <w:sz w:val="20"/>
          <w:szCs w:val="20"/>
          <w:color w:val="auto"/>
        </w:rPr>
      </w:pPr>
    </w:p>
    <w:p>
      <w:pPr>
        <w:ind w:left="760" w:right="240" w:hanging="3"/>
        <w:spacing w:after="0" w:line="292" w:lineRule="auto"/>
        <w:tabs>
          <w:tab w:leader="none" w:pos="1156" w:val="left"/>
        </w:tabs>
        <w:numPr>
          <w:ilvl w:val="0"/>
          <w:numId w:val="16"/>
        </w:numPr>
        <w:rPr>
          <w:rFonts w:ascii="Arial" w:cs="Arial" w:eastAsia="Arial" w:hAnsi="Arial"/>
          <w:sz w:val="20"/>
          <w:szCs w:val="20"/>
          <w:color w:val="auto"/>
        </w:rPr>
      </w:pPr>
      <w:r>
        <w:rPr>
          <w:rFonts w:ascii="Arial" w:cs="Arial" w:eastAsia="Arial" w:hAnsi="Arial"/>
          <w:sz w:val="20"/>
          <w:szCs w:val="20"/>
          <w:color w:val="auto"/>
        </w:rPr>
        <w:t>at any time, occupation of a majority of the seats (other than vacant seats) on the board of directors of the Lead Borrower by Persons who were neither (i) nominated by the board of directors of the Lead Borrower nor (ii) appointed by directors so nominated; or</w:t>
      </w:r>
    </w:p>
    <w:p>
      <w:pPr>
        <w:spacing w:after="0" w:line="105" w:lineRule="exact"/>
        <w:rPr>
          <w:rFonts w:ascii="Arial" w:cs="Arial" w:eastAsia="Arial" w:hAnsi="Arial"/>
          <w:sz w:val="20"/>
          <w:szCs w:val="20"/>
          <w:color w:val="auto"/>
        </w:rPr>
      </w:pPr>
    </w:p>
    <w:p>
      <w:pPr>
        <w:ind w:left="760" w:right="100" w:hanging="3"/>
        <w:spacing w:after="0" w:line="292" w:lineRule="auto"/>
        <w:tabs>
          <w:tab w:leader="none" w:pos="115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Lead Borrower fails at any time to own, directly or indirectly, 100% of the Equity Interests of each other Loan Party free and clear of all Liens (other than the Liens in favor of the Agent), except where such failure is as a result of a transaction permitted by the Loan Documents.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“Citizens Bank” means Citizens Bank, N.A. and its successors.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“Closing Date”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were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and the regulations promulgated thereunder, as amended and in effect.</w:t>
      </w:r>
    </w:p>
    <w:p>
      <w:pPr>
        <w:spacing w:after="0" w:line="212"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“Collateral” means any and all “Collateral” as defined in any applicable Security Document and all other property that is or is intended under the terms of the Security Documents to be subject to Liens in favor of the Agent.</w:t>
      </w:r>
    </w:p>
    <w:p>
      <w:pPr>
        <w:spacing w:after="0" w:line="108" w:lineRule="exact"/>
        <w:rPr>
          <w:sz w:val="20"/>
          <w:szCs w:val="20"/>
          <w:color w:val="auto"/>
        </w:rPr>
      </w:pPr>
    </w:p>
    <w:p>
      <w:pPr>
        <w:jc w:val="both"/>
        <w:ind w:right="200"/>
        <w:spacing w:after="0" w:line="329" w:lineRule="auto"/>
        <w:rPr>
          <w:sz w:val="20"/>
          <w:szCs w:val="20"/>
          <w:color w:val="auto"/>
        </w:rPr>
      </w:pPr>
      <w:r>
        <w:rPr>
          <w:rFonts w:ascii="Arial" w:cs="Arial" w:eastAsia="Arial" w:hAnsi="Arial"/>
          <w:sz w:val="18"/>
          <w:szCs w:val="18"/>
          <w:color w:val="auto"/>
        </w:rPr>
        <w:t>“Collateral Access Agreement” means an agreement reasonably satisfactory in form and substance to the Agent executed by (a) a bailee or other Person in possession of Collateral, and/or (b) any landlord of Real Estate leased by any Loan Party, pursuant to which such Person (i) acknowledges the Agent’s Lien on the Collateral, (ii) releases or subordinates such Person’s Liens in the Collateral held by such Person or located on such Real Estate, (iii) provides the Agent with access to the Collateral held by such bailee</w:t>
      </w:r>
    </w:p>
    <w:p>
      <w:pPr>
        <w:spacing w:after="0" w:line="20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23" w:name="page24"/>
    <w:bookmarkEnd w:id="23"/>
    <w:p>
      <w:pPr>
        <w:jc w:val="both"/>
        <w:ind w:right="80"/>
        <w:spacing w:after="0" w:line="363" w:lineRule="auto"/>
        <w:rPr>
          <w:sz w:val="20"/>
          <w:szCs w:val="20"/>
          <w:color w:val="auto"/>
        </w:rPr>
      </w:pPr>
      <w:r>
        <w:rPr>
          <w:rFonts w:ascii="Arial" w:cs="Arial" w:eastAsia="Arial" w:hAnsi="Arial"/>
          <w:sz w:val="18"/>
          <w:szCs w:val="18"/>
          <w:color w:val="auto"/>
        </w:rPr>
        <w:t>or other Person or located in or on such Real Estate, (iv) as to any landlord, provides the Agent with a reasonable time to sell and dispose of the Collateral from such Real Estate, and (v) makes such other agreements with the Agent as the Agent may reasonably require.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“Collection Account” has the meaning set forth in </w:t>
      </w:r>
      <w:r>
        <w:rPr>
          <w:rFonts w:ascii="Arial" w:cs="Arial" w:eastAsia="Arial" w:hAnsi="Arial"/>
          <w:sz w:val="20"/>
          <w:szCs w:val="20"/>
          <w:u w:val="single" w:color="auto"/>
          <w:color w:val="auto"/>
        </w:rPr>
        <w:t>Section 6.12(c)</w:t>
      </w:r>
      <w:r>
        <w:rPr>
          <w:rFonts w:ascii="Arial" w:cs="Arial" w:eastAsia="Arial" w:hAnsi="Arial"/>
          <w:sz w:val="20"/>
          <w:szCs w:val="20"/>
          <w:color w:val="auto"/>
        </w:rPr>
        <w:t>.</w:t>
      </w:r>
    </w:p>
    <w:p>
      <w:pPr>
        <w:spacing w:after="0" w:line="175" w:lineRule="exact"/>
        <w:rPr>
          <w:sz w:val="20"/>
          <w:szCs w:val="20"/>
          <w:color w:val="auto"/>
        </w:rPr>
      </w:pPr>
    </w:p>
    <w:p>
      <w:pPr>
        <w:jc w:val="both"/>
        <w:ind w:right="60"/>
        <w:spacing w:after="0" w:line="292" w:lineRule="auto"/>
        <w:rPr>
          <w:sz w:val="20"/>
          <w:szCs w:val="20"/>
          <w:color w:val="auto"/>
        </w:rPr>
      </w:pPr>
      <w:r>
        <w:rPr>
          <w:rFonts w:ascii="Arial" w:cs="Arial" w:eastAsia="Arial" w:hAnsi="Arial"/>
          <w:sz w:val="20"/>
          <w:szCs w:val="20"/>
          <w:color w:val="auto"/>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“Commitment” means the Revolving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“Commitment Fee” has the meaning set forth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“Commitment Fee Percentage” means 0.25% per annum.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“Commitment Increase”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189"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 xml:space="preserve">“Committed Borrowing” means a borrowing consisting of a Loan or simultaneous Loans of the same Type and, in the case of LIBOR Rate Loans, having the same Interest Period made by each of the Revolving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“Committed Loan” has the meaning set forth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89" w:lineRule="exact"/>
        <w:rPr>
          <w:sz w:val="20"/>
          <w:szCs w:val="20"/>
          <w:color w:val="auto"/>
        </w:rPr>
      </w:pPr>
    </w:p>
    <w:p>
      <w:pPr>
        <w:ind w:right="360"/>
        <w:spacing w:after="0" w:line="363" w:lineRule="auto"/>
        <w:rPr>
          <w:sz w:val="20"/>
          <w:szCs w:val="20"/>
          <w:color w:val="auto"/>
        </w:rPr>
      </w:pPr>
      <w:r>
        <w:rPr>
          <w:rFonts w:ascii="Arial" w:cs="Arial" w:eastAsia="Arial" w:hAnsi="Arial"/>
          <w:sz w:val="18"/>
          <w:szCs w:val="18"/>
          <w:color w:val="auto"/>
        </w:rPr>
        <w:t xml:space="preserve">“Committed Loan Notice” means a notice of (a) a Borrowing, (b) a Conversion of Committed Loans from one Type to the other, or (c) a continuation of LIBOR Rate Loans,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which, if in writing, shall be substantially in the form of Exhibit A.</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“Commodity Exchange Act” means the Commodity Exchange Act (7 U.S.C. § 1 et seq.).</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“Communication” has the meaning set forth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“Compliance Certificate” means a certificate substantially in the form of Exhibit D.</w:t>
      </w:r>
    </w:p>
    <w:p>
      <w:pPr>
        <w:spacing w:after="0" w:line="189" w:lineRule="exact"/>
        <w:rPr>
          <w:sz w:val="20"/>
          <w:szCs w:val="20"/>
          <w:color w:val="auto"/>
        </w:rPr>
      </w:pPr>
    </w:p>
    <w:p>
      <w:pPr>
        <w:ind w:right="40"/>
        <w:spacing w:after="0" w:line="303" w:lineRule="auto"/>
        <w:rPr>
          <w:sz w:val="20"/>
          <w:szCs w:val="20"/>
          <w:color w:val="auto"/>
        </w:rPr>
      </w:pPr>
      <w:r>
        <w:rPr>
          <w:rFonts w:ascii="Arial" w:cs="Arial" w:eastAsia="Arial" w:hAnsi="Arial"/>
          <w:sz w:val="19"/>
          <w:szCs w:val="19"/>
          <w:color w:val="auto"/>
        </w:rPr>
        <w:t xml:space="preserve">“Consent” means (a) actual consent given by a Lender from whom such consent is sought; or (b) except with respect to matters set forth in Section 10.01(i) – (xi) (as to which matters actual written consent given by the Lender from whom such consent is sought shall be required), the passage of seven (7) Business Days from receipt of written notice to a Lender from the Agent of a proposed course of action to be followed by the Agent without such Lender’s giving the Agent written notice of that Lender’s objection to such course of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may rely on such passage of time as consent by a Lender only if such written notice states that consent will be deemed effective if no objection is received within such time period.</w:t>
      </w:r>
    </w:p>
    <w:p>
      <w:pPr>
        <w:spacing w:after="0" w:line="100"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119"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“Consolidated EBITDA” means, at any date of determination, an amount equal to Consolidated Net Income of the Lead Borrower and its Subsidiaries on a Consolidated basis for the most recently</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6" w:right="419" w:bottom="1440" w:gutter="0" w:footer="0" w:header="0"/>
        </w:sectPr>
      </w:pPr>
    </w:p>
    <w:bookmarkStart w:id="24" w:name="page25"/>
    <w:bookmarkEnd w:id="24"/>
    <w:p>
      <w:pPr>
        <w:spacing w:after="0" w:line="302" w:lineRule="auto"/>
        <w:rPr>
          <w:sz w:val="20"/>
          <w:szCs w:val="20"/>
          <w:color w:val="auto"/>
        </w:rPr>
      </w:pPr>
      <w:r>
        <w:rPr>
          <w:rFonts w:ascii="Arial" w:cs="Arial" w:eastAsia="Arial" w:hAnsi="Arial"/>
          <w:sz w:val="19"/>
          <w:szCs w:val="19"/>
          <w:color w:val="auto"/>
        </w:rPr>
        <w:t>completed Measurement Period, plus (a) the following to the extent deducted in calculating such Consolidated Net Income: (i) Consolidated Interest Charges, (ii) the provision for Federal, state, local and foreign income Taxes, (iii) depreciation and amortization expense and (iv) other non-recurring expenses reducing such Consolidated Net Income which do not represent a cash item in such period or any future period (in each case of or by the Lead Borrower and its Subsidiaries for such Measurement Period), minus (b) the following to the extent included in calculating such Consolidated Net Income: (i) Federal, state, local and foreign income tax credits and (ii) all non-cash items increasing Consolidated Net Income (in each case of or by the Lead Borrower and its Subsidiaries for such Measurement Period), all as determined on a Consolidated basis in accordance with GAAP.</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20"/>
          <w:szCs w:val="20"/>
          <w:color w:val="auto"/>
        </w:rPr>
        <w:t>“Consolidated Fixed Charge Coverage Ratio” means, at any date of determination, the ratio of (a) (i) Consolidated EBITDA for such period minus (ii) Capital Expenditures made during such period, minus (iii) the aggregate amount of Federal, state, local and foreign income taxes paid in cash during such period (but not less than zero) to (b) the sum of (i) Debt Service Charges plus (ii) for the purposes of calculating the Consolidated Fixed Charge Coverage Ratio when determining compliance with the RP Conditions for the making of any Restricted Payment, the amount of all Restricted Payments to be made at such time and previously made in reliance on the RP Conditions, in each case, of or by Lead Borrower and its Subsidiaries for the most recently completed Measurement Period, all as determined on a Consolidated basis in accordance with GAAP.</w:t>
      </w:r>
    </w:p>
    <w:p>
      <w:pPr>
        <w:spacing w:after="0" w:line="113" w:lineRule="exact"/>
        <w:rPr>
          <w:sz w:val="20"/>
          <w:szCs w:val="20"/>
          <w:color w:val="auto"/>
        </w:rPr>
      </w:pPr>
    </w:p>
    <w:p>
      <w:pPr>
        <w:ind w:right="60"/>
        <w:spacing w:after="0" w:line="366" w:lineRule="auto"/>
        <w:rPr>
          <w:sz w:val="20"/>
          <w:szCs w:val="20"/>
          <w:color w:val="auto"/>
        </w:rPr>
      </w:pPr>
      <w:r>
        <w:rPr>
          <w:rFonts w:ascii="Arial" w:cs="Arial" w:eastAsia="Arial" w:hAnsi="Arial"/>
          <w:sz w:val="16"/>
          <w:szCs w:val="16"/>
          <w:color w:val="auto"/>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but excluding any non-cash or deferred interest financing costs, and (b) the portion of rent expense with respect to such period under Capital Lease Obligations that is treated as interest in accordance with GAAP, in each case of or by the Lead Borrower and its Subsidiaries for the most recently completed Measurement Period, all as determined on a Consolidated basis in accordance with GAAP.</w:t>
      </w:r>
    </w:p>
    <w:p>
      <w:pPr>
        <w:spacing w:after="0" w:line="74"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“Consolidated Net Income” means, as of any date of determination, the net income of the Lead Borrower and its Subsidiaries for the most recently completed Measurement Period, all as determined on a Consolidated basis in accordance with GAAP, provided, however, that there shall be excluded (a) the income (or loss) of any Subsidiary during such Measurement Period in which any other Person has a joint interest, except to the extent of the amount of cash dividends or other distributions actually paid in cash to the Lead Borrower during such period, (b) the income (or loss) of such Subsidiary during such Measurement Period and accrued prior to the date it becomes a Subsidiary of the Lead Borrower or any of its Subsidiaries or is merged into or consolidated the Lead Borrower or any of its Subsidiaries or that Person’s assets are acquired by the Lead Borrower or any of its Subsidiaries, and (c) the income of any direct or indirect Subsidiary of the Lead Borrower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Lead Borrower’s equity in any net loss of any such Subsidiary for such Measurement Period shall be included in determining Consolidated Net Income.</w:t>
      </w:r>
    </w:p>
    <w:p>
      <w:pPr>
        <w:spacing w:after="0" w:line="223"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25" w:name="page26"/>
    <w:bookmarkEnd w:id="25"/>
    <w:p>
      <w:pPr>
        <w:ind w:right="300"/>
        <w:spacing w:after="0" w:line="303" w:lineRule="auto"/>
        <w:rPr>
          <w:sz w:val="20"/>
          <w:szCs w:val="20"/>
          <w:color w:val="auto"/>
        </w:rPr>
      </w:pPr>
      <w:r>
        <w:rPr>
          <w:rFonts w:ascii="Arial" w:cs="Arial" w:eastAsia="Arial" w:hAnsi="Arial"/>
          <w:sz w:val="20"/>
          <w:szCs w:val="20"/>
          <w:color w:val="auto"/>
        </w:rPr>
        <w:t>“Contractual Obligation” means, as to any Person, any provision of any security issued by such Person or of any agreement, instrument or other undertaking to which such Person is a party or by which it or any of its property is bound.</w:t>
      </w:r>
    </w:p>
    <w:p>
      <w:pPr>
        <w:spacing w:after="0" w:line="108"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“Controlled Account” has the meaning set forth in </w:t>
      </w:r>
      <w:r>
        <w:rPr>
          <w:rFonts w:ascii="Arial" w:cs="Arial" w:eastAsia="Arial" w:hAnsi="Arial"/>
          <w:sz w:val="20"/>
          <w:szCs w:val="20"/>
          <w:u w:val="single" w:color="auto"/>
          <w:color w:val="auto"/>
        </w:rPr>
        <w:t>Section 6.12(a)(ii)</w:t>
      </w:r>
      <w:r>
        <w:rPr>
          <w:rFonts w:ascii="Arial" w:cs="Arial" w:eastAsia="Arial" w:hAnsi="Arial"/>
          <w:sz w:val="20"/>
          <w:szCs w:val="20"/>
          <w:color w:val="auto"/>
        </w:rPr>
        <w:t>.</w:t>
      </w:r>
    </w:p>
    <w:p>
      <w:pPr>
        <w:spacing w:after="0" w:line="189"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“Controlled Account Bank” means each bank with whom deposit accounts are maintained in which any funds of any of the Loan Parties from one or more DDAs are concentrated and with whom an Account Control Agreement has been, or is required to be, executed in accordance with the terms hereof.</w:t>
      </w:r>
    </w:p>
    <w:p>
      <w:pPr>
        <w:spacing w:after="0" w:line="119" w:lineRule="exact"/>
        <w:rPr>
          <w:sz w:val="20"/>
          <w:szCs w:val="20"/>
          <w:color w:val="auto"/>
        </w:rPr>
      </w:pPr>
    </w:p>
    <w:p>
      <w:pPr>
        <w:ind w:right="200"/>
        <w:spacing w:after="0" w:line="303" w:lineRule="auto"/>
        <w:rPr>
          <w:sz w:val="20"/>
          <w:szCs w:val="20"/>
          <w:color w:val="auto"/>
        </w:rPr>
      </w:pPr>
      <w:r>
        <w:rPr>
          <w:rFonts w:ascii="Arial" w:cs="Arial" w:eastAsia="Arial" w:hAnsi="Arial"/>
          <w:sz w:val="20"/>
          <w:szCs w:val="20"/>
          <w:color w:val="auto"/>
        </w:rPr>
        <w:t>“Convert”, “Conversion” and “Converted” each refers to a conversion of Committed Loans of one Type into Committed Loans of the other Type.</w:t>
      </w:r>
    </w:p>
    <w:p>
      <w:pPr>
        <w:spacing w:after="0" w:line="94" w:lineRule="exact"/>
        <w:rPr>
          <w:sz w:val="20"/>
          <w:szCs w:val="20"/>
          <w:color w:val="auto"/>
        </w:rPr>
      </w:pPr>
    </w:p>
    <w:p>
      <w:pPr>
        <w:ind w:right="140"/>
        <w:spacing w:after="0" w:line="331" w:lineRule="auto"/>
        <w:rPr>
          <w:sz w:val="20"/>
          <w:szCs w:val="20"/>
          <w:color w:val="auto"/>
        </w:rPr>
      </w:pPr>
      <w:r>
        <w:rPr>
          <w:rFonts w:ascii="Arial" w:cs="Arial" w:eastAsia="Arial" w:hAnsi="Arial"/>
          <w:sz w:val="19"/>
          <w:szCs w:val="19"/>
          <w:color w:val="231F20"/>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86"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“Cost” means the lower of cost or market value of Inventory, based upon the Borrowers’ accounting practices, known to the Agent, which practices are in effect on the Closing Date as such calculated cost is determined from invoices received by the Borrowers, the Borrowers’ purchase journals or the Borrowers’ stock ledger. “Cost” does not include inventory capitalization costs or other non-purchase price charges (such as freight) used in the Borrowers’ calculation of cost of goods sold.</w:t>
      </w:r>
    </w:p>
    <w:p>
      <w:pPr>
        <w:spacing w:after="0" w:line="125" w:lineRule="exact"/>
        <w:rPr>
          <w:sz w:val="20"/>
          <w:szCs w:val="20"/>
          <w:color w:val="auto"/>
        </w:rPr>
      </w:pPr>
    </w:p>
    <w:p>
      <w:pPr>
        <w:ind w:right="500"/>
        <w:spacing w:after="0" w:line="303" w:lineRule="auto"/>
        <w:rPr>
          <w:sz w:val="20"/>
          <w:szCs w:val="20"/>
          <w:color w:val="auto"/>
        </w:rPr>
      </w:pPr>
      <w:r>
        <w:rPr>
          <w:rFonts w:ascii="Arial" w:cs="Arial" w:eastAsia="Arial" w:hAnsi="Arial"/>
          <w:sz w:val="20"/>
          <w:szCs w:val="20"/>
          <w:color w:val="auto"/>
        </w:rPr>
        <w:t>“Covenant Trigger Event” means either of (a) the occurrence of an Event of Default, or (b) Availability being less than the greater of (i) $7,500,000 and (ii) 10% of the Revolving Loan Cap at any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“Covenant Trigger Period” means the period commencing on the occurrence of a Covenant Trigger Event, and continuing until the date that</w:t>
      </w:r>
    </w:p>
    <w:p>
      <w:pPr>
        <w:spacing w:after="0" w:line="63" w:lineRule="exact"/>
        <w:rPr>
          <w:sz w:val="20"/>
          <w:szCs w:val="20"/>
          <w:color w:val="auto"/>
        </w:rPr>
      </w:pPr>
    </w:p>
    <w:p>
      <w:pPr>
        <w:ind w:right="360" w:firstLine="8"/>
        <w:spacing w:after="0" w:line="303" w:lineRule="auto"/>
        <w:tabs>
          <w:tab w:leader="none" w:pos="269" w:val="left"/>
        </w:tabs>
        <w:numPr>
          <w:ilvl w:val="0"/>
          <w:numId w:val="17"/>
        </w:numPr>
        <w:rPr>
          <w:rFonts w:ascii="Arial" w:cs="Arial" w:eastAsia="Arial" w:hAnsi="Arial"/>
          <w:sz w:val="20"/>
          <w:szCs w:val="20"/>
          <w:color w:val="auto"/>
        </w:rPr>
      </w:pPr>
      <w:r>
        <w:rPr>
          <w:rFonts w:ascii="Arial" w:cs="Arial" w:eastAsia="Arial" w:hAnsi="Arial"/>
          <w:sz w:val="20"/>
          <w:szCs w:val="20"/>
          <w:color w:val="auto"/>
        </w:rPr>
        <w:t>no Event of Default shall be continuing and (b) Availability is greater than or equal to the greater of (i) $7,500,000 and (ii) 10% of the Revolving Loan Cap for a period of at least 30 consecutive calendar days.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“Covered Entity” means any of the following: (i) a “covered entity” as that term is defined in, and interpreted in accordance with, 12 C.F.R.</w:t>
      </w:r>
    </w:p>
    <w:p>
      <w:pPr>
        <w:spacing w:after="0" w:line="63" w:lineRule="exact"/>
        <w:rPr>
          <w:sz w:val="20"/>
          <w:szCs w:val="20"/>
          <w:color w:val="auto"/>
        </w:rPr>
      </w:pPr>
    </w:p>
    <w:p>
      <w:pPr>
        <w:ind w:right="140" w:firstLine="8"/>
        <w:spacing w:after="0" w:line="303" w:lineRule="auto"/>
        <w:tabs>
          <w:tab w:leader="none" w:pos="1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252.82(b); (ii) a “covered bank” as that term is defined in, and interpreted in accordance with, 12 C.F.R. § 47.3(b); or (iii) a “covered FSI” as that term is defined in, and interpreted in accordance with, 12 C.F.R. § 382.2(b).</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“Covered Party” has the meaning set forth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175" w:lineRule="exact"/>
        <w:rPr>
          <w:sz w:val="20"/>
          <w:szCs w:val="20"/>
          <w:color w:val="auto"/>
        </w:rPr>
      </w:pPr>
    </w:p>
    <w:p>
      <w:pPr>
        <w:ind w:right="140"/>
        <w:spacing w:after="0" w:line="305" w:lineRule="auto"/>
        <w:rPr>
          <w:sz w:val="20"/>
          <w:szCs w:val="20"/>
          <w:color w:val="auto"/>
        </w:rPr>
      </w:pPr>
      <w:r>
        <w:rPr>
          <w:rFonts w:ascii="Arial" w:cs="Arial" w:eastAsia="Arial" w:hAnsi="Arial"/>
          <w:sz w:val="19"/>
          <w:szCs w:val="19"/>
          <w:color w:val="auto"/>
        </w:rPr>
        <w:t>“Credit Card Issuer” shall mean any person (other than a Borrower or other Loan Party)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the Agent.</w:t>
      </w:r>
    </w:p>
    <w:p>
      <w:pPr>
        <w:spacing w:after="0" w:line="23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6" w:name="page27"/>
    <w:bookmarkEnd w:id="26"/>
    <w:p>
      <w:pPr>
        <w:ind w:right="200"/>
        <w:spacing w:after="0" w:line="338" w:lineRule="auto"/>
        <w:rPr>
          <w:sz w:val="20"/>
          <w:szCs w:val="20"/>
          <w:color w:val="auto"/>
        </w:rPr>
      </w:pPr>
      <w:r>
        <w:rPr>
          <w:rFonts w:ascii="Arial" w:cs="Arial" w:eastAsia="Arial" w:hAnsi="Arial"/>
          <w:sz w:val="18"/>
          <w:szCs w:val="18"/>
          <w:color w:val="auto"/>
        </w:rPr>
        <w:t>“Credit Card Processor” shall mean any servicing or processing agent or any factor or financial intermediary who facilitates, services, processes or manages the credit authorization, billing transfer and/or payment procedures with respect to any Borrower’s sales transactions involving credit card or debit card purchases by customers using credit cards or debit cards issued by any Credit Card Issuer.</w:t>
      </w:r>
    </w:p>
    <w:p>
      <w:pPr>
        <w:spacing w:after="0" w:line="84"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“Credit Card Receivables” means each “payment intangible” (as defined in the UCC) together with all income, payments and proceeds thereof, owed by a Credit Card Issuer or Credit Card Processor to a Loan Party resulting from charges by a customer of a Loan Party on credit or debit cards issued by such Credit Card Issuer in connection with the sale of goods by a Loan Party, or services performed by a Loan Party, in each case in the ordinary course of its business.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“Credit Extensions” mean each of the following: (a) a Borrowing and (b) an L/C Credit Extension.</w:t>
      </w:r>
    </w:p>
    <w:p>
      <w:pPr>
        <w:spacing w:after="0" w:line="189"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“Credit Party” or “Credit Parties” means (a) individually, (i) each Lender and its Affiliates, (ii) the Agent, (iii) each L/C Issuer, (iv) the Arranger, (v) each beneficiary of each indemnification obligation undertaken by any Loan Party under any Loan Document, (vi) any other Person to whom Obligations under this Agreement and other Loan Documents are owing, and (vii) the successors and assigns of each of the foregoing, and (b) collectively, all of the foregoing.</w:t>
      </w:r>
    </w:p>
    <w:p>
      <w:pPr>
        <w:spacing w:after="0" w:line="125"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color w:val="auto"/>
        </w:rPr>
        <w:t>“Credit Party Expenses” means (a) all reasonable out-of-pocket expenses incurred by the Agent, the Arranger and their respective Affiliates, in connection with this Agreement and the other Loan Documents, including without limitation (i) the reasonable fees, charges and disbursements of (A) counsel for the Agent and the Arranger, (B) outside consultants for the Agent, (C) appraisers, (D) commercial finance examiners, and (E) all such out-of-pocket expenses incurred during any workout, restructuring or negotiations in respect of the Obligations,</w:t>
      </w:r>
    </w:p>
    <w:p>
      <w:pPr>
        <w:ind w:firstLine="8"/>
        <w:spacing w:after="0" w:line="317" w:lineRule="auto"/>
        <w:tabs>
          <w:tab w:leader="none" w:pos="2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(A) the syndication of the credit facilities provided for herein, (B) the preparation, negotiation, administration, management, execution and delivery of this Agreement and the other Loan Documents or any amendments, modifications or waivers of the provisions thereof (whether or not the transactions contemplated hereby or thereby shall be consummated), (C) the enforcement or protection of their rights in connection with this Agreement or the Loan Documents or efforts to preserve, protect, collect, or enforce the Collateral or in connection with any proceeding under any Debtor Relief Laws, or (D) any workout, restructuring or negotiations in respect of any Obligations, and (iii) all customary fees and charges (as adjusted from time to time) of the Agent with respect to the disbursement of funds (or the receipt of funds) to or for the account of Borrowers (whether by wire transfer or otherwise), together with any out-of-pocket costs and expenses incurred in connection therewith, (b) with respect to the L/C Issuer, and its Affiliates, all reasonable out-of-pocket expenses incurred in connection with the issuance, amendment, renewal or extension of any Letter of Credit or any demand for payment thereunder; and (c) all reasonable out-of-pocket expenses incurred by the Credit Parties who are not the Agent, the Arranger, the L/C Issuer or any Affiliate of any of them, after the occurrence and during the continuance of an Event of Default, provided that such Credit Parties shall be entitled to reimbursement for no more than one counsel representing all such Credit Parties (absent a conflict of interest in which case the Credit Parties may engage and be reimbursed for additional counsel).</w:t>
      </w:r>
    </w:p>
    <w:p>
      <w:pPr>
        <w:spacing w:after="0" w:line="91"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“Customer Credit Liabilities” means at any time, the aggregate remaining value at such time of (a) outstanding gift certificates and gift cards of the Borrowers entitling the holder thereof to use all or a portion of the certificate or gift card to pay all or a portion of the purchase price for any Inventory, and (b) outstanding merchandise credits of the Borrowers.</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27" w:name="page28"/>
    <w:bookmarkEnd w:id="27"/>
    <w:p>
      <w:pPr>
        <w:spacing w:after="0" w:line="308" w:lineRule="auto"/>
        <w:rPr>
          <w:sz w:val="20"/>
          <w:szCs w:val="20"/>
          <w:color w:val="auto"/>
        </w:rPr>
      </w:pPr>
      <w:r>
        <w:rPr>
          <w:rFonts w:ascii="Arial" w:cs="Arial" w:eastAsia="Arial" w:hAnsi="Arial"/>
          <w:sz w:val="19"/>
          <w:szCs w:val="19"/>
          <w:color w:val="auto"/>
        </w:rPr>
        <w:t>“Customs Broker/Carrier Agreement” means an agreement in form and substance satisfactory to the Agent among a Loan Party, a customs broker, freight forwarder, consolidator, or carrier, and the Agent, in which the customs broker, freight forwarder, consolidator, or carrier acknowledges that it has control over and holds the documents evidencing ownership of the subject Inventory for the benefit of the Agent and agrees, upon notice from the Agent, to hold and dispose of the subject Inventory solely as directed by the Agent.</w:t>
      </w:r>
    </w:p>
    <w:p>
      <w:pPr>
        <w:spacing w:after="0" w:line="107" w:lineRule="exact"/>
        <w:rPr>
          <w:sz w:val="20"/>
          <w:szCs w:val="20"/>
          <w:color w:val="auto"/>
        </w:rPr>
      </w:pPr>
    </w:p>
    <w:p>
      <w:pPr>
        <w:ind w:right="180" w:firstLine="749"/>
        <w:spacing w:after="0" w:line="260" w:lineRule="exact"/>
        <w:rPr>
          <w:sz w:val="20"/>
          <w:szCs w:val="20"/>
          <w:color w:val="auto"/>
        </w:rPr>
      </w:pPr>
      <w:r>
        <w:rPr>
          <w:rFonts w:ascii="Arial" w:cs="Arial" w:eastAsia="Arial" w:hAnsi="Arial"/>
          <w:sz w:val="18"/>
          <w:szCs w:val="18"/>
          <w:color w:val="auto"/>
        </w:rPr>
        <w:t>“Daily LIBOR Rate” means, for any day, a rate per annum equal to the Adjusted LIBOR Rate in effect on such day for deposits in Dollars for a one</w:t>
      </w:r>
      <w:r>
        <w:rPr>
          <w:rFonts w:ascii="MS PGothic" w:cs="MS PGothic" w:eastAsia="MS PGothic" w:hAnsi="MS PGothic"/>
          <w:sz w:val="18"/>
          <w:szCs w:val="18"/>
          <w:color w:val="auto"/>
        </w:rPr>
        <w:t>‑</w:t>
      </w:r>
      <w:r>
        <w:rPr>
          <w:rFonts w:ascii="Arial" w:cs="Arial" w:eastAsia="Arial" w:hAnsi="Arial"/>
          <w:sz w:val="18"/>
          <w:szCs w:val="18"/>
          <w:color w:val="auto"/>
        </w:rPr>
        <w:t>month Interest Period (subject to any interest rate floor set forth in the definition of “Adjusted LIBOR Rate”).</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231F20"/>
        </w:rPr>
        <w:t xml:space="preserve">“Daily Simple SOFR” means, for any day, SOFR, with the conventions for this rate (which will include a lookback) being established by the Agent in accordance with the conventions for this rate selected or recommended by the Relevant Governmental Body for determining “Daily Simple SOFR” for syndicated business loans; </w:t>
      </w:r>
      <w:r>
        <w:rPr>
          <w:rFonts w:ascii="Arial" w:cs="Arial" w:eastAsia="Arial" w:hAnsi="Arial"/>
          <w:sz w:val="19"/>
          <w:szCs w:val="19"/>
          <w:u w:val="single" w:color="auto"/>
          <w:color w:val="231F20"/>
        </w:rPr>
        <w:t>provided</w:t>
      </w:r>
      <w:r>
        <w:rPr>
          <w:rFonts w:ascii="Arial" w:cs="Arial" w:eastAsia="Arial" w:hAnsi="Arial"/>
          <w:sz w:val="19"/>
          <w:szCs w:val="19"/>
          <w:color w:val="231F20"/>
        </w:rPr>
        <w:t>, that if the Agent decides that any such convention is not administratively feasible for the Agent, then the Agent may establish another convention in its reasonable discretion.</w:t>
      </w:r>
    </w:p>
    <w:p>
      <w:pPr>
        <w:spacing w:after="0" w:line="107" w:lineRule="exact"/>
        <w:rPr>
          <w:sz w:val="20"/>
          <w:szCs w:val="20"/>
          <w:color w:val="auto"/>
        </w:rPr>
      </w:pPr>
    </w:p>
    <w:p>
      <w:pPr>
        <w:ind w:right="100"/>
        <w:spacing w:after="0" w:line="292" w:lineRule="auto"/>
        <w:rPr>
          <w:sz w:val="20"/>
          <w:szCs w:val="20"/>
          <w:color w:val="auto"/>
        </w:rPr>
      </w:pPr>
      <w:r>
        <w:rPr>
          <w:rFonts w:ascii="Arial" w:cs="Arial" w:eastAsia="Arial" w:hAnsi="Arial"/>
          <w:sz w:val="20"/>
          <w:szCs w:val="20"/>
          <w:color w:val="auto"/>
        </w:rPr>
        <w:t>“DDA” means each checking, savings or other demand deposit account maintained by any of the Loan Parties. All funds in each DDA shall be conclusively presumed to be Collateral and proceeds of Collateral and the Agent and the Lenders shall have no duty to inquire as to the source of the amounts on deposit in any DDA.</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11"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19" w:lineRule="exact"/>
        <w:rPr>
          <w:sz w:val="20"/>
          <w:szCs w:val="20"/>
          <w:color w:val="auto"/>
        </w:rPr>
      </w:pPr>
    </w:p>
    <w:p>
      <w:pPr>
        <w:ind w:right="420"/>
        <w:spacing w:after="0" w:line="303" w:lineRule="auto"/>
        <w:rPr>
          <w:sz w:val="20"/>
          <w:szCs w:val="20"/>
          <w:color w:val="auto"/>
        </w:rPr>
      </w:pPr>
      <w:r>
        <w:rPr>
          <w:rFonts w:ascii="Arial" w:cs="Arial" w:eastAsia="Arial" w:hAnsi="Arial"/>
          <w:sz w:val="20"/>
          <w:szCs w:val="20"/>
          <w:color w:val="auto"/>
        </w:rPr>
        <w:t>“Default” means any event or condition that constitutes an Event of Default or that, with the giving of any notice, the passage of time, or both, would be an Event of Default.</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color w:val="auto"/>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Margin for Standby Letters of Credit or Commercial Letters of Credit, as applicable, plus two percent (2%) per annum, and (c) with respect to all other Obligations, an interest rate equal to the Base Rate, plus the then Applicable Margin, plus two percent (2%) per annum.</w:t>
      </w:r>
    </w:p>
    <w:p>
      <w:pPr>
        <w:spacing w:after="0" w:line="110"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08"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 xml:space="preserve">“Defaulting Lender” means, subject to </w:t>
      </w:r>
      <w:r>
        <w:rPr>
          <w:rFonts w:ascii="Arial" w:cs="Arial" w:eastAsia="Arial" w:hAnsi="Arial"/>
          <w:sz w:val="20"/>
          <w:szCs w:val="20"/>
          <w:u w:val="single" w:color="auto"/>
          <w:color w:val="auto"/>
        </w:rPr>
        <w:t>Section 2.16(b)</w:t>
      </w:r>
      <w:r>
        <w:rPr>
          <w:rFonts w:ascii="Arial" w:cs="Arial" w:eastAsia="Arial" w:hAnsi="Arial"/>
          <w:sz w:val="20"/>
          <w:szCs w:val="20"/>
          <w:color w:val="auto"/>
        </w:rPr>
        <w:t>, any Lender that (a) has failed to (i) fund all or any portion of its Loans within two (2) Business Days of the date such Loans were required to be funded</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8" w:name="page29"/>
    <w:bookmarkEnd w:id="28"/>
    <w:p>
      <w:pPr>
        <w:ind w:right="20"/>
        <w:spacing w:after="0" w:line="315" w:lineRule="auto"/>
        <w:rPr>
          <w:sz w:val="20"/>
          <w:szCs w:val="20"/>
          <w:color w:val="auto"/>
        </w:rPr>
      </w:pPr>
      <w:r>
        <w:rPr>
          <w:rFonts w:ascii="Arial" w:cs="Arial" w:eastAsia="Arial" w:hAnsi="Arial"/>
          <w:sz w:val="18"/>
          <w:szCs w:val="18"/>
          <w:color w:val="auto"/>
        </w:rPr>
        <w:t xml:space="preserve">hereunder, or (ii) pay to the Agent, the L/C Issuer, the Swing Line Lender or any other Lender any other amount required to be paid by it hereunder (including in respect of its participation in Letters of Credit or Swing Line Loans) within two (2) Business Days of the date when due, (b) has notified the Lead Borrower, the Agent, the L/C Issuer or the Swing Line Lender in writing that it does not intend to comply with its funding obligations hereunder, or has made a public statement to that effect, (c) has failed, within three (3) Business Days after written request by the Agent or the Lead Borrower, to confirm in writing to the Agent and the Lead Borrower that it will comply with its prospective funding obligations hereunder (provided that such Lender shall cease to be a Defaulting Lender pursuant to this clause (c) upon receipt of such written confirmation by the Agent and the Lead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as of the date established therefor by the Agent in a written notice of such determination, which shall be delivered by the Agent to the Lead Borrower, the L/C Issuer, the Swing Line Lender and each other Lender promptly following such determination.</w:t>
      </w:r>
    </w:p>
    <w:p>
      <w:pPr>
        <w:spacing w:after="0" w:line="117" w:lineRule="exact"/>
        <w:rPr>
          <w:sz w:val="20"/>
          <w:szCs w:val="20"/>
          <w:color w:val="auto"/>
        </w:rPr>
      </w:pPr>
    </w:p>
    <w:p>
      <w:pPr>
        <w:ind w:right="100"/>
        <w:spacing w:after="0" w:line="329" w:lineRule="auto"/>
        <w:rPr>
          <w:sz w:val="20"/>
          <w:szCs w:val="20"/>
          <w:color w:val="auto"/>
        </w:rPr>
      </w:pPr>
      <w:r>
        <w:rPr>
          <w:rFonts w:ascii="Arial" w:cs="Arial" w:eastAsia="Arial" w:hAnsi="Arial"/>
          <w:sz w:val="18"/>
          <w:szCs w:val="18"/>
          <w:color w:val="auto"/>
        </w:rPr>
        <w:t>“Dilution Reserve” means, for any period, that percentage reasonably determined by the Agent by (i) dividing (A) the amount of charge-offs of Eligible Wholesale Receivables and returns of goods purchased from the Borrowers during such period which had, at the time of sale, resulted in the creation of an Eligible Wholesale Receivable, by (B) the amount of sales (exclusive of sales and other similar taxes) of the Borrowers during such period and thereafter (ii) deducting five percent (5%) (but in no event shall the Dilution Reserve be less than zero).</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“Disposition” or “Dispose” means the sale, transfer, license, lease or other disposition (including any sale and leaseback transaction), whether in one transaction or in a series of transactions and whether effected pursuant to a Division or otherwise, of any property (including, without limitation, any Equity Interests other than Equity Interests of the Lead Borrower)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23" w:lineRule="exact"/>
        <w:rPr>
          <w:sz w:val="20"/>
          <w:szCs w:val="20"/>
          <w:color w:val="auto"/>
        </w:rPr>
      </w:pPr>
    </w:p>
    <w:p>
      <w:pPr>
        <w:ind w:right="180"/>
        <w:spacing w:after="0" w:line="331" w:lineRule="auto"/>
        <w:rPr>
          <w:sz w:val="20"/>
          <w:szCs w:val="20"/>
          <w:color w:val="auto"/>
        </w:rPr>
      </w:pPr>
      <w:r>
        <w:rPr>
          <w:rFonts w:ascii="Arial" w:cs="Arial" w:eastAsia="Arial" w:hAnsi="Arial"/>
          <w:sz w:val="19"/>
          <w:szCs w:val="19"/>
          <w:color w:val="auto"/>
        </w:rPr>
        <w:t>“Disqualified Institution” means certain institutions and other entities identified in writing by the Lead Borrower to the Agent on or prior to the Closing Date (and Affiliates or such identified entities that are reasonably identifiable on the basis of name as Affiliates).</w:t>
      </w:r>
    </w:p>
    <w:p>
      <w:pPr>
        <w:spacing w:after="0" w:line="86"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“Disqualified Stock” means any Equity Interest that, by its terms (or by the terms of any security into which it is convertible, or for which it is exchangeable, in each case at the option of the holder thereof),</w:t>
      </w:r>
    </w:p>
    <w:p>
      <w:pPr>
        <w:spacing w:after="0" w:line="2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29" w:name="page30"/>
    <w:bookmarkEnd w:id="29"/>
    <w:p>
      <w:pPr>
        <w:spacing w:after="0" w:line="325" w:lineRule="auto"/>
        <w:rPr>
          <w:sz w:val="20"/>
          <w:szCs w:val="20"/>
          <w:color w:val="auto"/>
        </w:rPr>
      </w:pPr>
      <w:r>
        <w:rPr>
          <w:rFonts w:ascii="Arial" w:cs="Arial" w:eastAsia="Arial" w:hAnsi="Arial"/>
          <w:sz w:val="18"/>
          <w:szCs w:val="18"/>
          <w:color w:val="auto"/>
        </w:rPr>
        <w:t>or upon the happening of any event, matures or is mandatorily redeemable, pursuant to a sinking fund obligation or otherwise, or redeemable at the option of the holder thereof, in whole or in part, on or prior to the date that is ninety-one (91) days after the Latest Maturity Date (determined at the time of issuance). The amount of Disqualified Stock deemed to be outstanding at any time for purposes of this Agreement will be the maximum amount that the Lead Borrower and its Subsidiaries may become obligated to pay upon maturity of, or pursuant to any mandatory redemption provisions of, such Disqualified Stock or portion thereof, plus accrued dividends.</w:t>
      </w:r>
    </w:p>
    <w:p>
      <w:pPr>
        <w:spacing w:after="0" w:line="97"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“Division” means the division of the assets, liabilities and/or obligations of a Person (the “</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“Dollars” and “$” mean lawful money of the United States.</w:t>
      </w:r>
    </w:p>
    <w:p>
      <w:pPr>
        <w:spacing w:after="0" w:line="189" w:lineRule="exact"/>
        <w:rPr>
          <w:sz w:val="20"/>
          <w:szCs w:val="20"/>
          <w:color w:val="auto"/>
        </w:rPr>
      </w:pPr>
    </w:p>
    <w:p>
      <w:pPr>
        <w:ind w:right="140"/>
        <w:spacing w:after="0" w:line="363" w:lineRule="auto"/>
        <w:rPr>
          <w:sz w:val="20"/>
          <w:szCs w:val="20"/>
          <w:color w:val="auto"/>
        </w:rPr>
      </w:pPr>
      <w:r>
        <w:rPr>
          <w:rFonts w:ascii="Arial" w:cs="Arial" w:eastAsia="Arial" w:hAnsi="Arial"/>
          <w:sz w:val="18"/>
          <w:szCs w:val="18"/>
          <w:color w:val="auto"/>
        </w:rPr>
        <w:t>“Domestic Subsidiary” means any Subsidiary that is organized under the laws of the United States of America, any State thereof or the District of Columbia (excluding, for the avoidance of doubt, any Subsidiary organized under the laws of Puerto Rico or any other territory).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“Early Opt-in Election” means, if the then-current Benchmark is USD LIBOR, the occurrence of:</w:t>
      </w:r>
    </w:p>
    <w:p>
      <w:pPr>
        <w:spacing w:after="0" w:line="175" w:lineRule="exact"/>
        <w:rPr>
          <w:sz w:val="20"/>
          <w:szCs w:val="20"/>
          <w:color w:val="auto"/>
        </w:rPr>
      </w:pPr>
    </w:p>
    <w:p>
      <w:pPr>
        <w:ind w:right="40" w:firstLine="8"/>
        <w:spacing w:after="0" w:line="308" w:lineRule="auto"/>
        <w:tabs>
          <w:tab w:leader="none" w:pos="39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notification by the Agent to (or the request by the Lead Borrower to the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06" w:lineRule="exact"/>
        <w:rPr>
          <w:rFonts w:ascii="Arial" w:cs="Arial" w:eastAsia="Arial" w:hAnsi="Arial"/>
          <w:sz w:val="19"/>
          <w:szCs w:val="19"/>
          <w:color w:val="auto"/>
        </w:rPr>
      </w:pPr>
    </w:p>
    <w:p>
      <w:pPr>
        <w:ind w:right="80" w:firstLine="8"/>
        <w:spacing w:after="0" w:line="303" w:lineRule="auto"/>
        <w:tabs>
          <w:tab w:leader="none" w:pos="39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joint election by the Agent and the Lead Borrower to trigger a fallback from USD LIBOR and the provision by the Agent of written notice of such election to the Lenders.</w:t>
      </w:r>
    </w:p>
    <w:p>
      <w:pPr>
        <w:spacing w:after="0" w:line="108" w:lineRule="exact"/>
        <w:rPr>
          <w:sz w:val="20"/>
          <w:szCs w:val="20"/>
          <w:color w:val="auto"/>
        </w:rPr>
      </w:pPr>
    </w:p>
    <w:p>
      <w:pPr>
        <w:ind w:right="100"/>
        <w:spacing w:after="0" w:line="329"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“EEA Member Country” means any of the member states of the European Union, Iceland, Liechtenstein, and Norway.</w:t>
      </w:r>
    </w:p>
    <w:p>
      <w:pPr>
        <w:spacing w:after="0" w:line="189" w:lineRule="exact"/>
        <w:rPr>
          <w:sz w:val="20"/>
          <w:szCs w:val="20"/>
          <w:color w:val="auto"/>
        </w:rPr>
      </w:pPr>
    </w:p>
    <w:p>
      <w:pPr>
        <w:ind w:right="180"/>
        <w:spacing w:after="0" w:line="331" w:lineRule="auto"/>
        <w:rPr>
          <w:sz w:val="20"/>
          <w:szCs w:val="20"/>
          <w:color w:val="auto"/>
        </w:rPr>
      </w:pPr>
      <w:r>
        <w:rPr>
          <w:rFonts w:ascii="Arial" w:cs="Arial" w:eastAsia="Arial" w:hAnsi="Arial"/>
          <w:sz w:val="19"/>
          <w:szCs w:val="19"/>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Copy” has the meaning set forth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Record” has the meaning set forth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Signature” has the meaning set forth in </w:t>
      </w:r>
      <w:r>
        <w:rPr>
          <w:rFonts w:ascii="Arial" w:cs="Arial" w:eastAsia="Arial" w:hAnsi="Arial"/>
          <w:sz w:val="20"/>
          <w:szCs w:val="20"/>
          <w:u w:val="single" w:color="auto"/>
          <w:color w:val="auto"/>
        </w:rPr>
        <w:t>Section 10.24</w:t>
      </w:r>
      <w:r>
        <w:rPr>
          <w:rFonts w:ascii="Arial" w:cs="Arial" w:eastAsia="Arial" w:hAnsi="Arial"/>
          <w:sz w:val="20"/>
          <w:szCs w:val="20"/>
          <w:color w:val="auto"/>
        </w:rPr>
        <w:t>.</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30" w:name="page31"/>
    <w:bookmarkEnd w:id="30"/>
    <w:p>
      <w:pPr>
        <w:ind w:right="80"/>
        <w:spacing w:after="0" w:line="302" w:lineRule="auto"/>
        <w:rPr>
          <w:sz w:val="20"/>
          <w:szCs w:val="20"/>
          <w:color w:val="auto"/>
        </w:rPr>
      </w:pPr>
      <w:r>
        <w:rPr>
          <w:rFonts w:ascii="Arial" w:cs="Arial" w:eastAsia="Arial" w:hAnsi="Arial"/>
          <w:sz w:val="19"/>
          <w:szCs w:val="19"/>
          <w:color w:val="auto"/>
        </w:rPr>
        <w:t>“Eligible Assignee” means (a) a Credit Party or any of its Affiliates; (b) a bank, insurance company, or company engaged in the business of making commercial loans that,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approved by (i) the Agent, the L/C Issuer and the Swing Line Lender and (ii) unless an Event of Default has occurred and is continuing, the Lead Borrower (each such approval not to be unreasonably withheld or delayed), provided that no Disqualified Institution shall qualify as an Eligible Assignee.</w:t>
      </w:r>
    </w:p>
    <w:p>
      <w:pPr>
        <w:spacing w:after="0" w:line="114" w:lineRule="exact"/>
        <w:rPr>
          <w:sz w:val="20"/>
          <w:szCs w:val="20"/>
          <w:color w:val="auto"/>
        </w:rPr>
      </w:pPr>
    </w:p>
    <w:p>
      <w:pPr>
        <w:spacing w:after="0" w:line="360" w:lineRule="auto"/>
        <w:rPr>
          <w:sz w:val="20"/>
          <w:szCs w:val="20"/>
          <w:color w:val="auto"/>
        </w:rPr>
      </w:pPr>
      <w:r>
        <w:rPr>
          <w:rFonts w:ascii="Arial" w:cs="Arial" w:eastAsia="Arial" w:hAnsi="Arial"/>
          <w:sz w:val="16"/>
          <w:szCs w:val="16"/>
          <w:color w:val="auto"/>
        </w:rPr>
        <w:t>“Eligible Credit Card Receivables” means at the time of any determination thereof, each Credit Card Receivable that satisfies the following criteria at the time of creation and continues to meet the same at the time of such determination: such Credit Card Receivable (i) has been earned by performance and represents the bona fide amounts due to a Loan Party from a Credit Card Issuer or Credit Card Processor, and in each case is originated in the ordinary course of business of such Loan Party, and (ii) in each case is acceptable to the Agent in its reasonable discretion, and is not ineligible for inclusion in the calculation of the Borrowing Base pursuant to any of clauses (a) through (j) below. Without limiting the foregoing, to qualify as an Eligible Credit Card Receivable, such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Issuer or Credit Card Processor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Agent, any Credit Card Receivable included within any of the following categories shall not constitute an Eligible Credit Card Receivable:</w:t>
      </w:r>
    </w:p>
    <w:p>
      <w:pPr>
        <w:spacing w:after="0" w:line="333" w:lineRule="exact"/>
        <w:rPr>
          <w:sz w:val="20"/>
          <w:szCs w:val="20"/>
          <w:color w:val="auto"/>
        </w:rPr>
      </w:pPr>
    </w:p>
    <w:p>
      <w:pPr>
        <w:ind w:left="1160" w:hanging="403"/>
        <w:spacing w:after="0"/>
        <w:tabs>
          <w:tab w:leader="none" w:pos="11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Credit Card Receivables which do not constitute a “payment intangible” (as defined in the UCC);</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Credit Card Receivables that have been outstanding for more than five (5) Business Days from the date of sale;</w:t>
      </w:r>
    </w:p>
    <w:p>
      <w:pPr>
        <w:spacing w:after="0" w:line="188" w:lineRule="exact"/>
        <w:rPr>
          <w:rFonts w:ascii="Arial" w:cs="Arial" w:eastAsia="Arial" w:hAnsi="Arial"/>
          <w:sz w:val="20"/>
          <w:szCs w:val="20"/>
          <w:color w:val="auto"/>
        </w:rPr>
      </w:pPr>
    </w:p>
    <w:p>
      <w:pPr>
        <w:ind w:left="760" w:right="120" w:hanging="3"/>
        <w:spacing w:after="0" w:line="288" w:lineRule="auto"/>
        <w:tabs>
          <w:tab w:leader="none" w:pos="1156" w:val="left"/>
        </w:tabs>
        <w:numPr>
          <w:ilvl w:val="0"/>
          <w:numId w:val="21"/>
        </w:numPr>
        <w:rPr>
          <w:rFonts w:ascii="Arial" w:cs="Arial" w:eastAsia="Arial" w:hAnsi="Arial"/>
          <w:sz w:val="20"/>
          <w:szCs w:val="20"/>
          <w:color w:val="auto"/>
        </w:rPr>
      </w:pPr>
      <w:r>
        <w:rPr>
          <w:rFonts w:ascii="Arial" w:cs="Arial" w:eastAsia="Arial" w:hAnsi="Arial"/>
          <w:sz w:val="20"/>
          <w:szCs w:val="20"/>
          <w:color w:val="auto"/>
        </w:rPr>
        <w:t>Credit Card Receivables (i) that are not subject to a perfected first-priority security interest in favor of the Agent, or (ii) with respect to which a Loan Party does not have good and valid title thereto, free and clear of any Lien (other than Liens granted to the Agent pursuant to the Security Documents and Permitted Encumbrances which do not have priority over the Lien in favor of the Agent);</w:t>
      </w:r>
    </w:p>
    <w:p>
      <w:pPr>
        <w:spacing w:after="0" w:line="111" w:lineRule="exact"/>
        <w:rPr>
          <w:rFonts w:ascii="Arial" w:cs="Arial" w:eastAsia="Arial" w:hAnsi="Arial"/>
          <w:sz w:val="20"/>
          <w:szCs w:val="20"/>
          <w:color w:val="auto"/>
        </w:rPr>
      </w:pPr>
    </w:p>
    <w:p>
      <w:pPr>
        <w:ind w:left="760" w:right="600" w:hanging="3"/>
        <w:spacing w:after="0" w:line="331" w:lineRule="auto"/>
        <w:tabs>
          <w:tab w:leader="none" w:pos="1156" w:val="left"/>
        </w:tabs>
        <w:numPr>
          <w:ilvl w:val="0"/>
          <w:numId w:val="21"/>
        </w:numPr>
        <w:rPr>
          <w:rFonts w:ascii="Arial" w:cs="Arial" w:eastAsia="Arial" w:hAnsi="Arial"/>
          <w:sz w:val="19"/>
          <w:szCs w:val="19"/>
          <w:color w:val="auto"/>
        </w:rPr>
      </w:pPr>
      <w:r>
        <w:rPr>
          <w:rFonts w:ascii="Arial" w:cs="Arial" w:eastAsia="Arial" w:hAnsi="Arial"/>
          <w:sz w:val="19"/>
          <w:szCs w:val="19"/>
          <w:color w:val="auto"/>
        </w:rPr>
        <w:t>Credit Card Receivables which are disputed, are with recourse, or with respect to which a claim, counterclaim, offset or chargeback has been asserted (to the extent of such claim, counterclaim, offset or chargeback);</w:t>
      </w:r>
    </w:p>
    <w:p>
      <w:pPr>
        <w:spacing w:after="0" w:line="20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31" w:name="page32"/>
    <w:bookmarkEnd w:id="31"/>
    <w:p>
      <w:pPr>
        <w:ind w:left="760" w:right="100" w:hanging="3"/>
        <w:spacing w:after="0" w:line="438" w:lineRule="auto"/>
        <w:tabs>
          <w:tab w:leader="none" w:pos="115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Credit Card Receivables as to which a Credit Card Issuer or a Credit Card Processor has the right under certain circumstances to require a Loan Party to repurchase the Credit Card Receivables from such Credit Card Issuer or Credit Card Processor;</w:t>
      </w:r>
    </w:p>
    <w:p>
      <w:pPr>
        <w:spacing w:after="0" w:line="16" w:lineRule="exact"/>
        <w:rPr>
          <w:rFonts w:ascii="Arial" w:cs="Arial" w:eastAsia="Arial" w:hAnsi="Arial"/>
          <w:sz w:val="16"/>
          <w:szCs w:val="16"/>
          <w:color w:val="auto"/>
        </w:rPr>
      </w:pPr>
    </w:p>
    <w:p>
      <w:pPr>
        <w:ind w:left="760" w:right="60" w:hanging="3"/>
        <w:spacing w:after="0" w:line="303" w:lineRule="auto"/>
        <w:tabs>
          <w:tab w:leader="none" w:pos="115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Credit Card Receivables due from a Credit Card Issuer or a Credit Card Processor of the applicable credit card which (i) is the subject of a proceeding under any Debtor Relief Law or (ii) is a target of Sanctions;</w:t>
      </w:r>
    </w:p>
    <w:p>
      <w:pPr>
        <w:spacing w:after="0" w:line="94" w:lineRule="exact"/>
        <w:rPr>
          <w:rFonts w:ascii="Arial" w:cs="Arial" w:eastAsia="Arial" w:hAnsi="Arial"/>
          <w:sz w:val="20"/>
          <w:szCs w:val="20"/>
          <w:color w:val="auto"/>
        </w:rPr>
      </w:pPr>
    </w:p>
    <w:p>
      <w:pPr>
        <w:ind w:left="760" w:right="180" w:hanging="3"/>
        <w:spacing w:after="0" w:line="303" w:lineRule="auto"/>
        <w:tabs>
          <w:tab w:leader="none" w:pos="115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Credit Card Receivables which are not a valid, legally enforceable obligation of the applicable Credit Card Issuer or a Credit Card Processor with respect thereto;</w:t>
      </w:r>
    </w:p>
    <w:p>
      <w:pPr>
        <w:spacing w:after="0" w:line="107" w:lineRule="exact"/>
        <w:rPr>
          <w:rFonts w:ascii="Arial" w:cs="Arial" w:eastAsia="Arial" w:hAnsi="Arial"/>
          <w:sz w:val="20"/>
          <w:szCs w:val="20"/>
          <w:color w:val="auto"/>
        </w:rPr>
      </w:pPr>
    </w:p>
    <w:p>
      <w:pPr>
        <w:ind w:left="760" w:right="240" w:hanging="3"/>
        <w:spacing w:after="0" w:line="303" w:lineRule="auto"/>
        <w:tabs>
          <w:tab w:leader="none" w:pos="115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Credit Card Receivables which do not conform to all representations, warranties or other provisions in the Loan Documents relating to Credit Card Receivables;</w:t>
      </w:r>
    </w:p>
    <w:p>
      <w:pPr>
        <w:spacing w:after="0" w:line="107" w:lineRule="exact"/>
        <w:rPr>
          <w:rFonts w:ascii="Arial" w:cs="Arial" w:eastAsia="Arial" w:hAnsi="Arial"/>
          <w:sz w:val="20"/>
          <w:szCs w:val="20"/>
          <w:color w:val="auto"/>
        </w:rPr>
      </w:pPr>
    </w:p>
    <w:p>
      <w:pPr>
        <w:ind w:left="760" w:right="60" w:hanging="3"/>
        <w:spacing w:after="0" w:line="363" w:lineRule="auto"/>
        <w:tabs>
          <w:tab w:leader="none" w:pos="11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Card Receivables which are evidenced by “chattel paper” or an “instrument” of any kind unless such “chattel paper” or “instrument” is in the possession of the Agent, and to the extent necessary or appropriate, endorsed to the Agent; or</w:t>
      </w:r>
    </w:p>
    <w:p>
      <w:pPr>
        <w:spacing w:after="0" w:line="48" w:lineRule="exact"/>
        <w:rPr>
          <w:rFonts w:ascii="Arial" w:cs="Arial" w:eastAsia="Arial" w:hAnsi="Arial"/>
          <w:sz w:val="18"/>
          <w:szCs w:val="18"/>
          <w:color w:val="auto"/>
        </w:rPr>
      </w:pPr>
    </w:p>
    <w:p>
      <w:pPr>
        <w:ind w:left="760" w:right="100" w:hanging="3"/>
        <w:spacing w:after="0" w:line="303" w:lineRule="auto"/>
        <w:tabs>
          <w:tab w:leader="none" w:pos="1156"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Credit Card Receivables which the Agent determines in its reasonable discretion to be uncertain of collection or which do not meet such other reasonable eligibility criteria for Credit Card Receivables as the Agent may determine.</w:t>
      </w:r>
    </w:p>
    <w:p>
      <w:pPr>
        <w:spacing w:after="0" w:line="108"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“Eligible In-Transit Inventory” means, as of any date of determination thereof, without duplication of other Eligible Inventory, In-Transit Inventory:</w:t>
      </w:r>
    </w:p>
    <w:p>
      <w:pPr>
        <w:spacing w:after="0" w:line="108" w:lineRule="exact"/>
        <w:rPr>
          <w:sz w:val="20"/>
          <w:szCs w:val="20"/>
          <w:color w:val="auto"/>
        </w:rPr>
      </w:pPr>
    </w:p>
    <w:p>
      <w:pPr>
        <w:jc w:val="both"/>
        <w:ind w:left="760" w:right="40" w:hanging="3"/>
        <w:spacing w:after="0" w:line="288" w:lineRule="auto"/>
        <w:tabs>
          <w:tab w:leader="none" w:pos="1156" w:val="left"/>
        </w:tabs>
        <w:numPr>
          <w:ilvl w:val="0"/>
          <w:numId w:val="23"/>
        </w:numPr>
        <w:rPr>
          <w:rFonts w:ascii="Arial" w:cs="Arial" w:eastAsia="Arial" w:hAnsi="Arial"/>
          <w:sz w:val="20"/>
          <w:szCs w:val="20"/>
          <w:color w:val="auto"/>
        </w:rPr>
      </w:pPr>
      <w:r>
        <w:rPr>
          <w:rFonts w:ascii="Arial" w:cs="Arial" w:eastAsia="Arial" w:hAnsi="Arial"/>
          <w:sz w:val="20"/>
          <w:szCs w:val="20"/>
          <w:color w:val="auto"/>
        </w:rPr>
        <w:t>which has been shipped from a foreign location for receipt by a Loan Party, but which has not yet been delivered to such Loan Party, which In-Transit Inventory has been in transit for forty-five (45) days (but ninety (90) days for the period commencing from the Closing Date through the six month anniversary of the Closing Date, or such later date as the Lenders determine in their sole discretion) or less from the date of shipment of such Inventory;</w:t>
      </w:r>
    </w:p>
    <w:p>
      <w:pPr>
        <w:spacing w:after="0" w:line="111" w:lineRule="exact"/>
        <w:rPr>
          <w:rFonts w:ascii="Arial" w:cs="Arial" w:eastAsia="Arial" w:hAnsi="Arial"/>
          <w:sz w:val="20"/>
          <w:szCs w:val="20"/>
          <w:color w:val="auto"/>
        </w:rPr>
      </w:pPr>
    </w:p>
    <w:p>
      <w:pPr>
        <w:ind w:left="1160" w:hanging="403"/>
        <w:spacing w:after="0"/>
        <w:tabs>
          <w:tab w:leader="none" w:pos="11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which the purchase order is in the name of a Loan Party and title and risk of loss has passed to such Loan Party;</w:t>
      </w:r>
    </w:p>
    <w:p>
      <w:pPr>
        <w:spacing w:after="0" w:line="200" w:lineRule="exact"/>
        <w:rPr>
          <w:rFonts w:ascii="Arial" w:cs="Arial" w:eastAsia="Arial" w:hAnsi="Arial"/>
          <w:sz w:val="19"/>
          <w:szCs w:val="19"/>
          <w:color w:val="auto"/>
        </w:rPr>
      </w:pPr>
    </w:p>
    <w:p>
      <w:pPr>
        <w:jc w:val="both"/>
        <w:ind w:left="760" w:right="100" w:hanging="3"/>
        <w:spacing w:after="0" w:line="292" w:lineRule="auto"/>
        <w:tabs>
          <w:tab w:leader="none" w:pos="1156" w:val="left"/>
        </w:tabs>
        <w:numPr>
          <w:ilvl w:val="0"/>
          <w:numId w:val="23"/>
        </w:numPr>
        <w:rPr>
          <w:rFonts w:ascii="Arial" w:cs="Arial" w:eastAsia="Arial" w:hAnsi="Arial"/>
          <w:sz w:val="20"/>
          <w:szCs w:val="20"/>
          <w:color w:val="auto"/>
        </w:rPr>
      </w:pPr>
      <w:r>
        <w:rPr>
          <w:rFonts w:ascii="Arial" w:cs="Arial" w:eastAsia="Arial" w:hAnsi="Arial"/>
          <w:sz w:val="20"/>
          <w:szCs w:val="20"/>
          <w:color w:val="auto"/>
        </w:rPr>
        <w:t>for which an Acceptable Document of Title has been issued, and in each case as to which the Agent has control (as defined in the UCC) over the documents of title which evidence ownership of the subject Inventory (including, if requested by the Agent, by the delivery of a Customs Broker/Carrier Agreement);</w:t>
      </w:r>
    </w:p>
    <w:p>
      <w:pPr>
        <w:spacing w:after="0" w:line="119" w:lineRule="exact"/>
        <w:rPr>
          <w:rFonts w:ascii="Arial" w:cs="Arial" w:eastAsia="Arial" w:hAnsi="Arial"/>
          <w:sz w:val="20"/>
          <w:szCs w:val="20"/>
          <w:color w:val="auto"/>
        </w:rPr>
      </w:pPr>
    </w:p>
    <w:p>
      <w:pPr>
        <w:ind w:left="1160" w:hanging="403"/>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which is insured to the reasonable satisfaction of the Agent (including, without limitation, pursuant to marine cargo insurance);</w:t>
      </w:r>
    </w:p>
    <w:p>
      <w:pPr>
        <w:spacing w:after="0" w:line="198" w:lineRule="exact"/>
        <w:rPr>
          <w:rFonts w:ascii="Arial" w:cs="Arial" w:eastAsia="Arial" w:hAnsi="Arial"/>
          <w:sz w:val="18"/>
          <w:szCs w:val="18"/>
          <w:color w:val="auto"/>
        </w:rPr>
      </w:pPr>
    </w:p>
    <w:p>
      <w:pPr>
        <w:ind w:left="1160" w:hanging="403"/>
        <w:spacing w:after="0"/>
        <w:tabs>
          <w:tab w:leader="none" w:pos="11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Foreign Vendor with respect to such In-Transit Inventory is an Approved Foreign Vendor;</w:t>
      </w:r>
    </w:p>
    <w:p>
      <w:pPr>
        <w:spacing w:after="0" w:line="188" w:lineRule="exact"/>
        <w:rPr>
          <w:rFonts w:ascii="Arial" w:cs="Arial" w:eastAsia="Arial" w:hAnsi="Arial"/>
          <w:sz w:val="20"/>
          <w:szCs w:val="20"/>
          <w:color w:val="auto"/>
        </w:rPr>
      </w:pPr>
    </w:p>
    <w:p>
      <w:pPr>
        <w:ind w:left="760" w:right="80" w:hanging="3"/>
        <w:spacing w:after="0" w:line="303" w:lineRule="auto"/>
        <w:tabs>
          <w:tab w:leader="none" w:pos="1156" w:val="left"/>
        </w:tabs>
        <w:numPr>
          <w:ilvl w:val="0"/>
          <w:numId w:val="23"/>
        </w:numPr>
        <w:rPr>
          <w:rFonts w:ascii="Arial" w:cs="Arial" w:eastAsia="Arial" w:hAnsi="Arial"/>
          <w:sz w:val="20"/>
          <w:szCs w:val="20"/>
          <w:color w:val="auto"/>
        </w:rPr>
      </w:pPr>
      <w:r>
        <w:rPr>
          <w:rFonts w:ascii="Arial" w:cs="Arial" w:eastAsia="Arial" w:hAnsi="Arial"/>
          <w:sz w:val="20"/>
          <w:szCs w:val="20"/>
          <w:color w:val="auto"/>
        </w:rPr>
        <w:t>for which payment of the purchase price has been made by the Borrowers or the purchase price is supported by a Commercial Letter of Credit; and</w:t>
      </w:r>
    </w:p>
    <w:p>
      <w:pPr>
        <w:spacing w:after="0" w:line="107" w:lineRule="exact"/>
        <w:rPr>
          <w:rFonts w:ascii="Arial" w:cs="Arial" w:eastAsia="Arial" w:hAnsi="Arial"/>
          <w:sz w:val="20"/>
          <w:szCs w:val="20"/>
          <w:color w:val="auto"/>
        </w:rPr>
      </w:pPr>
    </w:p>
    <w:p>
      <w:pPr>
        <w:ind w:left="1160" w:hanging="403"/>
        <w:spacing w:after="0"/>
        <w:tabs>
          <w:tab w:leader="none" w:pos="11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which otherwise would constitute Eligible Inventory;</w:t>
      </w:r>
    </w:p>
    <w:p>
      <w:pPr>
        <w:spacing w:after="0" w:line="175" w:lineRule="exact"/>
        <w:rPr>
          <w:sz w:val="20"/>
          <w:szCs w:val="20"/>
          <w:color w:val="auto"/>
        </w:rPr>
      </w:pPr>
    </w:p>
    <w:p>
      <w:pPr>
        <w:ind w:left="760" w:right="840"/>
        <w:spacing w:after="0" w:line="30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Agent may, in its discretion, exclude any particular Inventory from the definition of “Eligible In-Transit Inventory” in the event the Agent determines that such</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32" w:name="page33"/>
    <w:bookmarkEnd w:id="32"/>
    <w:p>
      <w:pPr>
        <w:ind w:left="760" w:right="80"/>
        <w:spacing w:after="0" w:line="292" w:lineRule="auto"/>
        <w:rPr>
          <w:sz w:val="20"/>
          <w:szCs w:val="20"/>
          <w:color w:val="auto"/>
        </w:rPr>
      </w:pPr>
      <w:r>
        <w:rPr>
          <w:rFonts w:ascii="Arial" w:cs="Arial" w:eastAsia="Arial" w:hAnsi="Arial"/>
          <w:sz w:val="20"/>
          <w:szCs w:val="20"/>
          <w:color w:val="auto"/>
        </w:rPr>
        <w:t>Inventory is subject to any Person’s right of reclamation, repudiation, stoppage in transit or any event has occurred or is reasonably anticipated by the Agent to arise which may otherwise adversely impact the value of such Inventory or the ability of the Agent to realize upon such Inventory.</w:t>
      </w:r>
    </w:p>
    <w:p>
      <w:pPr>
        <w:spacing w:after="0" w:line="119" w:lineRule="exact"/>
        <w:rPr>
          <w:sz w:val="20"/>
          <w:szCs w:val="20"/>
          <w:color w:val="auto"/>
        </w:rPr>
      </w:pPr>
    </w:p>
    <w:p>
      <w:pPr>
        <w:ind w:right="60"/>
        <w:spacing w:after="0" w:line="285" w:lineRule="auto"/>
        <w:rPr>
          <w:sz w:val="20"/>
          <w:szCs w:val="20"/>
          <w:color w:val="auto"/>
        </w:rPr>
      </w:pPr>
      <w:r>
        <w:rPr>
          <w:rFonts w:ascii="Arial" w:cs="Arial" w:eastAsia="Arial" w:hAnsi="Arial"/>
          <w:sz w:val="20"/>
          <w:szCs w:val="20"/>
          <w:color w:val="auto"/>
        </w:rPr>
        <w:t>“Eligible Inventory” means, as of the date of determination thereof, without duplication, (i) Eligible In-Transit Inventory, (ii) Eligible Letters of Credit and (iii) items of Inventory of a Loan Party that are finished goods, merchantable and readily saleable to the public in the ordinary course of the Loan Party’s business deemed by the Agent in its reasonable discretion to be eligible for inclusion in the calculation of the Borrowing Base, in each case that, except as otherwise agreed by the Agent, (A) complies with each of the representations and warranties respecting Inventory made by the Loan Parties in the Loan Documents, and (B) is not excluded as ineligible by virtue of one or more of the criteria set forth below. Except as otherwise agreed by the Agent, the following items of Inventory shall not be included in Eligible Inventory:</w:t>
      </w:r>
    </w:p>
    <w:p>
      <w:pPr>
        <w:spacing w:after="0" w:line="113" w:lineRule="exact"/>
        <w:rPr>
          <w:sz w:val="20"/>
          <w:szCs w:val="20"/>
          <w:color w:val="auto"/>
        </w:rPr>
      </w:pPr>
    </w:p>
    <w:p>
      <w:pPr>
        <w:ind w:left="760" w:right="120" w:hanging="3"/>
        <w:spacing w:after="0" w:line="292" w:lineRule="auto"/>
        <w:tabs>
          <w:tab w:leader="none" w:pos="11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that is not solely owned by a Loan Party or a Loan Party does not have good and valid title thereto free and clear of any Lien (other than Liens granted to the Agent pursuant to the Security Documents and Permitted Encumbrances which do not have priority over the Lien in favor of the Agent);</w:t>
      </w:r>
    </w:p>
    <w:p>
      <w:pPr>
        <w:spacing w:after="0" w:line="119" w:lineRule="exact"/>
        <w:rPr>
          <w:rFonts w:ascii="Arial" w:cs="Arial" w:eastAsia="Arial" w:hAnsi="Arial"/>
          <w:sz w:val="20"/>
          <w:szCs w:val="20"/>
          <w:color w:val="auto"/>
        </w:rPr>
      </w:pPr>
    </w:p>
    <w:p>
      <w:pPr>
        <w:ind w:left="760" w:right="280" w:hanging="3"/>
        <w:spacing w:after="0" w:line="303" w:lineRule="auto"/>
        <w:tabs>
          <w:tab w:leader="none" w:pos="11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that is leased by or is on consignment to a Loan Party or which is consigned by a Loan Party to a Person which is not a Loan Party;</w:t>
      </w:r>
    </w:p>
    <w:p>
      <w:pPr>
        <w:spacing w:after="0" w:line="107" w:lineRule="exact"/>
        <w:rPr>
          <w:rFonts w:ascii="Arial" w:cs="Arial" w:eastAsia="Arial" w:hAnsi="Arial"/>
          <w:sz w:val="20"/>
          <w:szCs w:val="20"/>
          <w:color w:val="auto"/>
        </w:rPr>
      </w:pPr>
    </w:p>
    <w:p>
      <w:pPr>
        <w:ind w:left="760" w:right="40" w:hanging="3"/>
        <w:spacing w:after="0" w:line="286" w:lineRule="auto"/>
        <w:tabs>
          <w:tab w:leader="none" w:pos="11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(other than Eligible In-Transit Inventory) that is not located in the United States of America (excluding territories or possessions of the United States) or Canada at a location that is owned or leased by a Loan Party, except (i) Inventory in transit between such owned or leased locations of such Person, or (ii) to the extent that the Loan Parties have furnished the Agent with (A) any UCC financing statements or other documents that the Agent may determine to be necessary to perfect its security interest in such Inventory at such location, and (B) a Collateral Access Agreement executed by the Person owning any such location to the extent required by the Agent;</w:t>
      </w:r>
    </w:p>
    <w:p>
      <w:pPr>
        <w:spacing w:after="0" w:line="110" w:lineRule="exact"/>
        <w:rPr>
          <w:rFonts w:ascii="Arial" w:cs="Arial" w:eastAsia="Arial" w:hAnsi="Arial"/>
          <w:sz w:val="20"/>
          <w:szCs w:val="20"/>
          <w:color w:val="auto"/>
        </w:rPr>
      </w:pPr>
    </w:p>
    <w:p>
      <w:pPr>
        <w:ind w:left="760" w:hanging="3"/>
        <w:spacing w:after="0" w:line="303" w:lineRule="auto"/>
        <w:tabs>
          <w:tab w:leader="none" w:pos="11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that is located in a distribution center leased by a Loan Party unless the applicable lessor has delivered to the Agent a Collateral Access Agreement;</w:t>
      </w:r>
    </w:p>
    <w:p>
      <w:pPr>
        <w:spacing w:after="0" w:line="107" w:lineRule="exact"/>
        <w:rPr>
          <w:rFonts w:ascii="Arial" w:cs="Arial" w:eastAsia="Arial" w:hAnsi="Arial"/>
          <w:sz w:val="20"/>
          <w:szCs w:val="20"/>
          <w:color w:val="auto"/>
        </w:rPr>
      </w:pPr>
    </w:p>
    <w:p>
      <w:pPr>
        <w:ind w:left="760" w:hanging="3"/>
        <w:spacing w:after="0" w:line="286" w:lineRule="auto"/>
        <w:tabs>
          <w:tab w:leader="none" w:pos="11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that is comprised of goods which (i) are damaged, defective, “seconds,” or otherwise unmerchantable, (ii) are to be returned to the vendor, (iii) are obsolete or slow moving, or custom items, work-in-process, raw materials, or that constitute samples, spare parts, promotional, marketing, labels, bags and other packaging and shipping materials or supplies used or consumed in a Loan Party’s business, (iv) are seasonal in nature and which have been packed away for sale in the subsequent season, (v) not in compliance with all standards imposed by any Governmental Authority having regulatory authority over such Inventory, its use or sale, or (vi) are bill and hold goods;</w:t>
      </w:r>
    </w:p>
    <w:p>
      <w:pPr>
        <w:spacing w:after="0" w:line="124" w:lineRule="exact"/>
        <w:rPr>
          <w:rFonts w:ascii="Arial" w:cs="Arial" w:eastAsia="Arial" w:hAnsi="Arial"/>
          <w:sz w:val="20"/>
          <w:szCs w:val="20"/>
          <w:color w:val="auto"/>
        </w:rPr>
      </w:pPr>
    </w:p>
    <w:p>
      <w:pPr>
        <w:ind w:left="1160" w:hanging="403"/>
        <w:spacing w:after="0"/>
        <w:tabs>
          <w:tab w:leader="none" w:pos="11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Inventory that is not subject to a perfected first-priority security interest in favor of the Agent;</w:t>
      </w:r>
    </w:p>
    <w:p>
      <w:pPr>
        <w:spacing w:after="0" w:line="175" w:lineRule="exact"/>
        <w:rPr>
          <w:rFonts w:ascii="Arial" w:cs="Arial" w:eastAsia="Arial" w:hAnsi="Arial"/>
          <w:sz w:val="20"/>
          <w:szCs w:val="20"/>
          <w:color w:val="auto"/>
        </w:rPr>
      </w:pPr>
    </w:p>
    <w:p>
      <w:pPr>
        <w:ind w:left="1160" w:hanging="403"/>
        <w:spacing w:after="0"/>
        <w:tabs>
          <w:tab w:leader="none" w:pos="11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Inventory that is not insured in compliance with the provisions of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33" w:name="page34"/>
    <w:bookmarkEnd w:id="33"/>
    <w:p>
      <w:pPr>
        <w:ind w:left="1160" w:hanging="403"/>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Inventory that has been sold to a buyer but not yet delivered to such buyer or as to which a Loan Party has accepted a deposit;</w:t>
      </w:r>
    </w:p>
    <w:p>
      <w:pPr>
        <w:spacing w:after="0" w:line="234" w:lineRule="exact"/>
        <w:rPr>
          <w:rFonts w:ascii="Arial" w:cs="Arial" w:eastAsia="Arial" w:hAnsi="Arial"/>
          <w:sz w:val="16"/>
          <w:szCs w:val="16"/>
          <w:color w:val="auto"/>
        </w:rPr>
      </w:pPr>
    </w:p>
    <w:p>
      <w:pPr>
        <w:ind w:left="760" w:right="260" w:hanging="3"/>
        <w:spacing w:after="0" w:line="363" w:lineRule="auto"/>
        <w:tabs>
          <w:tab w:leader="none" w:pos="11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that is subject to any licensing, patent, royalty, trademark, trade name or copyright agreement with any third party from which any Loan Party or any of its Subsidiaries has received notice of a dispute in respect of any such agreement; or</w:t>
      </w:r>
    </w:p>
    <w:p>
      <w:pPr>
        <w:spacing w:after="0" w:line="48" w:lineRule="exact"/>
        <w:rPr>
          <w:rFonts w:ascii="Arial" w:cs="Arial" w:eastAsia="Arial" w:hAnsi="Arial"/>
          <w:sz w:val="18"/>
          <w:szCs w:val="18"/>
          <w:color w:val="auto"/>
        </w:rPr>
      </w:pPr>
    </w:p>
    <w:p>
      <w:pPr>
        <w:ind w:left="760" w:hanging="3"/>
        <w:spacing w:after="0" w:line="287" w:lineRule="auto"/>
        <w:tabs>
          <w:tab w:leader="none" w:pos="1156"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Inventory acquired in a Permitted Acquisition or which is not of the type usually sold in the ordinary course of the Borrowers’ business, unless and until the Agent has completed or received (A) an appraisal of such Inventory from appraisers satisfactory to the Agent and establishes Inventory Reserves (if applicable) therefor, and otherwise agrees that such Inventory shall be deemed Eligible Inventory, and (B) such other due diligence as the Agent may require, all of the results of the foregoing to be reasonably satisfactory to the Agent.</w:t>
      </w:r>
    </w:p>
    <w:p>
      <w:pPr>
        <w:spacing w:after="0" w:line="123"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color w:val="auto"/>
        </w:rPr>
        <w:t>“Eligible Letter of Credit” means, as of any date of determination thereof, a Commercial Letter of Credit which supports the purchase of Inventory, (a) which Inventory does not constitute Eligible In-Transit Inventory and for which no documents of title have then been issued;</w:t>
      </w:r>
    </w:p>
    <w:p>
      <w:pPr>
        <w:ind w:right="40" w:firstLine="8"/>
        <w:spacing w:after="0" w:line="321"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Inventory otherwise would constitute Eligible Inventory when completed, (c) which Commercial Letter of Credit has an expiry within one hundred and eighty (180) days of the date of initial issuance of such Commercial Letter of Credit, (d) which Inventory has been in transit for forty-five (45) days (but ninety (90) days for the period commencing from the Closing Date through the six month anniversary of the Closing Date, or such later date as the Lenders determine in their sole discretion) or less from the date of shipment of such Inventory, (e) which Commercial Letter of Credit provides that it may be drawn only after the Inventory is completed and after an Acceptable Document of Title has been issued for such Inventory reflecting a Loan Party or the Agent as consignee of such Inventory, and (f) which will constitute Eligible In-Transit Inventory upon satisfaction of the requirements of clause (e) hereof.</w:t>
      </w:r>
    </w:p>
    <w:p>
      <w:pPr>
        <w:spacing w:after="0" w:line="101" w:lineRule="exact"/>
        <w:rPr>
          <w:sz w:val="20"/>
          <w:szCs w:val="20"/>
          <w:color w:val="auto"/>
        </w:rPr>
      </w:pPr>
    </w:p>
    <w:p>
      <w:pPr>
        <w:ind w:right="60"/>
        <w:spacing w:after="0" w:line="317" w:lineRule="auto"/>
        <w:rPr>
          <w:sz w:val="20"/>
          <w:szCs w:val="20"/>
          <w:color w:val="auto"/>
        </w:rPr>
      </w:pPr>
      <w:r>
        <w:rPr>
          <w:rFonts w:ascii="Arial" w:cs="Arial" w:eastAsia="Arial" w:hAnsi="Arial"/>
          <w:sz w:val="18"/>
          <w:szCs w:val="18"/>
          <w:color w:val="auto"/>
        </w:rPr>
        <w:t>“Eligible Wholesale Receivables” means Accounts with respect to an Approved Wholesale Retailer arising from the sale of the Loan Parties’ Inventory (but excluding, for the avoidance of doubt, Credit Card Receivables) that satisfies the following criteria at the time of creation and continues to meet the same at the time of such determination: such Account (i) has been earned by performance and represents the bona fide amounts due to a Loan Party from such Approved Wholesale Retailer, and in each case is originated in the ordinary course of business of such Loan Party, and (ii) in each case is reasonably acceptable to the Agent in its discretion, and is not ineligible for inclusion in the calculation of the Borrowing Base pursuant to any of clauses (a) through (k) below. Without limiting the foregoing, to qualify as an Eligible Wholesale 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pursuant to the terms of any agreement or understanding (written or oral)) and (ii) the aggregate amount of all cash received in respect of such Account but not yet applied by the Loan Parties to reduce the amount of such Eligible Wholesale</w:t>
      </w:r>
    </w:p>
    <w:p>
      <w:pPr>
        <w:spacing w:after="0" w:line="2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Receivable. Except as otherwise agreed by the Agent, any Account included within any of the following categories shall not constitute an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Eligible Wholesale Receivable:</w:t>
      </w:r>
    </w:p>
    <w:p>
      <w:pPr>
        <w:spacing w:after="0" w:line="189" w:lineRule="exact"/>
        <w:rPr>
          <w:sz w:val="20"/>
          <w:szCs w:val="20"/>
          <w:color w:val="auto"/>
        </w:rPr>
      </w:pPr>
    </w:p>
    <w:p>
      <w:pPr>
        <w:ind w:left="146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that have been outstanding for more than one hundred twenty (120) days from the date of sale or more than thirty (30) days past the due date;</w:t>
      </w:r>
    </w:p>
    <w:p>
      <w:pPr>
        <w:spacing w:after="0" w:line="94" w:lineRule="exact"/>
        <w:rPr>
          <w:rFonts w:ascii="Arial" w:cs="Arial" w:eastAsia="Arial" w:hAnsi="Arial"/>
          <w:sz w:val="20"/>
          <w:szCs w:val="20"/>
          <w:color w:val="auto"/>
        </w:rPr>
      </w:pPr>
    </w:p>
    <w:p>
      <w:pPr>
        <w:ind w:left="1460" w:right="100" w:hanging="329"/>
        <w:spacing w:after="0" w:line="288"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(i) that are not subject to a perfected first-priority security interest in favor of the Agent, or (ii) with respect to which a Loan Party does not have good and valid title thereto, free and clear of any Lien (other than Liens granted to the Agent pursuant to the Security Documents and Permitted Encumbrances which do not have priority over the Lien in favor of the Agent);</w:t>
      </w:r>
    </w:p>
    <w:p>
      <w:pPr>
        <w:spacing w:after="0" w:line="124" w:lineRule="exact"/>
        <w:rPr>
          <w:rFonts w:ascii="Arial" w:cs="Arial" w:eastAsia="Arial" w:hAnsi="Arial"/>
          <w:sz w:val="20"/>
          <w:szCs w:val="20"/>
          <w:color w:val="auto"/>
        </w:rPr>
      </w:pPr>
    </w:p>
    <w:p>
      <w:pPr>
        <w:ind w:left="1460" w:right="28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which are disputed or with respect to which a claim, counterclaim, offset or chargeback has been asserted, but only to the extent of such dispute, counterclaim, offset or chargeback;</w:t>
      </w:r>
    </w:p>
    <w:p>
      <w:pPr>
        <w:spacing w:after="0" w:line="107" w:lineRule="exact"/>
        <w:rPr>
          <w:rFonts w:ascii="Arial" w:cs="Arial" w:eastAsia="Arial" w:hAnsi="Arial"/>
          <w:sz w:val="20"/>
          <w:szCs w:val="20"/>
          <w:color w:val="auto"/>
        </w:rPr>
      </w:pPr>
    </w:p>
    <w:p>
      <w:pPr>
        <w:ind w:left="1460" w:right="18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which arise out of any sale (i) not made in the ordinary course of business, (ii) made on a basis other than upon credit terms usual to the business of the Loan Parties or (iii) are not payable in Dollars;</w:t>
      </w:r>
    </w:p>
    <w:p>
      <w:pPr>
        <w:spacing w:after="0" w:line="94" w:lineRule="exact"/>
        <w:rPr>
          <w:rFonts w:ascii="Arial" w:cs="Arial" w:eastAsia="Arial" w:hAnsi="Arial"/>
          <w:sz w:val="20"/>
          <w:szCs w:val="20"/>
          <w:color w:val="auto"/>
        </w:rPr>
      </w:pPr>
    </w:p>
    <w:p>
      <w:pPr>
        <w:ind w:left="1460" w:right="340" w:hanging="329"/>
        <w:spacing w:after="0" w:line="288"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for which all consents, approvals or authorizations of, or registrations or declarations with any Governmental Authority required to be obtained, effected or given in connection with the performance of such Account by such Approved Wholesale Retailer or in connection with the enforcement of such Account by the Agent have not been duly obtained, effected or given and are not in full force and effect;</w:t>
      </w:r>
    </w:p>
    <w:p>
      <w:pPr>
        <w:spacing w:after="0" w:line="124" w:lineRule="exact"/>
        <w:rPr>
          <w:rFonts w:ascii="Arial" w:cs="Arial" w:eastAsia="Arial" w:hAnsi="Arial"/>
          <w:sz w:val="20"/>
          <w:szCs w:val="20"/>
          <w:color w:val="auto"/>
        </w:rPr>
      </w:pPr>
    </w:p>
    <w:p>
      <w:pPr>
        <w:ind w:left="1460" w:right="80" w:hanging="329"/>
        <w:spacing w:after="0" w:line="292"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Accounts if such Approved Wholesale Retailer is the subject of any bankruptcy or insolvency proceeding, has had a trustee or receiver appointed for all or a substantial part of its property, has made an assignment for the benefit of creditors or has suspended its business;</w:t>
      </w:r>
    </w:p>
    <w:p>
      <w:pPr>
        <w:spacing w:after="0" w:line="119" w:lineRule="exact"/>
        <w:rPr>
          <w:rFonts w:ascii="Arial" w:cs="Arial" w:eastAsia="Arial" w:hAnsi="Arial"/>
          <w:sz w:val="20"/>
          <w:szCs w:val="20"/>
          <w:color w:val="auto"/>
        </w:rPr>
      </w:pPr>
    </w:p>
    <w:p>
      <w:pPr>
        <w:ind w:left="1460" w:right="2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representing any manufacturer’s or supplier’s credits, discounts, incentive plans or similar arrangements entitling a Loan Party or any of its Subsidiaries to discounts on future purchase therefrom;</w:t>
      </w:r>
    </w:p>
    <w:p>
      <w:pPr>
        <w:spacing w:after="0" w:line="94" w:lineRule="exact"/>
        <w:rPr>
          <w:rFonts w:ascii="Arial" w:cs="Arial" w:eastAsia="Arial" w:hAnsi="Arial"/>
          <w:sz w:val="20"/>
          <w:szCs w:val="20"/>
          <w:color w:val="auto"/>
        </w:rPr>
      </w:pPr>
    </w:p>
    <w:p>
      <w:pPr>
        <w:ind w:left="1460" w:right="18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arising out of sales on a bill-and-hold, guaranteed sale, sale-or-return, sale on approval or consignment basis or subject to any right of return;</w:t>
      </w:r>
    </w:p>
    <w:p>
      <w:pPr>
        <w:spacing w:after="0" w:line="107" w:lineRule="exact"/>
        <w:rPr>
          <w:rFonts w:ascii="Arial" w:cs="Arial" w:eastAsia="Arial" w:hAnsi="Arial"/>
          <w:sz w:val="20"/>
          <w:szCs w:val="20"/>
          <w:color w:val="auto"/>
        </w:rPr>
      </w:pPr>
    </w:p>
    <w:p>
      <w:pPr>
        <w:ind w:left="1460" w:hanging="329"/>
        <w:spacing w:after="0"/>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evidenced by “chattel paper” or an “instrument” of any kind;</w:t>
      </w:r>
    </w:p>
    <w:p>
      <w:pPr>
        <w:spacing w:after="0" w:line="188" w:lineRule="exact"/>
        <w:rPr>
          <w:rFonts w:ascii="Arial" w:cs="Arial" w:eastAsia="Arial" w:hAnsi="Arial"/>
          <w:sz w:val="20"/>
          <w:szCs w:val="20"/>
          <w:color w:val="auto"/>
        </w:rPr>
      </w:pPr>
    </w:p>
    <w:p>
      <w:pPr>
        <w:ind w:left="1460" w:hanging="329"/>
        <w:spacing w:after="0"/>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consisting of amounts due from vendors as rebates or allowances; or</w:t>
      </w:r>
    </w:p>
    <w:p>
      <w:pPr>
        <w:spacing w:after="0" w:line="175" w:lineRule="exact"/>
        <w:rPr>
          <w:rFonts w:ascii="Arial" w:cs="Arial" w:eastAsia="Arial" w:hAnsi="Arial"/>
          <w:sz w:val="20"/>
          <w:szCs w:val="20"/>
          <w:color w:val="auto"/>
        </w:rPr>
      </w:pPr>
    </w:p>
    <w:p>
      <w:pPr>
        <w:ind w:left="1460" w:right="180" w:hanging="329"/>
        <w:spacing w:after="0" w:line="303" w:lineRule="auto"/>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Accounts which are in excess of the credit limit for such Approved Wholesale Retailer established by the Loan Parties in the ordinary course of business and consistent with past practices.</w:t>
      </w:r>
    </w:p>
    <w:p>
      <w:pPr>
        <w:spacing w:after="0" w:line="108"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35" w:name="page36"/>
    <w:bookmarkEnd w:id="35"/>
    <w:p>
      <w:pPr>
        <w:ind w:right="140"/>
        <w:spacing w:after="0" w:line="303" w:lineRule="auto"/>
        <w:rPr>
          <w:sz w:val="20"/>
          <w:szCs w:val="20"/>
          <w:color w:val="auto"/>
        </w:rPr>
      </w:pPr>
      <w:r>
        <w:rPr>
          <w:rFonts w:ascii="Arial" w:cs="Arial" w:eastAsia="Arial" w:hAnsi="Arial"/>
          <w:sz w:val="20"/>
          <w:szCs w:val="20"/>
          <w:color w:val="auto"/>
        </w:rPr>
        <w:t>the release of any materials into the environment, including those related to hazardous substances or wastes, air emissions and discharges to waste or public systems.</w:t>
      </w:r>
    </w:p>
    <w:p>
      <w:pPr>
        <w:spacing w:after="0" w:line="108" w:lineRule="exact"/>
        <w:rPr>
          <w:sz w:val="20"/>
          <w:szCs w:val="20"/>
          <w:color w:val="auto"/>
        </w:rPr>
      </w:pPr>
    </w:p>
    <w:p>
      <w:pPr>
        <w:spacing w:after="0" w:line="313" w:lineRule="auto"/>
        <w:rPr>
          <w:sz w:val="20"/>
          <w:szCs w:val="20"/>
          <w:color w:val="auto"/>
        </w:rPr>
      </w:pPr>
      <w:r>
        <w:rPr>
          <w:rFonts w:ascii="Arial" w:cs="Arial" w:eastAsia="Arial" w:hAnsi="Arial"/>
          <w:sz w:val="18"/>
          <w:szCs w:val="18"/>
          <w:color w:val="auto"/>
        </w:rPr>
        <w:t>“Environmental Liability” means any liability, obligation, damage, loss, claim, action, suit, judgment, order, fine, penalty, fee, expense, or cost,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or presence of any Hazardous Materials,</w:t>
      </w:r>
    </w:p>
    <w:p>
      <w:pPr>
        <w:ind w:right="120" w:firstLine="8"/>
        <w:spacing w:after="0" w:line="438" w:lineRule="auto"/>
        <w:tabs>
          <w:tab w:leader="none" w:pos="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“Equipment” has the meaning set forth in the UCC.</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20"/>
          <w:szCs w:val="20"/>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“ERISA” means the Employee Retirement Income Security Act of 1974, as amended from time to time.</w:t>
      </w:r>
    </w:p>
    <w:p>
      <w:pPr>
        <w:spacing w:after="0" w:line="175"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“ERISA Affiliate”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19"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“ERISA Event”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“Erroneous Payment” has the meaning assigned to such term in </w:t>
      </w:r>
      <w:r>
        <w:rPr>
          <w:rFonts w:ascii="Arial" w:cs="Arial" w:eastAsia="Arial" w:hAnsi="Arial"/>
          <w:sz w:val="20"/>
          <w:szCs w:val="20"/>
          <w:u w:val="single" w:color="auto"/>
          <w:color w:val="auto"/>
        </w:rPr>
        <w:t>Section 9.18(a)</w:t>
      </w:r>
      <w:r>
        <w:rPr>
          <w:rFonts w:ascii="Arial" w:cs="Arial" w:eastAsia="Arial" w:hAnsi="Arial"/>
          <w:sz w:val="20"/>
          <w:szCs w:val="20"/>
          <w:color w:val="auto"/>
        </w:rPr>
        <w:t>.</w:t>
      </w:r>
    </w:p>
    <w:p>
      <w:pPr>
        <w:spacing w:after="0" w:line="2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36" w:name="page37"/>
    <w:bookmarkEnd w:id="36"/>
    <w:p>
      <w:pPr>
        <w:ind w:left="760"/>
        <w:spacing w:after="0"/>
        <w:rPr>
          <w:sz w:val="20"/>
          <w:szCs w:val="20"/>
          <w:color w:val="auto"/>
        </w:rPr>
      </w:pPr>
      <w:r>
        <w:rPr>
          <w:rFonts w:ascii="Arial" w:cs="Arial" w:eastAsia="Arial" w:hAnsi="Arial"/>
          <w:sz w:val="20"/>
          <w:szCs w:val="20"/>
          <w:color w:val="auto"/>
        </w:rPr>
        <w:t xml:space="preserve">“Erroneous Payment Deficiency Assignment” has the meaning assigned to such term in </w:t>
      </w:r>
      <w:r>
        <w:rPr>
          <w:rFonts w:ascii="Arial" w:cs="Arial" w:eastAsia="Arial" w:hAnsi="Arial"/>
          <w:sz w:val="20"/>
          <w:szCs w:val="20"/>
          <w:u w:val="single" w:color="auto"/>
          <w:color w:val="auto"/>
        </w:rPr>
        <w:t>Section 9.18(d)</w:t>
      </w:r>
      <w:r>
        <w:rPr>
          <w:rFonts w:ascii="Arial" w:cs="Arial" w:eastAsia="Arial" w:hAnsi="Arial"/>
          <w:sz w:val="20"/>
          <w:szCs w:val="20"/>
          <w:color w:val="auto"/>
        </w:rPr>
        <w: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“Erroneous Payment Impacted Class” has the meaning assigned to such term in </w:t>
      </w:r>
      <w:r>
        <w:rPr>
          <w:rFonts w:ascii="Arial" w:cs="Arial" w:eastAsia="Arial" w:hAnsi="Arial"/>
          <w:sz w:val="20"/>
          <w:szCs w:val="20"/>
          <w:u w:val="single" w:color="auto"/>
          <w:color w:val="auto"/>
        </w:rPr>
        <w:t>Section 9.18(d)</w:t>
      </w:r>
      <w:r>
        <w:rPr>
          <w:rFonts w:ascii="Arial" w:cs="Arial" w:eastAsia="Arial" w:hAnsi="Arial"/>
          <w:sz w:val="20"/>
          <w:szCs w:val="20"/>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“Erroneous Payment Return Deficiency” has the meaning assigned to such term in </w:t>
      </w:r>
      <w:r>
        <w:rPr>
          <w:rFonts w:ascii="Arial" w:cs="Arial" w:eastAsia="Arial" w:hAnsi="Arial"/>
          <w:sz w:val="20"/>
          <w:szCs w:val="20"/>
          <w:u w:val="single" w:color="auto"/>
          <w:color w:val="auto"/>
        </w:rPr>
        <w:t>Section 9.18(d)</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“Erroneous Payment Subrogation Rights” has the meaning assigned to such term in </w:t>
      </w:r>
      <w:r>
        <w:rPr>
          <w:rFonts w:ascii="Arial" w:cs="Arial" w:eastAsia="Arial" w:hAnsi="Arial"/>
          <w:sz w:val="20"/>
          <w:szCs w:val="20"/>
          <w:u w:val="single" w:color="auto"/>
          <w:color w:val="auto"/>
        </w:rPr>
        <w:t>Section 9.18(d)</w:t>
      </w:r>
      <w:r>
        <w:rPr>
          <w:rFonts w:ascii="Arial" w:cs="Arial" w:eastAsia="Arial" w:hAnsi="Arial"/>
          <w:sz w:val="20"/>
          <w:szCs w:val="20"/>
          <w:color w:val="auto"/>
        </w:rPr>
        <w:t>.</w:t>
      </w:r>
    </w:p>
    <w:p>
      <w:pPr>
        <w:spacing w:after="0" w:line="18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“EU Bail-In Legislation Schedule” means the EU Bail-In Legislation Schedule published by the Loan Market Association (or any successor person), as in effect from time to time.</w:t>
      </w:r>
    </w:p>
    <w:p>
      <w:pPr>
        <w:spacing w:after="0" w:line="94"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 xml:space="preserve">“Event of Default”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An Event of Default shall be deemed to be continuing unless and until that Event of Default has been duly waived as provided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hereof.</w:t>
      </w:r>
    </w:p>
    <w:p>
      <w:pPr>
        <w:spacing w:after="0" w:line="108" w:lineRule="exact"/>
        <w:rPr>
          <w:sz w:val="20"/>
          <w:szCs w:val="20"/>
          <w:color w:val="auto"/>
        </w:rPr>
      </w:pPr>
    </w:p>
    <w:p>
      <w:pPr>
        <w:ind w:right="120"/>
        <w:spacing w:after="0" w:line="300" w:lineRule="auto"/>
        <w:rPr>
          <w:sz w:val="20"/>
          <w:szCs w:val="20"/>
          <w:color w:val="auto"/>
        </w:rPr>
      </w:pPr>
      <w:r>
        <w:rPr>
          <w:rFonts w:ascii="Arial" w:cs="Arial" w:eastAsia="Arial" w:hAnsi="Arial"/>
          <w:sz w:val="19"/>
          <w:szCs w:val="19"/>
          <w:color w:val="auto"/>
        </w:rPr>
        <w:t xml:space="preserve">“Excluded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10.25</w:t>
      </w:r>
      <w:r>
        <w:rPr>
          <w:rFonts w:ascii="Arial" w:cs="Arial" w:eastAsia="Arial" w:hAnsi="Arial"/>
          <w:sz w:val="19"/>
          <w:szCs w:val="19"/>
          <w:color w:val="auto"/>
        </w:rPr>
        <w:t xml:space="preserve"> 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121" w:lineRule="exact"/>
        <w:rPr>
          <w:sz w:val="20"/>
          <w:szCs w:val="20"/>
          <w:color w:val="auto"/>
        </w:rPr>
      </w:pPr>
    </w:p>
    <w:p>
      <w:pPr>
        <w:ind w:firstLine="49"/>
        <w:spacing w:after="0" w:line="313" w:lineRule="auto"/>
        <w:rPr>
          <w:sz w:val="20"/>
          <w:szCs w:val="20"/>
          <w:color w:val="auto"/>
        </w:rPr>
      </w:pPr>
      <w:r>
        <w:rPr>
          <w:rFonts w:ascii="Arial" w:cs="Arial" w:eastAsia="Arial" w:hAnsi="Arial"/>
          <w:sz w:val="18"/>
          <w:szCs w:val="18"/>
          <w:color w:val="auto"/>
        </w:rPr>
        <w:t xml:space="preserve">“Excluded Taxes”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Arial" w:cs="Arial" w:eastAsia="Arial" w:hAnsi="Arial"/>
          <w:sz w:val="18"/>
          <w:szCs w:val="18"/>
          <w:u w:val="single" w:color="auto"/>
          <w:color w:val="auto"/>
        </w:rPr>
        <w:t>Section 10.13</w:t>
      </w:r>
      <w:r>
        <w:rPr>
          <w:rFonts w:ascii="Arial" w:cs="Arial" w:eastAsia="Arial" w:hAnsi="Arial"/>
          <w:sz w:val="18"/>
          <w:szCs w:val="18"/>
          <w:color w:val="auto"/>
        </w:rPr>
        <w:t>) or</w:t>
      </w:r>
    </w:p>
    <w:p>
      <w:pPr>
        <w:ind w:right="40" w:firstLine="8"/>
        <w:spacing w:after="0" w:line="288" w:lineRule="auto"/>
        <w:tabs>
          <w:tab w:leader="none" w:pos="291"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3.01(a)(ii)</w:t>
      </w:r>
      <w:r>
        <w:rPr>
          <w:rFonts w:ascii="Arial" w:cs="Arial" w:eastAsia="Arial" w:hAnsi="Arial"/>
          <w:sz w:val="20"/>
          <w:szCs w:val="20"/>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“Executive Order” has the meaning set forth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“Existing Agent” has the meaning set forth in the definition of Existing Credit Agreement.</w:t>
      </w:r>
    </w:p>
    <w:p>
      <w:pPr>
        <w:spacing w:after="0" w:line="189"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“Existing Credit Agreement” means that certain Seventh Amended and Restated Loan and Security Agreement, dated as of May 24, 2018 (as amended, restated, amended and restated, supplemented, or otherwise modified from time to time), among the Loan Parties, Bank of America, N.A, as agent (the “Existing Agent”), and a syndicate of lenders.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“Existing Letters of Credit” means the letters of credit issued under the Existing Credit Agreement and set forth on </w:t>
      </w:r>
      <w:r>
        <w:rPr>
          <w:rFonts w:ascii="Arial" w:cs="Arial" w:eastAsia="Arial" w:hAnsi="Arial"/>
          <w:sz w:val="18"/>
          <w:szCs w:val="18"/>
          <w:u w:val="single" w:color="auto"/>
          <w:color w:val="auto"/>
        </w:rPr>
        <w:t>Schedule 2.03</w:t>
      </w:r>
      <w:r>
        <w:rPr>
          <w:rFonts w:ascii="Arial" w:cs="Arial" w:eastAsia="Arial" w:hAnsi="Arial"/>
          <w:sz w:val="18"/>
          <w:szCs w:val="18"/>
          <w:color w:val="auto"/>
        </w:rPr>
        <w:t xml:space="preserve"> hereto.</w:t>
      </w:r>
    </w:p>
    <w:p>
      <w:pPr>
        <w:spacing w:after="0" w:line="212" w:lineRule="exact"/>
        <w:rPr>
          <w:sz w:val="20"/>
          <w:szCs w:val="20"/>
          <w:color w:val="auto"/>
        </w:rPr>
      </w:pPr>
    </w:p>
    <w:p>
      <w:pPr>
        <w:ind w:right="120"/>
        <w:spacing w:after="0" w:line="303" w:lineRule="auto"/>
        <w:rPr>
          <w:sz w:val="20"/>
          <w:szCs w:val="20"/>
          <w:color w:val="auto"/>
        </w:rPr>
      </w:pPr>
      <w:r>
        <w:rPr>
          <w:rFonts w:ascii="Arial" w:cs="Arial" w:eastAsia="Arial" w:hAnsi="Arial"/>
          <w:sz w:val="20"/>
          <w:szCs w:val="20"/>
          <w:color w:val="auto"/>
        </w:rPr>
        <w:t>“Facility Guaranty” means the Guaranty dated as of the Closing Date and made by the Guarantors in favor of the Agent and the other Credit Parties, in form reasonably satisfactory to the Agent.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“FASB” means the Financial Accounting Standards Board, which promulgates accounting standards.</w:t>
      </w:r>
    </w:p>
    <w:p>
      <w:pPr>
        <w:spacing w:after="0" w:line="148" w:lineRule="exact"/>
        <w:rPr>
          <w:sz w:val="20"/>
          <w:szCs w:val="20"/>
          <w:color w:val="auto"/>
        </w:rPr>
      </w:pPr>
    </w:p>
    <w:p>
      <w:pPr>
        <w:ind w:right="380"/>
        <w:spacing w:after="0" w:line="381" w:lineRule="auto"/>
        <w:rPr>
          <w:sz w:val="20"/>
          <w:szCs w:val="20"/>
          <w:color w:val="auto"/>
        </w:rPr>
      </w:pPr>
      <w:r>
        <w:rPr>
          <w:rFonts w:ascii="Arial" w:cs="Arial" w:eastAsia="Arial" w:hAnsi="Arial"/>
          <w:sz w:val="16"/>
          <w:szCs w:val="16"/>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“FCPA” means the Foreign Corrupt Practices Act of 1977, as amended, and the rules and regulations thereunder.</w:t>
      </w:r>
    </w:p>
    <w:p>
      <w:pPr>
        <w:spacing w:after="0" w:line="189" w:lineRule="exact"/>
        <w:rPr>
          <w:sz w:val="20"/>
          <w:szCs w:val="20"/>
          <w:color w:val="auto"/>
        </w:rPr>
      </w:pPr>
    </w:p>
    <w:p>
      <w:pPr>
        <w:spacing w:after="0" w:line="320" w:lineRule="auto"/>
        <w:rPr>
          <w:sz w:val="20"/>
          <w:szCs w:val="20"/>
          <w:color w:val="auto"/>
        </w:rPr>
      </w:pPr>
      <w:r>
        <w:rPr>
          <w:rFonts w:ascii="Arial" w:cs="Arial" w:eastAsia="Arial" w:hAnsi="Arial"/>
          <w:sz w:val="18"/>
          <w:szCs w:val="18"/>
          <w:color w:val="auto"/>
        </w:rPr>
        <w:t xml:space="preserve">“Federal Funds Effective Rate” 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day for which such rate is to be determined is not a Business Day, the Federal Funds Effective Rate for such day shall be such rate on such transactions on the next preceding Business Day as so published on the next succeeding Business Day, (b) if such rate is not so published for any day, the Federal Funds Effective Rate for such day shall be the average of the quotations for such day on such transactions received by the Agent from three federal funds brokers of recognized standing selected by it and (c) if the Federal Funds Effective Rate shall be less than zero, such rate shall be deemed to be zero for purposes of this Agreement.</w:t>
      </w:r>
    </w:p>
    <w:p>
      <w:pPr>
        <w:spacing w:after="0" w:line="101" w:lineRule="exact"/>
        <w:rPr>
          <w:sz w:val="20"/>
          <w:szCs w:val="20"/>
          <w:color w:val="auto"/>
        </w:rPr>
      </w:pPr>
    </w:p>
    <w:p>
      <w:pPr>
        <w:ind w:right="700"/>
        <w:spacing w:after="0" w:line="438" w:lineRule="auto"/>
        <w:rPr>
          <w:sz w:val="20"/>
          <w:szCs w:val="20"/>
          <w:color w:val="auto"/>
        </w:rPr>
      </w:pPr>
      <w:r>
        <w:rPr>
          <w:rFonts w:ascii="Arial" w:cs="Arial" w:eastAsia="Arial" w:hAnsi="Arial"/>
          <w:sz w:val="16"/>
          <w:szCs w:val="16"/>
          <w:color w:val="auto"/>
        </w:rPr>
        <w:t>“Fee Letter” means the letter agreement, dated October 1, 2021, among the Lead Borrower, the Agent and the Arranger, as amended, restated, amended and restated, supplemented, or otherwise modified from time to time in accordance with the terms thereof.</w:t>
      </w:r>
    </w:p>
    <w:p>
      <w:pPr>
        <w:spacing w:after="0" w:line="3"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“Fiscal Month” means any fiscal month of any Fiscal Year, which month shall generally end on the last Saturday of each calendar month in accordance with the fiscal accounting calendar of the Loan Parties.</w:t>
      </w:r>
    </w:p>
    <w:p>
      <w:pPr>
        <w:spacing w:after="0" w:line="108" w:lineRule="exact"/>
        <w:rPr>
          <w:sz w:val="20"/>
          <w:szCs w:val="20"/>
          <w:color w:val="auto"/>
        </w:rPr>
      </w:pPr>
    </w:p>
    <w:p>
      <w:pPr>
        <w:ind w:right="460"/>
        <w:spacing w:after="0" w:line="331" w:lineRule="auto"/>
        <w:rPr>
          <w:sz w:val="20"/>
          <w:szCs w:val="20"/>
          <w:color w:val="auto"/>
        </w:rPr>
      </w:pPr>
      <w:r>
        <w:rPr>
          <w:rFonts w:ascii="Arial" w:cs="Arial" w:eastAsia="Arial" w:hAnsi="Arial"/>
          <w:sz w:val="19"/>
          <w:szCs w:val="19"/>
          <w:color w:val="auto"/>
        </w:rPr>
        <w:t>“Fiscal Quarter” means any fiscal quarter of any Fiscal Year, which quarters shall generally end on the last Saturday of each April, July, October and January of such Fiscal Year in accordance with the fiscal accounting calendar of the Loan Parties.</w:t>
      </w:r>
    </w:p>
    <w:p>
      <w:pPr>
        <w:spacing w:after="0" w:line="20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“Fiscal Year” means any period of twelve consecutive months ending on the Saturday closest to January 31 of any calendar year.</w:t>
      </w:r>
    </w:p>
    <w:p>
      <w:pPr>
        <w:spacing w:after="0" w:line="200" w:lineRule="exact"/>
        <w:rPr>
          <w:sz w:val="20"/>
          <w:szCs w:val="20"/>
          <w:color w:val="auto"/>
        </w:rPr>
      </w:pPr>
    </w:p>
    <w:p>
      <w:pPr>
        <w:ind w:right="80"/>
        <w:spacing w:after="0" w:line="303" w:lineRule="auto"/>
        <w:rPr>
          <w:sz w:val="20"/>
          <w:szCs w:val="20"/>
          <w:color w:val="auto"/>
        </w:rPr>
      </w:pPr>
      <w:r>
        <w:rPr>
          <w:rFonts w:ascii="Arial" w:cs="Arial" w:eastAsia="Arial" w:hAnsi="Arial"/>
          <w:sz w:val="20"/>
          <w:szCs w:val="20"/>
          <w:color w:val="231F20"/>
        </w:rPr>
        <w:t>“Floor” means the benchmark rate floor, if any, provided in this Agreement initially (as of the execution of this Agreement, the modification, amendment or renewal of this Agreement or otherwise) with respect to the Adjusted LIBOR Rate.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“Foreign Assets Control Regulations” has the meaning set forth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189"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“Foreign Lender” means any Lender that is organized under the laws of a jurisdiction other than that in which the Lead Borrower is resident for tax purposes. For purposes of this definition, the United States, each State thereof and the District of Columbia shall be deemed to constitute a single jurisdiction.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“Foreign Vendor” means a Person that sells In-Transit Inventory to a Loan Party.</w:t>
      </w:r>
    </w:p>
    <w:p>
      <w:pPr>
        <w:spacing w:after="0" w:line="175"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color w:val="auto"/>
        </w:rPr>
        <w:t>“Foreign Vendor Agreement” means an agreement between a Foreign Vendor and the Agent in form and substance satisfactory to the Agent and pursuant to which, among other things, the parties shall agree upon their relative rights with respect to In-Transit Inventory of a Loan Party purchased from such Foreign Vendor.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“FRB” means the Board of Governors of the Federal Reserve System of the United States.</w:t>
      </w:r>
    </w:p>
    <w:p>
      <w:pPr>
        <w:spacing w:after="0" w:line="189"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“Fronting Exposure” means, at any time there is a Defaulting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Lenders in accordance with the terms hereof.</w:t>
      </w:r>
    </w:p>
    <w:p>
      <w:pPr>
        <w:spacing w:after="0" w:line="84"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08"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color w:val="auto"/>
        </w:rPr>
        <w:t>“GAAP” means generally accepted accounting principles in the United States set forth in the opinions and pronouncements of the FASB and the American Institute of Certified Public Accountants and statements and pronouncements of the FASB or such other principles as may be approved by a significant segment of the accounting profession in the United States, that are applicable to the circumstances as of the date of determination, consistently applied.</w:t>
      </w:r>
    </w:p>
    <w:p>
      <w:pPr>
        <w:spacing w:after="0" w:line="125"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1"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39" w:name="page40"/>
    <w:bookmarkEnd w:id="39"/>
    <w:p>
      <w:pPr>
        <w:ind w:right="20"/>
        <w:spacing w:after="0" w:line="299" w:lineRule="auto"/>
        <w:rPr>
          <w:sz w:val="20"/>
          <w:szCs w:val="20"/>
          <w:color w:val="auto"/>
        </w:rPr>
      </w:pPr>
      <w:r>
        <w:rPr>
          <w:rFonts w:ascii="Arial" w:cs="Arial" w:eastAsia="Arial" w:hAnsi="Arial"/>
          <w:sz w:val="19"/>
          <w:szCs w:val="19"/>
          <w:color w:val="auto"/>
        </w:rPr>
        <w:t>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The term “Guarantee” as a verb has a corresponding meaning.</w:t>
      </w:r>
    </w:p>
    <w:p>
      <w:pPr>
        <w:spacing w:after="0" w:line="122" w:lineRule="exact"/>
        <w:rPr>
          <w:sz w:val="20"/>
          <w:szCs w:val="20"/>
          <w:color w:val="auto"/>
        </w:rPr>
      </w:pPr>
    </w:p>
    <w:p>
      <w:pPr>
        <w:ind w:right="300"/>
        <w:spacing w:after="0" w:line="292" w:lineRule="auto"/>
        <w:rPr>
          <w:sz w:val="20"/>
          <w:szCs w:val="20"/>
          <w:color w:val="auto"/>
        </w:rPr>
      </w:pPr>
      <w:r>
        <w:rPr>
          <w:rFonts w:ascii="Arial" w:cs="Arial" w:eastAsia="Arial" w:hAnsi="Arial"/>
          <w:sz w:val="20"/>
          <w:szCs w:val="20"/>
          <w:color w:val="auto"/>
        </w:rPr>
        <w:t xml:space="preserve">“Guarantor” means (a) each Domestic Subsidiary of the Lead Borrower (other than any CFC, the Immaterial Subsidiary or any Borrower) existing on the Closing Date and (b) each other Subsidiary of the Lead Borrower that shall be required to execute and deliver a Facility Guaranty pursuant to </w:t>
      </w:r>
      <w:r>
        <w:rPr>
          <w:rFonts w:ascii="Arial" w:cs="Arial" w:eastAsia="Arial" w:hAnsi="Arial"/>
          <w:sz w:val="20"/>
          <w:szCs w:val="20"/>
          <w:u w:val="single" w:color="auto"/>
          <w:color w:val="auto"/>
        </w:rPr>
        <w:t>Section 6.11</w:t>
      </w:r>
      <w:r>
        <w:rPr>
          <w:rFonts w:ascii="Arial" w:cs="Arial" w:eastAsia="Arial" w:hAnsi="Arial"/>
          <w:sz w:val="20"/>
          <w:szCs w:val="20"/>
          <w:color w:val="auto"/>
        </w:rPr>
        <w:t>.</w:t>
      </w:r>
    </w:p>
    <w:p>
      <w:pPr>
        <w:spacing w:after="0" w:line="106" w:lineRule="exact"/>
        <w:rPr>
          <w:sz w:val="20"/>
          <w:szCs w:val="20"/>
          <w:color w:val="auto"/>
        </w:rPr>
      </w:pPr>
    </w:p>
    <w:p>
      <w:pPr>
        <w:ind w:right="460"/>
        <w:spacing w:after="0" w:line="338" w:lineRule="auto"/>
        <w:rPr>
          <w:sz w:val="20"/>
          <w:szCs w:val="20"/>
          <w:color w:val="auto"/>
        </w:rPr>
      </w:pPr>
      <w:r>
        <w:rPr>
          <w:rFonts w:ascii="Arial" w:cs="Arial" w:eastAsia="Arial" w:hAnsi="Arial"/>
          <w:sz w:val="18"/>
          <w:szCs w:val="18"/>
          <w:color w:val="auto"/>
        </w:rPr>
        <w:t>“Hazardous Materials”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84"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auto"/>
        </w:rPr>
        <w:t>“Immaterial Subsidiary” means (a) Canton PL Liquidating Corp., a Nevada corporation, and (b) Casual Male RBT (U.K.) LLC, a Delaware limited liability company, in each case so long as such Person (i) does not have assets in an amount greater than or equal to 3.0% of the consolidated assets of the Lead Borrower and its Subsidiaries as of the last day of the most recently completed Fiscal Quarter, as determined in accordance with GAAP for such period, and (ii) does not hold legal or beneficial title to any assets of the type included in the Borrowing Base.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“Increase Effective Date” has the meaning set forth in </w:t>
      </w:r>
      <w:r>
        <w:rPr>
          <w:rFonts w:ascii="Arial" w:cs="Arial" w:eastAsia="Arial" w:hAnsi="Arial"/>
          <w:sz w:val="20"/>
          <w:szCs w:val="20"/>
          <w:u w:val="single" w:color="auto"/>
          <w:color w:val="auto"/>
        </w:rPr>
        <w:t>Section 2.15(d)</w:t>
      </w:r>
      <w:r>
        <w:rPr>
          <w:rFonts w:ascii="Arial" w:cs="Arial" w:eastAsia="Arial" w:hAnsi="Arial"/>
          <w:sz w:val="20"/>
          <w:szCs w:val="20"/>
          <w:color w:val="auto"/>
        </w:rPr>
        <w:t>.</w:t>
      </w:r>
    </w:p>
    <w:p>
      <w:pPr>
        <w:spacing w:after="0" w:line="175"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“Indebtedness” means, as to any Person at a particular time, without duplication, all of the following, whether or not included as indebtedness or liabilities in accordance with GAAP:</w:t>
      </w:r>
    </w:p>
    <w:p>
      <w:pPr>
        <w:spacing w:after="0" w:line="108" w:lineRule="exact"/>
        <w:rPr>
          <w:sz w:val="20"/>
          <w:szCs w:val="20"/>
          <w:color w:val="auto"/>
        </w:rPr>
      </w:pPr>
    </w:p>
    <w:p>
      <w:pPr>
        <w:ind w:left="760" w:right="200" w:hanging="3"/>
        <w:spacing w:after="0" w:line="303" w:lineRule="auto"/>
        <w:tabs>
          <w:tab w:leader="none" w:pos="11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07" w:lineRule="exact"/>
        <w:rPr>
          <w:rFonts w:ascii="Arial" w:cs="Arial" w:eastAsia="Arial" w:hAnsi="Arial"/>
          <w:sz w:val="20"/>
          <w:szCs w:val="20"/>
          <w:color w:val="auto"/>
        </w:rPr>
      </w:pPr>
    </w:p>
    <w:p>
      <w:pPr>
        <w:ind w:left="760" w:right="280" w:hanging="3"/>
        <w:spacing w:after="0" w:line="303" w:lineRule="auto"/>
        <w:tabs>
          <w:tab w:leader="none" w:pos="115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bank guaranties, surety bonds and similar instruments;</w:t>
      </w:r>
    </w:p>
    <w:p>
      <w:pPr>
        <w:spacing w:after="0" w:line="94" w:lineRule="exact"/>
        <w:rPr>
          <w:rFonts w:ascii="Arial" w:cs="Arial" w:eastAsia="Arial" w:hAnsi="Arial"/>
          <w:sz w:val="20"/>
          <w:szCs w:val="20"/>
          <w:color w:val="auto"/>
        </w:rPr>
      </w:pPr>
    </w:p>
    <w:p>
      <w:pPr>
        <w:ind w:left="1160" w:hanging="403"/>
        <w:spacing w:after="0"/>
        <w:tabs>
          <w:tab w:leader="none" w:pos="11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40" w:name="page41"/>
    <w:bookmarkEnd w:id="40"/>
    <w:p>
      <w:pPr>
        <w:jc w:val="both"/>
        <w:ind w:left="760" w:right="140" w:hanging="3"/>
        <w:spacing w:after="0" w:line="292" w:lineRule="auto"/>
        <w:tabs>
          <w:tab w:leader="none" w:pos="11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 and not past due for more than ninety (90) days after the date on which such trade account payable was created);</w:t>
      </w:r>
    </w:p>
    <w:p>
      <w:pPr>
        <w:spacing w:after="0" w:line="119" w:lineRule="exact"/>
        <w:rPr>
          <w:rFonts w:ascii="Arial" w:cs="Arial" w:eastAsia="Arial" w:hAnsi="Arial"/>
          <w:sz w:val="20"/>
          <w:szCs w:val="20"/>
          <w:color w:val="auto"/>
        </w:rPr>
      </w:pPr>
    </w:p>
    <w:p>
      <w:pPr>
        <w:ind w:left="760" w:right="140" w:hanging="3"/>
        <w:spacing w:after="0" w:line="292" w:lineRule="auto"/>
        <w:tabs>
          <w:tab w:leader="none" w:pos="11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05" w:lineRule="exact"/>
        <w:rPr>
          <w:rFonts w:ascii="Arial" w:cs="Arial" w:eastAsia="Arial" w:hAnsi="Arial"/>
          <w:sz w:val="20"/>
          <w:szCs w:val="20"/>
          <w:color w:val="auto"/>
        </w:rPr>
      </w:pPr>
    </w:p>
    <w:p>
      <w:pPr>
        <w:ind w:left="1160" w:hanging="403"/>
        <w:spacing w:after="0"/>
        <w:tabs>
          <w:tab w:leader="none" w:pos="11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Attributable Indebtedness of such Person;</w:t>
      </w:r>
    </w:p>
    <w:p>
      <w:pPr>
        <w:spacing w:after="0" w:line="188" w:lineRule="exact"/>
        <w:rPr>
          <w:rFonts w:ascii="Arial" w:cs="Arial" w:eastAsia="Arial" w:hAnsi="Arial"/>
          <w:sz w:val="20"/>
          <w:szCs w:val="20"/>
          <w:color w:val="auto"/>
        </w:rPr>
      </w:pPr>
    </w:p>
    <w:p>
      <w:pPr>
        <w:jc w:val="both"/>
        <w:ind w:left="760" w:right="320" w:hanging="3"/>
        <w:spacing w:after="0" w:line="288" w:lineRule="auto"/>
        <w:tabs>
          <w:tab w:leader="none" w:pos="1156"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24" w:lineRule="exact"/>
        <w:rPr>
          <w:rFonts w:ascii="Arial" w:cs="Arial" w:eastAsia="Arial" w:hAnsi="Arial"/>
          <w:sz w:val="20"/>
          <w:szCs w:val="20"/>
          <w:color w:val="auto"/>
        </w:rPr>
      </w:pPr>
    </w:p>
    <w:p>
      <w:pPr>
        <w:ind w:left="1160" w:hanging="403"/>
        <w:spacing w:after="0"/>
        <w:tabs>
          <w:tab w:leader="none" w:pos="11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175"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25" w:lineRule="exact"/>
        <w:rPr>
          <w:sz w:val="20"/>
          <w:szCs w:val="20"/>
          <w:color w:val="auto"/>
        </w:rPr>
      </w:pPr>
    </w:p>
    <w:p>
      <w:pPr>
        <w:ind w:right="100"/>
        <w:spacing w:after="0" w:line="363" w:lineRule="auto"/>
        <w:rPr>
          <w:sz w:val="20"/>
          <w:szCs w:val="20"/>
          <w:color w:val="auto"/>
        </w:rPr>
      </w:pPr>
      <w:r>
        <w:rPr>
          <w:rFonts w:ascii="Arial" w:cs="Arial" w:eastAsia="Arial" w:hAnsi="Arial"/>
          <w:sz w:val="18"/>
          <w:szCs w:val="18"/>
          <w:color w:val="auto"/>
        </w:rPr>
        <w:t>“Indemnified Taxes” means (a) Taxes, other than Excluded Taxes, imposed on or with respect to any payment made by or on account of any obligation of any Loan Party under any Loan Document and (b) to the extent not otherwise described in clause (a), Other Taxes.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“Indemnitee” has the meaning set forth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“Information” has the meaning set forth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189" w:lineRule="exact"/>
        <w:rPr>
          <w:sz w:val="20"/>
          <w:szCs w:val="20"/>
          <w:color w:val="auto"/>
        </w:rPr>
      </w:pPr>
    </w:p>
    <w:p>
      <w:pPr>
        <w:ind w:right="740"/>
        <w:spacing w:after="0" w:line="303" w:lineRule="auto"/>
        <w:rPr>
          <w:sz w:val="20"/>
          <w:szCs w:val="20"/>
          <w:color w:val="auto"/>
        </w:rPr>
      </w:pPr>
      <w:r>
        <w:rPr>
          <w:rFonts w:ascii="Arial" w:cs="Arial" w:eastAsia="Arial" w:hAnsi="Arial"/>
          <w:sz w:val="20"/>
          <w:szCs w:val="20"/>
          <w:color w:val="auto"/>
        </w:rPr>
        <w:t>“Intellectual Property” means Patents, Trademarks, Copyrights, Licenses and Goodwill (as each such term is defined in the Security Agreement).</w:t>
      </w:r>
    </w:p>
    <w:p>
      <w:pPr>
        <w:spacing w:after="0" w:line="108"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“Interest Payment Date” means, (a) as to any LIBOR Rate Loan, the last day of each Interest Period applicable to such Loan and the Termination Date; and (b) as to any Base Rate Loan (including a Swing Line Loan), the first calendar day of each month and the Termination Date.</w:t>
      </w:r>
    </w:p>
    <w:p>
      <w:pPr>
        <w:spacing w:after="0" w:line="106"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color w:val="auto"/>
        </w:rPr>
        <w:t xml:space="preserve">“Interest Period” means, as to each LIBOR Rate Loan, the period commencing on the date such LIBOR Rate Loan is disbursed or Converted to or continued as a LIBOR Rate Loan and ending on the date one (1) or three (3) months thereafter, as selected by the Lead Borrower in its Committed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19" w:lineRule="exact"/>
        <w:rPr>
          <w:sz w:val="20"/>
          <w:szCs w:val="20"/>
          <w:color w:val="auto"/>
        </w:rPr>
      </w:pPr>
    </w:p>
    <w:p>
      <w:pPr>
        <w:ind w:left="760" w:right="280" w:hanging="3"/>
        <w:spacing w:after="0" w:line="292" w:lineRule="auto"/>
        <w:tabs>
          <w:tab w:leader="none" w:pos="1156"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41" w:name="page42"/>
    <w:bookmarkEnd w:id="41"/>
    <w:p>
      <w:pPr>
        <w:ind w:left="760" w:right="380" w:hanging="3"/>
        <w:spacing w:after="0" w:line="292" w:lineRule="auto"/>
        <w:tabs>
          <w:tab w:leader="none" w:pos="11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19" w:lineRule="exact"/>
        <w:rPr>
          <w:rFonts w:ascii="Arial" w:cs="Arial" w:eastAsia="Arial" w:hAnsi="Arial"/>
          <w:sz w:val="20"/>
          <w:szCs w:val="20"/>
          <w:color w:val="auto"/>
        </w:rPr>
      </w:pPr>
    </w:p>
    <w:p>
      <w:pPr>
        <w:ind w:left="1160" w:hanging="403"/>
        <w:spacing w:after="0"/>
        <w:tabs>
          <w:tab w:leader="none" w:pos="11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175" w:lineRule="exact"/>
        <w:rPr>
          <w:sz w:val="20"/>
          <w:szCs w:val="20"/>
          <w:color w:val="auto"/>
        </w:rPr>
      </w:pPr>
    </w:p>
    <w:p>
      <w:pPr>
        <w:ind w:right="80"/>
        <w:spacing w:after="0" w:line="303" w:lineRule="auto"/>
        <w:rPr>
          <w:sz w:val="20"/>
          <w:szCs w:val="20"/>
          <w:color w:val="auto"/>
        </w:rPr>
      </w:pPr>
      <w:r>
        <w:rPr>
          <w:rFonts w:ascii="Arial" w:cs="Arial" w:eastAsia="Arial" w:hAnsi="Arial"/>
          <w:sz w:val="20"/>
          <w:szCs w:val="20"/>
          <w:color w:val="auto"/>
        </w:rPr>
        <w:t>For purposes hereof, the date of a Borrowing initially shall be the date on which such Borrowing is made and thereafter shall be the effective date of the most recent Conversion or continuation of such Borrowing.</w:t>
      </w:r>
    </w:p>
    <w:p>
      <w:pPr>
        <w:spacing w:after="0" w:line="108"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“Internal Control Event” means a material weakness in, or fraud that involves management or other employees who have a significant role in, the Lead Borrower’s and/or its Subsidiaries’ internal controls over financial reporting.</w:t>
      </w:r>
    </w:p>
    <w:p>
      <w:pPr>
        <w:spacing w:after="0" w:line="108" w:lineRule="exact"/>
        <w:rPr>
          <w:sz w:val="20"/>
          <w:szCs w:val="20"/>
          <w:color w:val="auto"/>
        </w:rPr>
      </w:pPr>
    </w:p>
    <w:p>
      <w:pPr>
        <w:ind w:right="120"/>
        <w:spacing w:after="0" w:line="366" w:lineRule="auto"/>
        <w:rPr>
          <w:sz w:val="20"/>
          <w:szCs w:val="20"/>
          <w:color w:val="auto"/>
        </w:rPr>
      </w:pPr>
      <w:r>
        <w:rPr>
          <w:rFonts w:ascii="Arial" w:cs="Arial" w:eastAsia="Arial" w:hAnsi="Arial"/>
          <w:sz w:val="16"/>
          <w:szCs w:val="16"/>
          <w:color w:val="auto"/>
        </w:rPr>
        <w:t>“Interpolated Screen Rate” means in relation to the LIBOR Rate for any Loan, the rate per annum determined by the Agent (which determination shall be conclusive and binding absent manifest error) to be equal to the rate that results from interpolating on a linear basis between: (a) the rate as displayed on the applicable Bloomberg page (or on any successor or substitute page or service providing quotations of interest rates applicable to Dollar deposits in the London interbank market comparable to those currently provided on such page, as determined by the Agent from time to time; in each case the “</w:t>
      </w:r>
      <w:r>
        <w:rPr>
          <w:rFonts w:ascii="Arial" w:cs="Arial" w:eastAsia="Arial" w:hAnsi="Arial"/>
          <w:sz w:val="16"/>
          <w:szCs w:val="16"/>
          <w:u w:val="single" w:color="auto"/>
          <w:color w:val="auto"/>
        </w:rPr>
        <w:t>Screen Rate</w:t>
      </w:r>
      <w:r>
        <w:rPr>
          <w:rFonts w:ascii="Arial" w:cs="Arial" w:eastAsia="Arial" w:hAnsi="Arial"/>
          <w:sz w:val="16"/>
          <w:szCs w:val="16"/>
          <w:color w:val="auto"/>
        </w:rPr>
        <w:t>”) for the longest period (for which that Screen Rate is available) that is shorter than the applicable Interest Period and (b) the Screen Rate for the shortest period (for which that Screen Rate is available) that exceeds such Interest Period, in each case, at approximately 11:00 a.m., London time, on the Quotation Day for such Interest Period.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“In-Transit Advance Rate” means 90%.</w:t>
      </w:r>
    </w:p>
    <w:p>
      <w:pPr>
        <w:spacing w:after="0" w:line="189" w:lineRule="exact"/>
        <w:rPr>
          <w:sz w:val="20"/>
          <w:szCs w:val="20"/>
          <w:color w:val="auto"/>
        </w:rPr>
      </w:pPr>
    </w:p>
    <w:p>
      <w:pPr>
        <w:ind w:right="360"/>
        <w:spacing w:after="0" w:line="292" w:lineRule="auto"/>
        <w:rPr>
          <w:sz w:val="20"/>
          <w:szCs w:val="20"/>
          <w:color w:val="auto"/>
        </w:rPr>
      </w:pPr>
      <w:r>
        <w:rPr>
          <w:rFonts w:ascii="Arial" w:cs="Arial" w:eastAsia="Arial" w:hAnsi="Arial"/>
          <w:sz w:val="20"/>
          <w:szCs w:val="20"/>
          <w:color w:val="auto"/>
        </w:rPr>
        <w:t>“In-Transit Inventory” means Inventory of a Loan Party which is in the possession of a common carrier and is in transit from a Foreign Vendor of a Loan Party from a location outside of the continental United States to a location of a Loan Party that is within the continental United States.</w:t>
      </w:r>
    </w:p>
    <w:p>
      <w:pPr>
        <w:spacing w:after="0" w:line="119"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“Inventory Advance Rate” means 90%.</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“Inventory Reserves” means such reserves as may be established from time to time by the Agent in its discretion with respect to the determination of the saleability, at retail, of the Eligible Inventory, which reflect such other factors as affect the market value of the Eligible Inventory or which reflect claims and liabilities that the Agent determines will need to be satisfied in connection with the realization upon the Inventory. Without limiting the generality of the foregoing, Inventory Reserves may, in the Agent’s discretion, include (but are not limited to) reserves based on:</w:t>
      </w:r>
    </w:p>
    <w:p>
      <w:pPr>
        <w:spacing w:after="0" w:line="123"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obsolescence;</w:t>
      </w:r>
    </w:p>
    <w:p>
      <w:pPr>
        <w:spacing w:after="0" w:line="2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42" w:name="page43"/>
    <w:bookmarkEnd w:id="42"/>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seasonality;</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shrink;</w:t>
      </w:r>
    </w:p>
    <w:p>
      <w:pPr>
        <w:spacing w:after="0" w:line="175"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imbalance;</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 in Inventory character;</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 in Inventory composition;</w:t>
      </w:r>
    </w:p>
    <w:p>
      <w:pPr>
        <w:spacing w:after="0" w:line="175"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 in Inventory mix;</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mark-downs (both permanent and point of sale); and</w:t>
      </w:r>
    </w:p>
    <w:p>
      <w:pPr>
        <w:spacing w:after="0" w:line="188" w:lineRule="exact"/>
        <w:rPr>
          <w:rFonts w:ascii="Arial" w:cs="Arial" w:eastAsia="Arial" w:hAnsi="Arial"/>
          <w:sz w:val="20"/>
          <w:szCs w:val="20"/>
          <w:color w:val="auto"/>
        </w:rPr>
      </w:pPr>
    </w:p>
    <w:p>
      <w:pPr>
        <w:ind w:left="760" w:right="380" w:hanging="3"/>
        <w:spacing w:after="0" w:line="303" w:lineRule="auto"/>
        <w:tabs>
          <w:tab w:leader="none" w:pos="1156"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retail mark-ons and mark-ups inconsistent with prior period practice and performance, industry standards, current business plans or advertising calendar and planned advertising events.</w:t>
      </w:r>
    </w:p>
    <w:p>
      <w:pPr>
        <w:spacing w:after="0" w:line="94" w:lineRule="exact"/>
        <w:rPr>
          <w:sz w:val="20"/>
          <w:szCs w:val="20"/>
          <w:color w:val="auto"/>
        </w:rPr>
      </w:pPr>
    </w:p>
    <w:p>
      <w:pPr>
        <w:ind w:right="100"/>
        <w:spacing w:after="0" w:line="325" w:lineRule="auto"/>
        <w:rPr>
          <w:sz w:val="20"/>
          <w:szCs w:val="20"/>
          <w:color w:val="auto"/>
        </w:rPr>
      </w:pPr>
      <w:r>
        <w:rPr>
          <w:rFonts w:ascii="Arial" w:cs="Arial" w:eastAsia="Arial" w:hAnsi="Arial"/>
          <w:sz w:val="18"/>
          <w:szCs w:val="18"/>
          <w:color w:val="auto"/>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in order to obtain a profitable return. For purposes of covenant compliance, the amount of any Investment shall be the amount actually invested, without adjustment for subsequent increases or decreases in the value of such Investment.</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“IRS” means the United States Internal Revenue Service.</w:t>
      </w:r>
    </w:p>
    <w:p>
      <w:pPr>
        <w:spacing w:after="0" w:line="189"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 xml:space="preserve">“ISDA Definitions” </w:t>
      </w:r>
      <w:r>
        <w:rPr>
          <w:rFonts w:ascii="Arial" w:cs="Arial" w:eastAsia="Arial" w:hAnsi="Arial"/>
          <w:sz w:val="20"/>
          <w:szCs w:val="20"/>
          <w:color w:val="231F20"/>
        </w:rPr>
        <w:t>means the 2006 ISDA Definitions published by the International Swaps and Derivatives Association, Inc. or any</w:t>
      </w:r>
      <w:r>
        <w:rPr>
          <w:rFonts w:ascii="Arial" w:cs="Arial" w:eastAsia="Arial" w:hAnsi="Arial"/>
          <w:sz w:val="20"/>
          <w:szCs w:val="20"/>
          <w:color w:val="auto"/>
        </w:rPr>
        <w:t xml:space="preserve"> </w:t>
      </w:r>
      <w:r>
        <w:rPr>
          <w:rFonts w:ascii="Arial" w:cs="Arial" w:eastAsia="Arial" w:hAnsi="Arial"/>
          <w:sz w:val="20"/>
          <w:szCs w:val="20"/>
          <w:color w:val="231F20"/>
        </w:rPr>
        <w:t>successor thereto, as amended or supplemented from time to time, or any successor definitional booklet for interest rate derivatives published from time to time by the International Swaps and Derivatives Association, Inc. or such successor thereto</w:t>
      </w:r>
      <w:r>
        <w:rPr>
          <w:rFonts w:ascii="Arial" w:cs="Arial" w:eastAsia="Arial" w:hAnsi="Arial"/>
          <w:sz w:val="20"/>
          <w:szCs w:val="20"/>
          <w:color w:val="000000"/>
        </w:rPr>
        <w:t>.</w:t>
      </w:r>
    </w:p>
    <w:p>
      <w:pPr>
        <w:spacing w:after="0" w:line="106" w:lineRule="exact"/>
        <w:rPr>
          <w:sz w:val="20"/>
          <w:szCs w:val="20"/>
          <w:color w:val="auto"/>
        </w:rPr>
      </w:pPr>
    </w:p>
    <w:p>
      <w:pPr>
        <w:ind w:right="520"/>
        <w:spacing w:after="0" w:line="303" w:lineRule="auto"/>
        <w:rPr>
          <w:sz w:val="20"/>
          <w:szCs w:val="20"/>
          <w:color w:val="auto"/>
        </w:rPr>
      </w:pPr>
      <w:r>
        <w:rPr>
          <w:rFonts w:ascii="Arial" w:cs="Arial" w:eastAsia="Arial" w:hAnsi="Arial"/>
          <w:sz w:val="20"/>
          <w:szCs w:val="20"/>
          <w:color w:val="auto"/>
        </w:rPr>
        <w:t>“ISP” means, with respect to any Letter of Credit, the “International Standby Practices 1998” published by the Institute of International Banking Law &amp; Practice (or such later version thereof as may be in effect at the time of issuance).</w:t>
      </w:r>
    </w:p>
    <w:p>
      <w:pPr>
        <w:spacing w:after="0" w:line="108"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“Joinder Agreement” means an agreement, in form satisfactory to the Agent pursuant to which, among other things, a Person becomes a party to, and bound by the terms of, this Agreement and/or the other Loan Documents in the same capacity and to the same extent as either a Borrower or a Guarantor, as the Agent may determine.</w:t>
      </w:r>
    </w:p>
    <w:p>
      <w:pPr>
        <w:spacing w:after="0" w:line="119" w:lineRule="exact"/>
        <w:rPr>
          <w:sz w:val="20"/>
          <w:szCs w:val="20"/>
          <w:color w:val="auto"/>
        </w:rPr>
      </w:pPr>
    </w:p>
    <w:p>
      <w:pPr>
        <w:ind w:right="400"/>
        <w:spacing w:after="0" w:line="303" w:lineRule="auto"/>
        <w:rPr>
          <w:sz w:val="20"/>
          <w:szCs w:val="20"/>
          <w:color w:val="auto"/>
        </w:rPr>
      </w:pPr>
      <w:r>
        <w:rPr>
          <w:rFonts w:ascii="Arial" w:cs="Arial" w:eastAsia="Arial" w:hAnsi="Arial"/>
          <w:sz w:val="20"/>
          <w:szCs w:val="20"/>
          <w:color w:val="auto"/>
        </w:rPr>
        <w:t>“Latest Maturity Date” means, at any date of determination, the latest maturity or expiration date applicable to any Loan or Commitment hereunder at such time.</w:t>
      </w:r>
    </w:p>
    <w:p>
      <w:pPr>
        <w:spacing w:after="0" w:line="94"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color w:val="auto"/>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4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43" w:name="page44"/>
    <w:bookmarkEnd w:id="43"/>
    <w:p>
      <w:pPr>
        <w:ind w:right="380" w:firstLine="749"/>
        <w:spacing w:after="0" w:line="303" w:lineRule="auto"/>
        <w:rPr>
          <w:sz w:val="20"/>
          <w:szCs w:val="20"/>
          <w:color w:val="auto"/>
        </w:rPr>
      </w:pPr>
      <w:r>
        <w:rPr>
          <w:rFonts w:ascii="Arial" w:cs="Arial" w:eastAsia="Arial" w:hAnsi="Arial"/>
          <w:sz w:val="20"/>
          <w:szCs w:val="20"/>
          <w:color w:val="auto"/>
        </w:rPr>
        <w:t>“L/C Advance” means, with respect to each Revolving Lender, such Revolving Lender’s funding of its participation in any L/C Borrowing in accordance with its Applicable Percentage.</w:t>
      </w:r>
    </w:p>
    <w:p>
      <w:pPr>
        <w:spacing w:after="0" w:line="108" w:lineRule="exact"/>
        <w:rPr>
          <w:sz w:val="20"/>
          <w:szCs w:val="20"/>
          <w:color w:val="auto"/>
        </w:rPr>
      </w:pPr>
    </w:p>
    <w:p>
      <w:pPr>
        <w:ind w:right="120" w:firstLine="749"/>
        <w:spacing w:after="0" w:line="303" w:lineRule="auto"/>
        <w:rPr>
          <w:sz w:val="20"/>
          <w:szCs w:val="20"/>
          <w:color w:val="auto"/>
        </w:rPr>
      </w:pPr>
      <w:r>
        <w:rPr>
          <w:rFonts w:ascii="Arial" w:cs="Arial" w:eastAsia="Arial" w:hAnsi="Arial"/>
          <w:sz w:val="20"/>
          <w:szCs w:val="20"/>
          <w:color w:val="auto"/>
        </w:rPr>
        <w:t>“L/C Borrowing” means an extension of credit resulting from a drawing under any Letter of Credit which has not been reimbursed on the applicable L/C Honor Date or refinanced as a Committed Borrowing.</w:t>
      </w:r>
    </w:p>
    <w:p>
      <w:pPr>
        <w:spacing w:after="0" w:line="94" w:lineRule="exact"/>
        <w:rPr>
          <w:sz w:val="20"/>
          <w:szCs w:val="20"/>
          <w:color w:val="auto"/>
        </w:rPr>
      </w:pPr>
    </w:p>
    <w:p>
      <w:pPr>
        <w:ind w:right="140" w:firstLine="749"/>
        <w:spacing w:after="0" w:line="303" w:lineRule="auto"/>
        <w:rPr>
          <w:sz w:val="20"/>
          <w:szCs w:val="20"/>
          <w:color w:val="auto"/>
        </w:rPr>
      </w:pPr>
      <w:r>
        <w:rPr>
          <w:rFonts w:ascii="Arial" w:cs="Arial" w:eastAsia="Arial" w:hAnsi="Arial"/>
          <w:sz w:val="20"/>
          <w:szCs w:val="20"/>
          <w:color w:val="auto"/>
        </w:rPr>
        <w:t>“L/C Credit Extension” means, with respect to any Letter of Credit, the issuance or renewal thereof or extension of the expiry date thereof, or the reinstatement or increase of the amount thereof or any amendment thereto.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“L/C Honor Date” has the meaning assigned to such term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“L/C Issuer” means (a) Citizens Bank in its capacity as issuer of Letters of Credit hereunder, (b) solely with respect to the Existing Letters of Credit until such Existing Letters of Credit have expired, Bank of America, N.A. or (c) any successor issuer of Letters of Credit hereunder, which successor may only be a Lender selected by the Agent in its discretion.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110" w:lineRule="exact"/>
        <w:rPr>
          <w:sz w:val="20"/>
          <w:szCs w:val="20"/>
          <w:color w:val="auto"/>
        </w:rPr>
      </w:pPr>
    </w:p>
    <w:p>
      <w:pPr>
        <w:jc w:val="both"/>
        <w:ind w:right="80"/>
        <w:spacing w:after="0" w:line="292" w:lineRule="auto"/>
        <w:rPr>
          <w:sz w:val="20"/>
          <w:szCs w:val="20"/>
          <w:color w:val="auto"/>
        </w:rPr>
      </w:pPr>
      <w:r>
        <w:rPr>
          <w:rFonts w:ascii="Arial" w:cs="Arial" w:eastAsia="Arial" w:hAnsi="Arial"/>
          <w:sz w:val="20"/>
          <w:szCs w:val="20"/>
          <w:color w:val="auto"/>
        </w:rPr>
        <w:t xml:space="preserve">“L/C Obligations” means, at any time, with respect to all of the Revolving Lenders, the sum, without duplication, of (a) the undrawn portion of all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of all Unreimbursed Amounts in respect of Letters of Credit (unless refinanced as a Committed Borrowing), including all L/C Borrowings.</w:t>
      </w:r>
    </w:p>
    <w:p>
      <w:pPr>
        <w:spacing w:after="0" w:line="119"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“Lease” means any agreement, whether written or oral, no matter how styled or structured, pursuant to which a Loan Party is entitled to the use or occupancy of any real property for any period of time.</w:t>
      </w:r>
    </w:p>
    <w:p>
      <w:pPr>
        <w:spacing w:after="0" w:line="108"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“Lender” has the meaning specified in the introductory paragraph hereto and, as the context requires, includes the Revolving Lenders and the Swing Line Lender.</w:t>
      </w:r>
    </w:p>
    <w:p>
      <w:pPr>
        <w:spacing w:after="0" w:line="94" w:lineRule="exact"/>
        <w:rPr>
          <w:sz w:val="20"/>
          <w:szCs w:val="20"/>
          <w:color w:val="auto"/>
        </w:rPr>
      </w:pPr>
    </w:p>
    <w:p>
      <w:pPr>
        <w:ind w:right="940"/>
        <w:spacing w:after="0" w:line="363" w:lineRule="auto"/>
        <w:rPr>
          <w:sz w:val="20"/>
          <w:szCs w:val="20"/>
          <w:color w:val="auto"/>
        </w:rPr>
      </w:pPr>
      <w:r>
        <w:rPr>
          <w:rFonts w:ascii="Arial" w:cs="Arial" w:eastAsia="Arial" w:hAnsi="Arial"/>
          <w:sz w:val="18"/>
          <w:szCs w:val="18"/>
          <w:color w:val="auto"/>
        </w:rPr>
        <w:t>“Lending Office” means, as to any Lender, the office or offices of such Lender described as such in such Lender’s Administrative Questionnaire, or such other office or offices as a Lender may from time to time notify the Lead Borrower and the Agent.</w:t>
      </w:r>
    </w:p>
    <w:p>
      <w:pPr>
        <w:spacing w:after="0" w:line="62" w:lineRule="exact"/>
        <w:rPr>
          <w:sz w:val="20"/>
          <w:szCs w:val="20"/>
          <w:color w:val="auto"/>
        </w:rPr>
      </w:pPr>
    </w:p>
    <w:p>
      <w:pPr>
        <w:ind w:right="220"/>
        <w:spacing w:after="0" w:line="303" w:lineRule="auto"/>
        <w:rPr>
          <w:sz w:val="20"/>
          <w:szCs w:val="20"/>
          <w:color w:val="auto"/>
        </w:rPr>
      </w:pPr>
      <w:r>
        <w:rPr>
          <w:rFonts w:ascii="Arial" w:cs="Arial" w:eastAsia="Arial" w:hAnsi="Arial"/>
          <w:sz w:val="20"/>
          <w:szCs w:val="20"/>
          <w:color w:val="auto"/>
        </w:rPr>
        <w:t>“Letter of Credit” means each Banker’s Acceptance, each Standby Letter of Credit and each Commercial Letter of Credit issued hereunder and shall include the Existing Letters of Credit.</w:t>
      </w:r>
    </w:p>
    <w:p>
      <w:pPr>
        <w:spacing w:after="0" w:line="108"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“Letter of Credit Application” means an application and agreement for the issuance or amendment of a Letter of Credit in the form from time to time in use by the L/C Issuer.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“Letter of Credit Documents” means, with respect to each Letter of Credit, such Letter of Credit, any amendments thereto, any documents delivered in connection therewith, any Letter of Credit Application and any agreements, instruments, guarantees or other documents (whether general in application or applicable only to such Letter of Credit) governing or providing for (a) the rights and obligations of the parties concerned or (b) any collateral for such obligations.</w:t>
      </w:r>
    </w:p>
    <w:p>
      <w:pPr>
        <w:spacing w:after="0" w:line="125" w:lineRule="exact"/>
        <w:rPr>
          <w:sz w:val="20"/>
          <w:szCs w:val="20"/>
          <w:color w:val="auto"/>
        </w:rPr>
      </w:pPr>
    </w:p>
    <w:p>
      <w:pPr>
        <w:ind w:right="80"/>
        <w:spacing w:after="0" w:line="303" w:lineRule="auto"/>
        <w:rPr>
          <w:sz w:val="20"/>
          <w:szCs w:val="20"/>
          <w:color w:val="auto"/>
        </w:rPr>
      </w:pPr>
      <w:r>
        <w:rPr>
          <w:rFonts w:ascii="Arial" w:cs="Arial" w:eastAsia="Arial" w:hAnsi="Arial"/>
          <w:sz w:val="20"/>
          <w:szCs w:val="20"/>
          <w:color w:val="auto"/>
        </w:rPr>
        <w:t>“Letter of Credit Expiration Date” means the day that is seven days prior to the Maturity Date then in effect (or, if such day is not a Business Day, the next preceding Business Day).</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 xml:space="preserve">“Letter of Credit Fee” has the meaning set forth in </w:t>
      </w:r>
      <w:r>
        <w:rPr>
          <w:rFonts w:ascii="Arial" w:cs="Arial" w:eastAsia="Arial" w:hAnsi="Arial"/>
          <w:sz w:val="20"/>
          <w:szCs w:val="20"/>
          <w:u w:val="single" w:color="auto"/>
          <w:color w:val="auto"/>
        </w:rPr>
        <w:t>Section 2.03(i)</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“Letter of Credit Inventory Advance Rate” means 90%.</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“Letter of Credit Sublimit” means an amount equal to $20,000,000. The Letter of Credit Sublimit is part of, and not in addition to, the Aggregate Revolving Commitments. A permanent reduction of the Aggregate Revolving Commitments shall not require a corresponding pro rata reduction in the Letter of Credit Sublimit; provided, however, that if the Aggregate Revolving Commitments are reduced to an amount less than the Letter of Credit Sublimit, then the Letter of Credit Sublimit shall be reduced to an amount equal to (or, at Lead Borrower’s option, less than) the Aggregate Revolving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“LIBOR Borrowing” means a Borrowing comprised of LIBOR Rate Loans.</w:t>
      </w:r>
    </w:p>
    <w:p>
      <w:pPr>
        <w:spacing w:after="0" w:line="189" w:lineRule="exact"/>
        <w:rPr>
          <w:sz w:val="20"/>
          <w:szCs w:val="20"/>
          <w:color w:val="auto"/>
        </w:rPr>
      </w:pPr>
    </w:p>
    <w:p>
      <w:pPr>
        <w:ind w:right="100"/>
        <w:spacing w:after="0" w:line="300" w:lineRule="auto"/>
        <w:rPr>
          <w:sz w:val="20"/>
          <w:szCs w:val="20"/>
          <w:color w:val="auto"/>
        </w:rPr>
      </w:pPr>
      <w:r>
        <w:rPr>
          <w:rFonts w:ascii="Arial" w:cs="Arial" w:eastAsia="Arial" w:hAnsi="Arial"/>
          <w:sz w:val="19"/>
          <w:szCs w:val="19"/>
          <w:color w:val="auto"/>
        </w:rPr>
        <w:t xml:space="preserve">“LIBOR Rate” means, with respect to each day during each Interest Period pertaining to an applicable Loan in Dollars, the rate per annum determined by the Agent to be the arithmetic average of the London Interbank Offered Rates administered by the ICE Benchmark Administration (or any Person that takes over administration of such rate) for deposits in Dollars for a duration equal to or comparable to the duration of such Interest Period which appear on the relevant Bloomberg page (or such other commercially available source providing quotations of the London Interbank Offered Rates for deposits in Dollars as may be designated by the Agent from time to time) at or about 11:00 a.m. (London time) on the Quotation Day for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available at such time for any reason, then the “LIBOR Rate” with respect to such Loan for such period shall be the Interpolated Screen Rate, where applicable. Each calculation by the Agent of the LIBOR Rate hereunder shall be conclusive and binding on the parties hereto for all purposes, absent clearly manifest error. Notwithstanding the foregoing, for purposes of this Agreement, the LIBOR Rate shall at no time be less than 0.00% per annum.</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“LIBOR Rate Loan” means a Committed Loan that bears interest at a rate based on the Adjusted LIBOR Rate.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124" w:lineRule="exact"/>
        <w:rPr>
          <w:sz w:val="20"/>
          <w:szCs w:val="20"/>
          <w:color w:val="auto"/>
        </w:rPr>
      </w:pPr>
    </w:p>
    <w:p>
      <w:pPr>
        <w:ind w:right="60"/>
        <w:spacing w:after="0" w:line="305" w:lineRule="auto"/>
        <w:rPr>
          <w:sz w:val="20"/>
          <w:szCs w:val="20"/>
          <w:color w:val="auto"/>
        </w:rPr>
      </w:pPr>
      <w:r>
        <w:rPr>
          <w:rFonts w:ascii="Arial" w:cs="Arial" w:eastAsia="Arial" w:hAnsi="Arial"/>
          <w:sz w:val="19"/>
          <w:szCs w:val="19"/>
          <w:color w:val="auto"/>
        </w:rPr>
        <w:t>“Liquidation” means the exercise by the Agent of those rights and remedies accorded to the Agent under the Loan Documents and applicable Laws as a creditor of the Loan Parties with respect to the realization on the Collateral, including (after the occurrence and during the continuation of an Event of Default) the conduct by the Loan Parties acting with the consent of the Agent,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spacing w:after="0" w:line="21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“Loan” means an extension of credit by a Lender to the Borrowers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 or a Swing Line Loan.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“Loan Account” has the meaning set forth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175"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“Loan Documents” means this Agreement, each Note, the Fee Letter, all Borrowing Base Certificates, the Account Control Agreements, the Credit Card Notifications, the Security Documents, the Facility Guaranty, and any other instrument or agreement now or hereafter executed and delivered in connection herewith, or in connection with any transaction arising out of any Cash Management Services and Bank Products provided by any Lender or any of its Affiliates, each as amended and in effect from time to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“Loan Parties” means, collectively, each Borrower and each Guarantor.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“Master Agreement” has the meaning set forth in the definition of “Swap Contract.”</w:t>
      </w:r>
    </w:p>
    <w:p>
      <w:pPr>
        <w:spacing w:after="0" w:line="175" w:lineRule="exact"/>
        <w:rPr>
          <w:sz w:val="20"/>
          <w:szCs w:val="20"/>
          <w:color w:val="auto"/>
        </w:rPr>
      </w:pPr>
    </w:p>
    <w:p>
      <w:pPr>
        <w:spacing w:after="0" w:line="321" w:lineRule="auto"/>
        <w:rPr>
          <w:sz w:val="20"/>
          <w:szCs w:val="20"/>
          <w:color w:val="auto"/>
        </w:rPr>
      </w:pPr>
      <w:r>
        <w:rPr>
          <w:rFonts w:ascii="Arial" w:cs="Arial" w:eastAsia="Arial" w:hAnsi="Arial"/>
          <w:sz w:val="18"/>
          <w:szCs w:val="18"/>
          <w:color w:val="auto"/>
        </w:rPr>
        <w:t>“Material Adverse Effect” means (a) a material adverse change in, or a material adverse effect upon, the operations, business, properties, liabilities (actual or contingent), condition (financial or otherwise) of the Loan Parties taken as a whole; (b) a material impairment of the ability of any Loan Party to perform its obligations under any Loan Document to which it is a party; or (c) a material impairment of the rights and remedies of the Agent or the Lenders under any Loan Document or a material adverse effect upon the legality, validity, binding effect or enforceability against any Loan Party of any Loan Document to which it is a party. In determining whether any individual event would result in a Material Adverse Effect, notwithstanding that such event in and of itself does not have such effect, a Material Adverse Effect shall be deemed to have occurred if the cumulative effect of such event and all other then-existing events would result in a Material Adverse Effect.</w:t>
      </w:r>
    </w:p>
    <w:p>
      <w:pPr>
        <w:spacing w:after="0" w:line="101" w:lineRule="exact"/>
        <w:rPr>
          <w:sz w:val="20"/>
          <w:szCs w:val="20"/>
          <w:color w:val="auto"/>
        </w:rPr>
      </w:pPr>
    </w:p>
    <w:p>
      <w:pPr>
        <w:ind w:right="480"/>
        <w:spacing w:after="0" w:line="303" w:lineRule="auto"/>
        <w:rPr>
          <w:sz w:val="20"/>
          <w:szCs w:val="20"/>
          <w:color w:val="auto"/>
        </w:rPr>
      </w:pPr>
      <w:r>
        <w:rPr>
          <w:rFonts w:ascii="Arial" w:cs="Arial" w:eastAsia="Arial" w:hAnsi="Arial"/>
          <w:sz w:val="20"/>
          <w:szCs w:val="20"/>
          <w:color w:val="auto"/>
        </w:rPr>
        <w:t>“Material Contract” means, with respect to any Person, each contract to which such Person is a party material to the business, condition (financial or otherwise), operations, performance, properties or prospects of such Person.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“Material Indebtedness” means Indebtedness (other than the Obligations) of the Loan Parties in an aggregate principal amount exceeding</w:t>
      </w:r>
    </w:p>
    <w:p>
      <w:pPr>
        <w:spacing w:after="0" w:line="63" w:lineRule="exact"/>
        <w:rPr>
          <w:sz w:val="20"/>
          <w:szCs w:val="20"/>
          <w:color w:val="auto"/>
        </w:rPr>
      </w:pPr>
    </w:p>
    <w:p>
      <w:pPr>
        <w:spacing w:after="0" w:line="338" w:lineRule="auto"/>
        <w:rPr>
          <w:sz w:val="20"/>
          <w:szCs w:val="20"/>
          <w:color w:val="auto"/>
        </w:rPr>
      </w:pPr>
      <w:r>
        <w:rPr>
          <w:rFonts w:ascii="Arial" w:cs="Arial" w:eastAsia="Arial" w:hAnsi="Arial"/>
          <w:sz w:val="18"/>
          <w:szCs w:val="18"/>
          <w:color w:val="auto"/>
        </w:rPr>
        <w:t>$7,000,000.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“Maturity Date” means October 28, 2026.</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“Maximum Rate” has the meaning set forth in </w:t>
      </w:r>
      <w:r>
        <w:rPr>
          <w:rFonts w:ascii="Arial" w:cs="Arial" w:eastAsia="Arial" w:hAnsi="Arial"/>
          <w:sz w:val="20"/>
          <w:szCs w:val="20"/>
          <w:u w:val="single" w:color="auto"/>
          <w:color w:val="auto"/>
        </w:rPr>
        <w:t>Section 10.09</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“Measurement Period” means, at any date of determination, the most recently completed twelve (12) Fiscal Months of the Lead Borrower.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“Moody’s” means Moody’s Investors Service, Inc. and any successor thereto.</w:t>
      </w:r>
    </w:p>
    <w:p>
      <w:pPr>
        <w:spacing w:after="0" w:line="189" w:lineRule="exact"/>
        <w:rPr>
          <w:sz w:val="20"/>
          <w:szCs w:val="20"/>
          <w:color w:val="auto"/>
        </w:rPr>
      </w:pPr>
    </w:p>
    <w:p>
      <w:pPr>
        <w:jc w:val="both"/>
        <w:ind w:right="140"/>
        <w:spacing w:after="0" w:line="292" w:lineRule="auto"/>
        <w:rPr>
          <w:sz w:val="20"/>
          <w:szCs w:val="20"/>
          <w:color w:val="auto"/>
        </w:rPr>
      </w:pPr>
      <w:r>
        <w:rPr>
          <w:rFonts w:ascii="Arial" w:cs="Arial" w:eastAsia="Arial" w:hAnsi="Arial"/>
          <w:sz w:val="20"/>
          <w:szCs w:val="20"/>
          <w:color w:val="auto"/>
        </w:rPr>
        <w:t>“Multiemployer Plan” means any employee benefit plan of the type described in Section 4001(a)(3) of ERISA, to which the Lead Borrower or any ERISA Affiliate makes or is obligated to make contributions, or during the preceding five plan years, has made or been obligated to make contributions.</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46" w:name="page47"/>
    <w:bookmarkEnd w:id="46"/>
    <w:p>
      <w:pPr>
        <w:spacing w:after="0" w:line="303" w:lineRule="auto"/>
        <w:rPr>
          <w:sz w:val="20"/>
          <w:szCs w:val="20"/>
          <w:color w:val="auto"/>
        </w:rPr>
      </w:pPr>
      <w:r>
        <w:rPr>
          <w:rFonts w:ascii="Arial" w:cs="Arial" w:eastAsia="Arial" w:hAnsi="Arial"/>
          <w:sz w:val="20"/>
          <w:szCs w:val="20"/>
          <w:color w:val="auto"/>
        </w:rPr>
        <w:t>“Multiple Employer Plan” means a Plan which has two or more contributing sponsors (including the Lead Borrower or any ERISA Affiliate) at least two of whom are not under common control, as such a plan is described in Section 4064 of ERISA.</w:t>
      </w:r>
    </w:p>
    <w:p>
      <w:pPr>
        <w:spacing w:after="0" w:line="108" w:lineRule="exact"/>
        <w:rPr>
          <w:sz w:val="20"/>
          <w:szCs w:val="20"/>
          <w:color w:val="auto"/>
        </w:rPr>
      </w:pPr>
    </w:p>
    <w:p>
      <w:pPr>
        <w:ind w:right="20"/>
        <w:spacing w:after="0" w:line="300" w:lineRule="auto"/>
        <w:rPr>
          <w:sz w:val="20"/>
          <w:szCs w:val="20"/>
          <w:color w:val="auto"/>
        </w:rPr>
      </w:pPr>
      <w:r>
        <w:rPr>
          <w:rFonts w:ascii="Arial" w:cs="Arial" w:eastAsia="Arial" w:hAnsi="Arial"/>
          <w:sz w:val="19"/>
          <w:szCs w:val="19"/>
          <w:color w:val="auto"/>
        </w:rPr>
        <w:t>“Net Proceeds” means (a) with respect to any Disposition by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minus (ii) the sum of (A) the principal amount of any Indebtedness that is secured by the applicable asset by a Lien permitted hereunder which is senior to the Agent’s Lien on such asset and that is required to be repaid (or to establish an escrow for the future repayment thereof) in connection with such transaction (other than Indebtedness under the Loan Documents), (B)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 (C) the amount of all taxes paid (or reasonably estimated to be payable) and the amount of any reserve established to fund contingent liabilities reasonably estimated to be payable, in each case during the year that such event occurred or the next succeeding year and that are directly attributable to such event; and</w:t>
      </w:r>
    </w:p>
    <w:p>
      <w:pPr>
        <w:spacing w:after="0" w:line="101" w:lineRule="exact"/>
        <w:rPr>
          <w:sz w:val="20"/>
          <w:szCs w:val="20"/>
          <w:color w:val="auto"/>
        </w:rPr>
      </w:pPr>
    </w:p>
    <w:p>
      <w:pPr>
        <w:ind w:right="220" w:firstLine="1505"/>
        <w:spacing w:after="0" w:line="329" w:lineRule="auto"/>
        <w:tabs>
          <w:tab w:leader="none" w:pos="18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minus (ii) the underwriting discounts and commissions, and other reasonable and customary out-of-pocket costs, fees and expenses, incurred by such Loan Party or such Subsidiary in connection therewith.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“Non-Consenting Lender” has the meaning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“Non-Defaulting Lender” means, at any time, each Lender that is not a Defaulting Lender at such time.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“Nonrenewal Notice Date” has the meaning set forth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189" w:lineRule="exact"/>
        <w:rPr>
          <w:sz w:val="20"/>
          <w:szCs w:val="20"/>
          <w:color w:val="auto"/>
        </w:rPr>
      </w:pPr>
    </w:p>
    <w:p>
      <w:pPr>
        <w:ind w:right="300"/>
        <w:spacing w:after="0" w:line="292" w:lineRule="auto"/>
        <w:rPr>
          <w:sz w:val="20"/>
          <w:szCs w:val="20"/>
          <w:color w:val="auto"/>
        </w:rPr>
      </w:pPr>
      <w:r>
        <w:rPr>
          <w:rFonts w:ascii="Arial" w:cs="Arial" w:eastAsia="Arial" w:hAnsi="Arial"/>
          <w:sz w:val="20"/>
          <w:szCs w:val="20"/>
          <w:color w:val="auto"/>
        </w:rPr>
        <w:t>“Note” means (a) a promissory note made by the Borrowers in favor of a Lender evidencing Committed Loans made by such Lender, substantially in the form of Exhibit C-1 (the “Revolving Note”), and (b) the Swing Line Note, as each may be amended, supplemented or modified from time to time.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“NPL” means the National Priorities List under CERCLA.</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9"/>
          <w:szCs w:val="19"/>
          <w:color w:val="auto"/>
        </w:rPr>
        <w:t>“Obligations” means (a) the due and punctual payment of (i) the principal of, and interest (including all interest that accrues after the commencement of any case or proceeding by or against any Loan Party under any Debtor Relief Laws, whether or not allowed in such case or proceeding) on the Revolving Loans, as and when due, whether at maturity, by acceleration, upon one or more dates set for prepayment or otherwise, (ii) each payment required to be made by the Loan Parties under this Agreement or any other Loan Document in respect of any Letter of Credit, when and as due, including payments in respect of reimbursement of disbursements, interest thereon and obligations to provide cash collateral and (iii) all other monetary obligations, including fees, costs, expenses and indemnities, whether primary, secondary, direct, contingent, fixed or otherwise, of the Loan Parties to the Credit Parties under this Agreement and the other Loan Documents, including, without limitation, for all such</w:t>
      </w:r>
    </w:p>
    <w:p>
      <w:pPr>
        <w:spacing w:after="0" w:line="23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6" w:right="399" w:bottom="1440" w:gutter="0" w:footer="0" w:header="0"/>
        </w:sectPr>
      </w:pPr>
    </w:p>
    <w:bookmarkStart w:id="47" w:name="page48"/>
    <w:bookmarkEnd w:id="47"/>
    <w:p>
      <w:pPr>
        <w:ind w:right="60"/>
        <w:spacing w:after="0" w:line="329" w:lineRule="auto"/>
        <w:rPr>
          <w:sz w:val="20"/>
          <w:szCs w:val="20"/>
          <w:color w:val="auto"/>
        </w:rPr>
      </w:pPr>
      <w:r>
        <w:rPr>
          <w:rFonts w:ascii="Arial" w:cs="Arial" w:eastAsia="Arial" w:hAnsi="Arial"/>
          <w:sz w:val="18"/>
          <w:szCs w:val="18"/>
          <w:color w:val="auto"/>
        </w:rPr>
        <w:t xml:space="preserve">items that accrue after the commencement of any case or proceeding by or against any Loan Party under any Debtor Relief Laws, whether or not allowed in such case or proceeding, (b) the due and punctual payment and performance of all the covenants, agreements, obligations and liabilities of each Loan Party under or pursuant to this Agreement and the other Loan Documents, and (c) Other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of a Loan Party shall exclude any Excluded Swap Obligations with respect to such Loan Party.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“OFAC” means the Office of Foreign Assets Control of the United States Department of the Treasury.</w:t>
      </w:r>
    </w:p>
    <w:p>
      <w:pPr>
        <w:spacing w:after="0" w:line="175" w:lineRule="exact"/>
        <w:rPr>
          <w:sz w:val="20"/>
          <w:szCs w:val="20"/>
          <w:color w:val="auto"/>
        </w:rPr>
      </w:pPr>
    </w:p>
    <w:p>
      <w:pPr>
        <w:ind w:right="20"/>
        <w:spacing w:after="0" w:line="320" w:lineRule="auto"/>
        <w:rPr>
          <w:sz w:val="20"/>
          <w:szCs w:val="20"/>
          <w:color w:val="auto"/>
        </w:rPr>
      </w:pPr>
      <w:r>
        <w:rPr>
          <w:rFonts w:ascii="Arial" w:cs="Arial" w:eastAsia="Arial" w:hAnsi="Arial"/>
          <w:sz w:val="18"/>
          <w:szCs w:val="18"/>
          <w:color w:val="auto"/>
        </w:rPr>
        <w:t>“Organization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01"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color w:val="auto"/>
        </w:rPr>
        <w:t>“Other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94" w:lineRule="exact"/>
        <w:rPr>
          <w:sz w:val="20"/>
          <w:szCs w:val="20"/>
          <w:color w:val="auto"/>
        </w:rPr>
      </w:pPr>
    </w:p>
    <w:p>
      <w:pPr>
        <w:ind w:right="360"/>
        <w:spacing w:after="0" w:line="331" w:lineRule="auto"/>
        <w:rPr>
          <w:sz w:val="20"/>
          <w:szCs w:val="20"/>
          <w:color w:val="auto"/>
        </w:rPr>
      </w:pPr>
      <w:r>
        <w:rPr>
          <w:rFonts w:ascii="Arial" w:cs="Arial" w:eastAsia="Arial" w:hAnsi="Arial"/>
          <w:sz w:val="19"/>
          <w:szCs w:val="19"/>
          <w:color w:val="auto"/>
        </w:rPr>
        <w:t>“Other Liabilities” means any obligation on account of (a) any Cash Management Services furnished to any of the Loan Parties or any of their Subsidiaries and/or (b) any Bank Product furnished to any of the Loan Parties and/or any of their Subsidiaries.</w:t>
      </w:r>
    </w:p>
    <w:p>
      <w:pPr>
        <w:spacing w:after="0" w:line="72" w:lineRule="exact"/>
        <w:rPr>
          <w:sz w:val="20"/>
          <w:szCs w:val="20"/>
          <w:color w:val="auto"/>
        </w:rPr>
      </w:pPr>
    </w:p>
    <w:p>
      <w:pPr>
        <w:ind w:right="220"/>
        <w:spacing w:after="0" w:line="308" w:lineRule="auto"/>
        <w:rPr>
          <w:sz w:val="20"/>
          <w:szCs w:val="20"/>
          <w:color w:val="auto"/>
        </w:rPr>
      </w:pPr>
      <w:r>
        <w:rPr>
          <w:rFonts w:ascii="Arial" w:cs="Arial" w:eastAsia="Arial" w:hAnsi="Arial"/>
          <w:sz w:val="19"/>
          <w:szCs w:val="19"/>
          <w:color w:val="auto"/>
        </w:rPr>
        <w:t xml:space="preserve">“Other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“Outstanding Amount” means (i) with respect to Committed Loans and Swing Line Loans on any date, the aggregate outstanding principal amount thereof after giving effect to any borrowings and prepayments or repayments of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24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“Overadvance” means a Credit Extension to the extent that, immediately after its having been made, Availability is less than zero.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“Participant” has the meaning set forth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“Participant Register” has the meaning set forth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89" w:lineRule="exact"/>
        <w:rPr>
          <w:sz w:val="20"/>
          <w:szCs w:val="20"/>
          <w:color w:val="auto"/>
        </w:rPr>
      </w:pPr>
    </w:p>
    <w:p>
      <w:pPr>
        <w:ind w:right="100"/>
        <w:spacing w:after="0" w:line="299" w:lineRule="auto"/>
        <w:rPr>
          <w:sz w:val="20"/>
          <w:szCs w:val="20"/>
          <w:color w:val="auto"/>
        </w:rPr>
      </w:pPr>
      <w:r>
        <w:rPr>
          <w:rFonts w:ascii="Arial" w:cs="Arial" w:eastAsia="Arial" w:hAnsi="Arial"/>
          <w:sz w:val="19"/>
          <w:szCs w:val="19"/>
          <w:color w:val="auto"/>
        </w:rPr>
        <w:t xml:space="preserve">“Payment Conditions” means, at the time of determination with respect to any specified transaction or payment, that (a) no Default or Event of Default then exists or would arise as a result of entering into such transaction or the making of such payment, and (b) (i) for each day during the thirty (30) day period prior to the consummation of such transaction or payment and after giving pro forma effect to such transaction or payment, Availability will be equal to or greater than the greater of (x) twelve and one-half percent (12.5%) of the Revolving Loan Cap and (y) $12,500,000, and (ii) after giving pro forma effect to such transaction or payment, the Consolidated Fixed Charge Coverage Ratio, tested on a trailing twelve month basis, is equal to or greater than 1.0:1.0;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(b)(ii) shall not apply if Availability for each day during the thirty (30) day period prior to the consummation of such transaction or payment and after giving pro forma effect to such transaction or payment was equal to or greater than the greater of (x) seventeen and one-half percent (17.5%) of the Revolving Loan Cap and (y) $17,500,000. Prior to undertaking any transaction or payment which is subject to the Payment Conditions, the Lead Borrower shall deliver to the Agent (i) a certificate signed by the Chief Executive Officer, President or Chief Financial Officer of the Lead Borrower certifying that the conditions contained in clauses (a) and (b) of the preceding sentence have been satisfied, and (ii) evidence of satisfaction of the conditions contained in clause (b) (including a reasonably detailed calculation of such projected Availability and Consolidated Fixed Charge Coverage Ratio).</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“Payment Recipient” has the meaning assigned to such term in </w:t>
      </w:r>
      <w:r>
        <w:rPr>
          <w:rFonts w:ascii="Arial" w:cs="Arial" w:eastAsia="Arial" w:hAnsi="Arial"/>
          <w:sz w:val="20"/>
          <w:szCs w:val="20"/>
          <w:u w:val="single" w:color="auto"/>
          <w:color w:val="auto"/>
        </w:rPr>
        <w:t>Section 9.18(a)</w:t>
      </w: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“PBGC” means the Pension Benefit Guaranty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“PCAOB” means the Public Company Accounting Oversight Board.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“Pension Act” means the Pension Protection Act of 2006.</w:t>
      </w:r>
    </w:p>
    <w:p>
      <w:pPr>
        <w:spacing w:after="0" w:line="175"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color w:val="auto"/>
        </w:rPr>
        <w:t>“Pension Funding Rules”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“Pension Plan” means any employee pension benefit plan (including a Multiple Employer Plan or a Multiemployer Plan) that (a) is maintained or is contributed to by the Lead Borrower or (b) with respect to which the Lead Borrower has any liability or contingent liability (including on account of any ERISA Affiliate) and, in each case, is either covered by Title IV of ERISA or is subject to the minimum funding standards under Section 412 of the Code.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“Permitted Acquisition” means an Acquisition in which all of the following conditions are satisfied:</w:t>
      </w:r>
    </w:p>
    <w:p>
      <w:pPr>
        <w:spacing w:after="0" w:line="175" w:lineRule="exact"/>
        <w:rPr>
          <w:sz w:val="20"/>
          <w:szCs w:val="20"/>
          <w:color w:val="auto"/>
        </w:rPr>
      </w:pPr>
    </w:p>
    <w:p>
      <w:pPr>
        <w:ind w:left="760" w:right="140" w:hanging="3"/>
        <w:spacing w:after="0" w:line="303" w:lineRule="auto"/>
        <w:tabs>
          <w:tab w:leader="none" w:pos="1156" w:val="left"/>
        </w:tabs>
        <w:numPr>
          <w:ilvl w:val="0"/>
          <w:numId w:val="36"/>
        </w:numPr>
        <w:rPr>
          <w:rFonts w:ascii="Arial" w:cs="Arial" w:eastAsia="Arial" w:hAnsi="Arial"/>
          <w:sz w:val="20"/>
          <w:szCs w:val="20"/>
          <w:color w:val="auto"/>
        </w:rPr>
      </w:pPr>
      <w:r>
        <w:rPr>
          <w:rFonts w:ascii="Arial" w:cs="Arial" w:eastAsia="Arial" w:hAnsi="Arial"/>
          <w:sz w:val="20"/>
          <w:szCs w:val="20"/>
          <w:color w:val="auto"/>
        </w:rPr>
        <w:t>Such Acquisition shall have been approved by the Board of Directors of the Person (or similar governing body if such Person is not a corporation) which is the subject of such Acquisition and</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49" w:name="page50"/>
    <w:bookmarkEnd w:id="49"/>
    <w:p>
      <w:pPr>
        <w:ind w:left="760" w:right="220"/>
        <w:spacing w:after="0" w:line="303" w:lineRule="auto"/>
        <w:rPr>
          <w:sz w:val="20"/>
          <w:szCs w:val="20"/>
          <w:color w:val="auto"/>
        </w:rPr>
      </w:pPr>
      <w:r>
        <w:rPr>
          <w:rFonts w:ascii="Arial" w:cs="Arial" w:eastAsia="Arial" w:hAnsi="Arial"/>
          <w:sz w:val="20"/>
          <w:szCs w:val="20"/>
          <w:color w:val="auto"/>
        </w:rPr>
        <w:t>such Person shall not have announced that it will oppose such Acquisition or shall not have commenced any action which alleges that such Acquisition shall violate applicable Law;</w:t>
      </w:r>
    </w:p>
    <w:p>
      <w:pPr>
        <w:spacing w:after="0" w:line="108" w:lineRule="exact"/>
        <w:rPr>
          <w:sz w:val="20"/>
          <w:szCs w:val="20"/>
          <w:color w:val="auto"/>
        </w:rPr>
      </w:pPr>
    </w:p>
    <w:p>
      <w:pPr>
        <w:ind w:left="760" w:hanging="3"/>
        <w:spacing w:after="0" w:line="321"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Lead Borrower shall have furnished the Agent with thirty (30) days’ prior written notice of such intended Acquisition and shall have furnished the Agent with a current draft of the Acquisition Documents (and final copies thereof as and when executed), a summary of any due diligence undertaken by the Loan Parties in connection with such Acquisition, appropriate financial statements of the Person which is the subject of such Acquisition, pro forma projected financial statements for the twelve (12) month period following such Acquisition after giving effect to such Acquisition (including balance sheets, cash flows and income statements by month for the acquired Person, individually, and on a Consolidated basis with all Loan Parties), and such other information as the Agent may reasonably require, all of which shall be in form reasonably satisfactory to the Agent;</w:t>
      </w:r>
    </w:p>
    <w:p>
      <w:pPr>
        <w:spacing w:after="0" w:line="87" w:lineRule="exact"/>
        <w:rPr>
          <w:rFonts w:ascii="Arial" w:cs="Arial" w:eastAsia="Arial" w:hAnsi="Arial"/>
          <w:sz w:val="18"/>
          <w:szCs w:val="18"/>
          <w:color w:val="auto"/>
        </w:rPr>
      </w:pPr>
    </w:p>
    <w:p>
      <w:pPr>
        <w:ind w:left="1160" w:hanging="403"/>
        <w:spacing w:after="0"/>
        <w:tabs>
          <w:tab w:leader="none" w:pos="11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legal structure of the Acquisition shall be acceptable to the Agent in its discretion;</w:t>
      </w:r>
    </w:p>
    <w:p>
      <w:pPr>
        <w:spacing w:after="0" w:line="188" w:lineRule="exact"/>
        <w:rPr>
          <w:rFonts w:ascii="Arial" w:cs="Arial" w:eastAsia="Arial" w:hAnsi="Arial"/>
          <w:sz w:val="20"/>
          <w:szCs w:val="20"/>
          <w:color w:val="auto"/>
        </w:rPr>
      </w:pPr>
    </w:p>
    <w:p>
      <w:pPr>
        <w:ind w:left="760" w:hanging="3"/>
        <w:spacing w:after="0" w:line="292" w:lineRule="auto"/>
        <w:tabs>
          <w:tab w:leader="none" w:pos="115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After giving effect to the Acquisition, if the Acquisition is an Acquisition of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119" w:lineRule="exact"/>
        <w:rPr>
          <w:rFonts w:ascii="Arial" w:cs="Arial" w:eastAsia="Arial" w:hAnsi="Arial"/>
          <w:sz w:val="20"/>
          <w:szCs w:val="20"/>
          <w:color w:val="auto"/>
        </w:rPr>
      </w:pPr>
    </w:p>
    <w:p>
      <w:pPr>
        <w:ind w:left="760" w:right="180" w:hanging="3"/>
        <w:spacing w:after="0" w:line="292" w:lineRule="auto"/>
        <w:tabs>
          <w:tab w:leader="none" w:pos="115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assets acquired shall be utilized in, and if the Acquisition involves a merger, consolidation or acquisition of Equity Interests, the Person which is the subject of such Acquisition shall be engaged in, a business otherwise permitted to be engaged in by a Borrower under this Agreement;</w:t>
      </w:r>
    </w:p>
    <w:p>
      <w:pPr>
        <w:spacing w:after="0" w:line="105" w:lineRule="exact"/>
        <w:rPr>
          <w:rFonts w:ascii="Arial" w:cs="Arial" w:eastAsia="Arial" w:hAnsi="Arial"/>
          <w:sz w:val="20"/>
          <w:szCs w:val="20"/>
          <w:color w:val="auto"/>
        </w:rPr>
      </w:pPr>
    </w:p>
    <w:p>
      <w:pPr>
        <w:ind w:left="760" w:hanging="3"/>
        <w:spacing w:after="0" w:line="329"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the Person which is the subject of such Acquisition will be maintained as a Subsidiary of a Loan Party, such Subsidiary shall have been joined as a “Borrower” hereunder or as a Guarantor, as the Agent shall determine, and the Agent shall have received a first priority security interest in such Subsidiary’s Equity Interests and property of such Subsidiary and of the same nature as constitutes Collateral under the Security Documents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 and</w:t>
      </w:r>
    </w:p>
    <w:p>
      <w:pPr>
        <w:spacing w:after="0" w:line="93" w:lineRule="exact"/>
        <w:rPr>
          <w:rFonts w:ascii="Arial" w:cs="Arial" w:eastAsia="Arial" w:hAnsi="Arial"/>
          <w:sz w:val="18"/>
          <w:szCs w:val="18"/>
          <w:color w:val="auto"/>
        </w:rPr>
      </w:pPr>
    </w:p>
    <w:p>
      <w:pPr>
        <w:ind w:left="1160" w:hanging="403"/>
        <w:spacing w:after="0"/>
        <w:tabs>
          <w:tab w:leader="none" w:pos="11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Loan Parties shall have satisfied the Payment Conditions.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“Permitted Disposition” means any of the following:</w:t>
      </w:r>
    </w:p>
    <w:p>
      <w:pPr>
        <w:spacing w:after="0" w:line="175" w:lineRule="exact"/>
        <w:rPr>
          <w:sz w:val="20"/>
          <w:szCs w:val="20"/>
          <w:color w:val="auto"/>
        </w:rPr>
      </w:pPr>
    </w:p>
    <w:p>
      <w:pPr>
        <w:ind w:left="1160" w:hanging="403"/>
        <w:spacing w:after="0"/>
        <w:tabs>
          <w:tab w:leader="none" w:pos="11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188" w:lineRule="exact"/>
        <w:rPr>
          <w:rFonts w:ascii="Arial" w:cs="Arial" w:eastAsia="Arial" w:hAnsi="Arial"/>
          <w:sz w:val="20"/>
          <w:szCs w:val="20"/>
          <w:color w:val="auto"/>
        </w:rPr>
      </w:pPr>
    </w:p>
    <w:p>
      <w:pPr>
        <w:ind w:left="760" w:right="120" w:hanging="3"/>
        <w:spacing w:after="0" w:line="303" w:lineRule="auto"/>
        <w:tabs>
          <w:tab w:leader="none" w:pos="11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(including those made in connection with bulk sales or other dispositions of the Inventory of a Loan Party not in the ordinary course of business) at arm’s length in connection with Permitted Store Closings;</w:t>
      </w:r>
    </w:p>
    <w:p>
      <w:pPr>
        <w:spacing w:after="0" w:line="107" w:lineRule="exact"/>
        <w:rPr>
          <w:rFonts w:ascii="Arial" w:cs="Arial" w:eastAsia="Arial" w:hAnsi="Arial"/>
          <w:sz w:val="20"/>
          <w:szCs w:val="20"/>
          <w:color w:val="auto"/>
        </w:rPr>
      </w:pPr>
    </w:p>
    <w:p>
      <w:pPr>
        <w:ind w:left="1160" w:hanging="403"/>
        <w:spacing w:after="0"/>
        <w:tabs>
          <w:tab w:leader="none" w:pos="11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Dispositions of Intellectual Property of a Loan Party or any of its Subsidiaries in the ordinary course of business;</w:t>
      </w:r>
    </w:p>
    <w:p>
      <w:pPr>
        <w:spacing w:after="0" w:line="175" w:lineRule="exact"/>
        <w:rPr>
          <w:rFonts w:ascii="Arial" w:cs="Arial" w:eastAsia="Arial" w:hAnsi="Arial"/>
          <w:sz w:val="20"/>
          <w:szCs w:val="20"/>
          <w:color w:val="auto"/>
        </w:rPr>
      </w:pPr>
    </w:p>
    <w:p>
      <w:pPr>
        <w:ind w:left="760" w:right="20" w:hanging="3"/>
        <w:spacing w:after="0" w:line="292" w:lineRule="auto"/>
        <w:tabs>
          <w:tab w:leader="none" w:pos="11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licenses for the conduct of licensed departments within the Loan Parties’ Stores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requested by the Agent, the Agent shall have entered into an intercreditor agreement with the Person operating such licensed department on terms and conditions reasonably satisfactory to the Agent;</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50" w:name="page51"/>
    <w:bookmarkEnd w:id="50"/>
    <w:p>
      <w:pPr>
        <w:ind w:left="760" w:right="60" w:hanging="3"/>
        <w:spacing w:after="0" w:line="303" w:lineRule="auto"/>
        <w:tabs>
          <w:tab w:leader="none" w:pos="1156"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Dispositions of Equipment in the ordinary course of business that is substantially worn, damaged, obsolete or, in the judgment of a Loan Party, no longer useful or necessary in its business or that of any Subsidiary;</w:t>
      </w:r>
    </w:p>
    <w:p>
      <w:pPr>
        <w:spacing w:after="0" w:line="107" w:lineRule="exact"/>
        <w:rPr>
          <w:rFonts w:ascii="Arial" w:cs="Arial" w:eastAsia="Arial" w:hAnsi="Arial"/>
          <w:sz w:val="20"/>
          <w:szCs w:val="20"/>
          <w:color w:val="auto"/>
        </w:rPr>
      </w:pPr>
    </w:p>
    <w:p>
      <w:pPr>
        <w:ind w:left="1160" w:hanging="403"/>
        <w:spacing w:after="0"/>
        <w:tabs>
          <w:tab w:leader="none" w:pos="11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Dispositions among the Loan Parties or by any Subsidiary to a Loan Party;</w:t>
      </w:r>
    </w:p>
    <w:p>
      <w:pPr>
        <w:spacing w:after="0" w:line="175" w:lineRule="exact"/>
        <w:rPr>
          <w:rFonts w:ascii="Arial" w:cs="Arial" w:eastAsia="Arial" w:hAnsi="Arial"/>
          <w:sz w:val="20"/>
          <w:szCs w:val="20"/>
          <w:color w:val="auto"/>
        </w:rPr>
      </w:pPr>
    </w:p>
    <w:p>
      <w:pPr>
        <w:ind w:left="1160" w:hanging="40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transfers and dispositions by any Subsidiary which is not a Loan Party to another Subsidiary that is not a Loan Party;</w:t>
      </w:r>
    </w:p>
    <w:p>
      <w:pPr>
        <w:spacing w:after="0" w:line="211" w:lineRule="exact"/>
        <w:rPr>
          <w:rFonts w:ascii="Arial" w:cs="Arial" w:eastAsia="Arial" w:hAnsi="Arial"/>
          <w:sz w:val="18"/>
          <w:szCs w:val="18"/>
          <w:color w:val="auto"/>
        </w:rPr>
      </w:pPr>
    </w:p>
    <w:p>
      <w:pPr>
        <w:ind w:left="760" w:right="20" w:hanging="3"/>
        <w:spacing w:after="0" w:line="286" w:lineRule="auto"/>
        <w:tabs>
          <w:tab w:leader="none" w:pos="1156"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 long as no Default or Event of Default then exists or would arise therefrom, Dispositions of Real Estate of any Loan Party (or Dispositions of any Person or Persons created to hold such Real Estate or the Equity Interests in such Person or Persons), including sale-leaseback transactions involving any such Real Estate pursuant to leases on market terms, as long as, (A) such Disposition is made for fair market value, and (B) in the case of any sale-leaseback transaction permitted hereunder, the Agent shall have received from each such purchaser or transferee a Collateral Access Agreement on terms and conditions reasonably satisfactory to the Agent; and</w:t>
      </w:r>
    </w:p>
    <w:p>
      <w:pPr>
        <w:spacing w:after="0" w:line="124" w:lineRule="exact"/>
        <w:rPr>
          <w:rFonts w:ascii="Arial" w:cs="Arial" w:eastAsia="Arial" w:hAnsi="Arial"/>
          <w:sz w:val="20"/>
          <w:szCs w:val="20"/>
          <w:color w:val="auto"/>
        </w:rPr>
      </w:pPr>
    </w:p>
    <w:p>
      <w:pPr>
        <w:jc w:val="both"/>
        <w:ind w:left="760" w:right="80" w:hanging="3"/>
        <w:spacing w:after="0" w:line="292" w:lineRule="auto"/>
        <w:tabs>
          <w:tab w:leader="none" w:pos="1156"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 long as no Default or Event of Default then exists or would arise therefrom, Dispositions of the assets of any Loan Party of the type not included in the Borrowing Base, that in the aggregate during any twelve month period, has a fair market value of book value (whichever is more) not to exceed $1,000,000.</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“Permitted Encumbrances” means:</w:t>
      </w:r>
    </w:p>
    <w:p>
      <w:pPr>
        <w:spacing w:after="0" w:line="189" w:lineRule="exact"/>
        <w:rPr>
          <w:sz w:val="20"/>
          <w:szCs w:val="20"/>
          <w:color w:val="auto"/>
        </w:rPr>
      </w:pPr>
    </w:p>
    <w:p>
      <w:pPr>
        <w:ind w:left="1160" w:hanging="403"/>
        <w:spacing w:after="0"/>
        <w:tabs>
          <w:tab w:leader="none" w:pos="11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Liens imposed by law for Taxes that are not yet due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760" w:right="20" w:hanging="3"/>
        <w:spacing w:after="0" w:line="292" w:lineRule="auto"/>
        <w:tabs>
          <w:tab w:leader="none" w:pos="11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Carriers’, warehousemen’s, mechanics’, materialmen’s, repairmen’s and other like Liens imposed by applicable Laws, arising in the ordinary course of business and securing obligations that are not overdue by more than thirty (30) days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05" w:lineRule="exact"/>
        <w:rPr>
          <w:rFonts w:ascii="Arial" w:cs="Arial" w:eastAsia="Arial" w:hAnsi="Arial"/>
          <w:sz w:val="20"/>
          <w:szCs w:val="20"/>
          <w:color w:val="auto"/>
        </w:rPr>
      </w:pPr>
    </w:p>
    <w:p>
      <w:pPr>
        <w:ind w:left="760" w:right="460" w:hanging="3"/>
        <w:spacing w:after="0" w:line="303" w:lineRule="auto"/>
        <w:tabs>
          <w:tab w:leader="none" w:pos="11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other than any Lien imposed by ERISA;</w:t>
      </w:r>
    </w:p>
    <w:p>
      <w:pPr>
        <w:spacing w:after="0" w:line="107" w:lineRule="exact"/>
        <w:rPr>
          <w:rFonts w:ascii="Arial" w:cs="Arial" w:eastAsia="Arial" w:hAnsi="Arial"/>
          <w:sz w:val="20"/>
          <w:szCs w:val="20"/>
          <w:color w:val="auto"/>
        </w:rPr>
      </w:pPr>
    </w:p>
    <w:p>
      <w:pPr>
        <w:ind w:left="760" w:right="180" w:hanging="3"/>
        <w:spacing w:after="0" w:line="363" w:lineRule="auto"/>
        <w:tabs>
          <w:tab w:leader="none" w:pos="11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62" w:lineRule="exact"/>
        <w:rPr>
          <w:rFonts w:ascii="Arial" w:cs="Arial" w:eastAsia="Arial" w:hAnsi="Arial"/>
          <w:sz w:val="18"/>
          <w:szCs w:val="18"/>
          <w:color w:val="auto"/>
        </w:rPr>
      </w:pPr>
    </w:p>
    <w:p>
      <w:pPr>
        <w:ind w:left="1160" w:hanging="403"/>
        <w:spacing w:after="0"/>
        <w:tabs>
          <w:tab w:leader="none" w:pos="11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Liens in respect of judgments that would not constitute an Event of Default hereunder;</w:t>
      </w:r>
    </w:p>
    <w:p>
      <w:pPr>
        <w:spacing w:after="0" w:line="175" w:lineRule="exact"/>
        <w:rPr>
          <w:rFonts w:ascii="Arial" w:cs="Arial" w:eastAsia="Arial" w:hAnsi="Arial"/>
          <w:sz w:val="20"/>
          <w:szCs w:val="20"/>
          <w:color w:val="auto"/>
        </w:rPr>
      </w:pPr>
    </w:p>
    <w:p>
      <w:pPr>
        <w:ind w:left="760" w:hanging="3"/>
        <w:spacing w:after="0" w:line="287" w:lineRule="auto"/>
        <w:tabs>
          <w:tab w:leader="none" w:pos="1156" w:val="left"/>
        </w:tabs>
        <w:numPr>
          <w:ilvl w:val="0"/>
          <w:numId w:val="40"/>
        </w:numPr>
        <w:rPr>
          <w:rFonts w:ascii="Arial" w:cs="Arial" w:eastAsia="Arial" w:hAnsi="Arial"/>
          <w:sz w:val="20"/>
          <w:szCs w:val="20"/>
          <w:color w:val="auto"/>
        </w:rPr>
      </w:pPr>
      <w:r>
        <w:rPr>
          <w:rFonts w:ascii="Arial" w:cs="Arial" w:eastAsia="Arial" w:hAnsi="Arial"/>
          <w:sz w:val="20"/>
          <w:szCs w:val="20"/>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24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51" w:name="page52"/>
    <w:bookmarkEnd w:id="51"/>
    <w:p>
      <w:pPr>
        <w:ind w:left="740" w:right="40" w:hanging="3"/>
        <w:spacing w:after="0" w:line="303" w:lineRule="auto"/>
        <w:tabs>
          <w:tab w:leader="none" w:pos="11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Liens existing on the Closing Date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Liens to secure any Permitted Refinancings of the Indebtedness with respect thereto;</w:t>
      </w:r>
    </w:p>
    <w:p>
      <w:pPr>
        <w:spacing w:after="0" w:line="107" w:lineRule="exact"/>
        <w:rPr>
          <w:rFonts w:ascii="Arial" w:cs="Arial" w:eastAsia="Arial" w:hAnsi="Arial"/>
          <w:sz w:val="20"/>
          <w:szCs w:val="20"/>
          <w:color w:val="auto"/>
        </w:rPr>
      </w:pPr>
    </w:p>
    <w:p>
      <w:pPr>
        <w:ind w:left="740" w:right="280" w:hanging="3"/>
        <w:spacing w:after="0" w:line="325" w:lineRule="auto"/>
        <w:tabs>
          <w:tab w:leader="none" w:pos="11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on fixed or capital assets or on Real Estate of any Loan Party which secure Indebtedness permitted under clauses (c) and/or (d) of the definition of Permitted Indebtedness so long as (i) such Liens and the Indebtedness secured thereby are incurred prior to or within ninety (90) days after such acquisition, (ii) the Indebtedness secured thereby does not exceed the cost of acquisition of the applicable assets, and (iii) such Liens shall attach only to the assets or Real estate acquired, improved or refinanced with such Indebtedness and shall not extend to any other property or assets of the Loan Parties;</w:t>
      </w:r>
    </w:p>
    <w:p>
      <w:pPr>
        <w:spacing w:after="0" w:line="83" w:lineRule="exact"/>
        <w:rPr>
          <w:rFonts w:ascii="Arial" w:cs="Arial" w:eastAsia="Arial" w:hAnsi="Arial"/>
          <w:sz w:val="18"/>
          <w:szCs w:val="18"/>
          <w:color w:val="auto"/>
        </w:rPr>
      </w:pPr>
    </w:p>
    <w:p>
      <w:pPr>
        <w:ind w:left="1140" w:hanging="403"/>
        <w:spacing w:after="0"/>
        <w:tabs>
          <w:tab w:leader="none" w:pos="11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Liens in favor of the Agent;</w:t>
      </w:r>
    </w:p>
    <w:p>
      <w:pPr>
        <w:spacing w:after="0" w:line="188" w:lineRule="exact"/>
        <w:rPr>
          <w:rFonts w:ascii="Arial" w:cs="Arial" w:eastAsia="Arial" w:hAnsi="Arial"/>
          <w:sz w:val="20"/>
          <w:szCs w:val="20"/>
          <w:color w:val="auto"/>
        </w:rPr>
      </w:pPr>
    </w:p>
    <w:p>
      <w:pPr>
        <w:ind w:left="1140" w:hanging="403"/>
        <w:spacing w:after="0"/>
        <w:tabs>
          <w:tab w:leader="none" w:pos="11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Landlords’ and lessors’ statutory Liens in respect of rent not in default;</w:t>
      </w:r>
    </w:p>
    <w:p>
      <w:pPr>
        <w:spacing w:after="0" w:line="188" w:lineRule="exact"/>
        <w:rPr>
          <w:rFonts w:ascii="Arial" w:cs="Arial" w:eastAsia="Arial" w:hAnsi="Arial"/>
          <w:sz w:val="20"/>
          <w:szCs w:val="20"/>
          <w:color w:val="auto"/>
        </w:rPr>
      </w:pPr>
    </w:p>
    <w:p>
      <w:pPr>
        <w:ind w:left="740" w:hanging="3"/>
        <w:spacing w:after="0" w:line="288" w:lineRule="auto"/>
        <w:tabs>
          <w:tab w:leader="none" w:pos="11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Possessory Liens in favor of brokers and dealers arising in connection with the acquisition or disposition of Investments owned as of the Closing Date and other Permitted Investments,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111" w:lineRule="exact"/>
        <w:rPr>
          <w:rFonts w:ascii="Arial" w:cs="Arial" w:eastAsia="Arial" w:hAnsi="Arial"/>
          <w:sz w:val="20"/>
          <w:szCs w:val="20"/>
          <w:color w:val="auto"/>
        </w:rPr>
      </w:pPr>
    </w:p>
    <w:p>
      <w:pPr>
        <w:jc w:val="both"/>
        <w:ind w:left="740" w:right="20" w:hanging="3"/>
        <w:spacing w:after="0" w:line="292" w:lineRule="auto"/>
        <w:tabs>
          <w:tab w:leader="none" w:pos="11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19" w:lineRule="exact"/>
        <w:rPr>
          <w:rFonts w:ascii="Arial" w:cs="Arial" w:eastAsia="Arial" w:hAnsi="Arial"/>
          <w:sz w:val="20"/>
          <w:szCs w:val="20"/>
          <w:color w:val="auto"/>
        </w:rPr>
      </w:pPr>
    </w:p>
    <w:p>
      <w:pPr>
        <w:ind w:left="740" w:right="480" w:hanging="3"/>
        <w:spacing w:after="0" w:line="303" w:lineRule="auto"/>
        <w:tabs>
          <w:tab w:leader="none" w:pos="11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Liens arising from precautionary UCC filings regarding “true” operating leases or, to the extent permitted under the Loan Documents, the consignment of goods to a Loan Party;</w:t>
      </w:r>
    </w:p>
    <w:p>
      <w:pPr>
        <w:spacing w:after="0" w:line="107" w:lineRule="exact"/>
        <w:rPr>
          <w:rFonts w:ascii="Arial" w:cs="Arial" w:eastAsia="Arial" w:hAnsi="Arial"/>
          <w:sz w:val="20"/>
          <w:szCs w:val="20"/>
          <w:color w:val="auto"/>
        </w:rPr>
      </w:pPr>
    </w:p>
    <w:p>
      <w:pPr>
        <w:ind w:left="1140" w:hanging="40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voluntary Liens on property (other than property of the type included in the Borrowing Base) in existence at the time such</w:t>
      </w:r>
    </w:p>
    <w:p>
      <w:pPr>
        <w:spacing w:after="0" w:line="63" w:lineRule="exact"/>
        <w:rPr>
          <w:rFonts w:ascii="Arial" w:cs="Arial" w:eastAsia="Arial" w:hAnsi="Arial"/>
          <w:sz w:val="18"/>
          <w:szCs w:val="18"/>
          <w:color w:val="auto"/>
        </w:rPr>
      </w:pPr>
    </w:p>
    <w:p>
      <w:pPr>
        <w:jc w:val="both"/>
        <w:ind w:left="740" w:right="40"/>
        <w:spacing w:after="0" w:line="338" w:lineRule="auto"/>
        <w:rPr>
          <w:rFonts w:ascii="Arial" w:cs="Arial" w:eastAsia="Arial" w:hAnsi="Arial"/>
          <w:sz w:val="18"/>
          <w:szCs w:val="18"/>
          <w:color w:val="auto"/>
        </w:rPr>
      </w:pPr>
      <w:r>
        <w:rPr>
          <w:rFonts w:ascii="Arial" w:cs="Arial" w:eastAsia="Arial" w:hAnsi="Arial"/>
          <w:sz w:val="18"/>
          <w:szCs w:val="18"/>
          <w:color w:val="auto"/>
        </w:rPr>
        <w:t xml:space="preserve">property is acquired pursuant to a Permitted Acquisition or on such property of a Subsidiary of a Loan Party in existence at the time such Subsidiary is acquired pursuant to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are not incurred in connection with or in anticipation of such Permitted Acquisition and do not attach to any other assets of any Loan Party or any Subsidiary;</w:t>
      </w:r>
    </w:p>
    <w:p>
      <w:pPr>
        <w:spacing w:after="0" w:line="70" w:lineRule="exact"/>
        <w:rPr>
          <w:rFonts w:ascii="Arial" w:cs="Arial" w:eastAsia="Arial" w:hAnsi="Arial"/>
          <w:sz w:val="18"/>
          <w:szCs w:val="18"/>
          <w:color w:val="auto"/>
        </w:rPr>
      </w:pPr>
    </w:p>
    <w:p>
      <w:pPr>
        <w:ind w:left="740" w:right="160" w:hanging="3"/>
        <w:spacing w:after="0" w:line="325" w:lineRule="auto"/>
        <w:tabs>
          <w:tab w:leader="none" w:pos="11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in accordance with GAAP and (C) such contest effectively suspends collection of the contested obligation and enforcement of any Lien securing such obligation; and</w:t>
      </w:r>
    </w:p>
    <w:p>
      <w:pPr>
        <w:spacing w:after="0" w:line="97" w:lineRule="exact"/>
        <w:rPr>
          <w:rFonts w:ascii="Arial" w:cs="Arial" w:eastAsia="Arial" w:hAnsi="Arial"/>
          <w:sz w:val="18"/>
          <w:szCs w:val="18"/>
          <w:color w:val="auto"/>
        </w:rPr>
      </w:pPr>
    </w:p>
    <w:p>
      <w:pPr>
        <w:ind w:left="740" w:right="120" w:hanging="3"/>
        <w:spacing w:after="0" w:line="292" w:lineRule="auto"/>
        <w:tabs>
          <w:tab w:leader="none" w:pos="1136" w:val="left"/>
        </w:tabs>
        <w:numPr>
          <w:ilvl w:val="0"/>
          <w:numId w:val="41"/>
        </w:numPr>
        <w:rPr>
          <w:rFonts w:ascii="Arial" w:cs="Arial" w:eastAsia="Arial" w:hAnsi="Arial"/>
          <w:sz w:val="20"/>
          <w:szCs w:val="20"/>
          <w:color w:val="auto"/>
        </w:rPr>
      </w:pPr>
      <w:r>
        <w:rPr>
          <w:rFonts w:ascii="Arial" w:cs="Arial" w:eastAsia="Arial" w:hAnsi="Arial"/>
          <w:sz w:val="20"/>
          <w:szCs w:val="20"/>
          <w:color w:val="auto"/>
        </w:rPr>
        <w:t>Liens not otherwise permitted under this definition of “Permitted Encumbrances” to the extent that (i) the aggregate outstanding amount of the obligations secured thereby at any time outstanding do not exceed $1,000,000 and (ii) such Liens do not secure Indebtedness.</w:t>
      </w:r>
    </w:p>
    <w:p>
      <w:pPr>
        <w:spacing w:after="0" w:line="241"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“Permitted Indebtedness” means each of the following:</w:t>
      </w:r>
    </w:p>
    <w:p>
      <w:pPr>
        <w:spacing w:after="0" w:line="189" w:lineRule="exact"/>
        <w:rPr>
          <w:sz w:val="20"/>
          <w:szCs w:val="20"/>
          <w:color w:val="auto"/>
        </w:rPr>
      </w:pPr>
    </w:p>
    <w:p>
      <w:pPr>
        <w:ind w:left="1160" w:hanging="403"/>
        <w:spacing w:after="0"/>
        <w:tabs>
          <w:tab w:leader="none" w:pos="11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Indebtedness outstanding on the Closing Date listed on </w:t>
      </w:r>
      <w:r>
        <w:rPr>
          <w:rFonts w:ascii="Arial" w:cs="Arial" w:eastAsia="Arial" w:hAnsi="Arial"/>
          <w:sz w:val="20"/>
          <w:szCs w:val="20"/>
          <w:u w:val="single" w:color="auto"/>
          <w:color w:val="auto"/>
        </w:rPr>
        <w:t>Schedule 7.03</w:t>
      </w:r>
      <w:r>
        <w:rPr>
          <w:rFonts w:ascii="Arial" w:cs="Arial" w:eastAsia="Arial" w:hAnsi="Arial"/>
          <w:sz w:val="20"/>
          <w:szCs w:val="20"/>
          <w:color w:val="auto"/>
        </w:rPr>
        <w:t xml:space="preserve"> and any Permitted Refinancing thereof;</w:t>
      </w:r>
    </w:p>
    <w:p>
      <w:pPr>
        <w:spacing w:after="0" w:line="175" w:lineRule="exact"/>
        <w:rPr>
          <w:rFonts w:ascii="Arial" w:cs="Arial" w:eastAsia="Arial" w:hAnsi="Arial"/>
          <w:sz w:val="20"/>
          <w:szCs w:val="20"/>
          <w:color w:val="auto"/>
        </w:rPr>
      </w:pPr>
    </w:p>
    <w:p>
      <w:pPr>
        <w:ind w:left="1160" w:hanging="403"/>
        <w:spacing w:after="0"/>
        <w:tabs>
          <w:tab w:leader="none" w:pos="11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of any Loan Party to any other Loan Party;</w:t>
      </w:r>
    </w:p>
    <w:p>
      <w:pPr>
        <w:spacing w:after="0" w:line="188" w:lineRule="exact"/>
        <w:rPr>
          <w:rFonts w:ascii="Arial" w:cs="Arial" w:eastAsia="Arial" w:hAnsi="Arial"/>
          <w:sz w:val="20"/>
          <w:szCs w:val="20"/>
          <w:color w:val="auto"/>
        </w:rPr>
      </w:pPr>
    </w:p>
    <w:p>
      <w:pPr>
        <w:ind w:left="760" w:hanging="3"/>
        <w:spacing w:after="0" w:line="323" w:lineRule="auto"/>
        <w:tabs>
          <w:tab w:leader="none" w:pos="11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aggregate principal amount of Indebtedness permitted by this clause (c) shall not exceed $5,000,000 at any time outstanding and further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requested by the Agent, the Loan Parties shall use commercially reasonable efforts to cause the holders of such Indebtedness to enter into a Collateral Access Agreement on terms reasonably satisfactory to the Agent;</w:t>
      </w:r>
    </w:p>
    <w:p>
      <w:pPr>
        <w:spacing w:after="0" w:line="97" w:lineRule="exact"/>
        <w:rPr>
          <w:rFonts w:ascii="Arial" w:cs="Arial" w:eastAsia="Arial" w:hAnsi="Arial"/>
          <w:sz w:val="18"/>
          <w:szCs w:val="18"/>
          <w:color w:val="auto"/>
        </w:rPr>
      </w:pPr>
    </w:p>
    <w:p>
      <w:pPr>
        <w:ind w:left="760" w:right="80" w:hanging="3"/>
        <w:spacing w:after="0" w:line="287" w:lineRule="auto"/>
        <w:tabs>
          <w:tab w:leader="none" w:pos="1156"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Indebtedness incurred for the construction or acquisition or improvement of, or to finance or to refinance, any Real Estate owned by any Loan Party (including therein any Indebtedness incurred in connection with sale-leaseback transactions permitted hereunder and any Synthetic Lease Obligations),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Loan Parties shall use commercially reasonable efforts to cause the holders of such Indebtedness and the lessors under any sale-leaseback transaction to enter into a Collateral Access Agreement on terms reasonably satisfactory to the Agent;</w:t>
      </w:r>
    </w:p>
    <w:p>
      <w:pPr>
        <w:spacing w:after="0" w:line="109" w:lineRule="exact"/>
        <w:rPr>
          <w:rFonts w:ascii="Arial" w:cs="Arial" w:eastAsia="Arial" w:hAnsi="Arial"/>
          <w:sz w:val="20"/>
          <w:szCs w:val="20"/>
          <w:color w:val="auto"/>
        </w:rPr>
      </w:pPr>
    </w:p>
    <w:p>
      <w:pPr>
        <w:ind w:left="760" w:right="100" w:hanging="3"/>
        <w:spacing w:after="0" w:line="303" w:lineRule="auto"/>
        <w:tabs>
          <w:tab w:leader="none" w:pos="1156"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Contingent liabilities under surety bonds or similar instruments incurred in the ordinary course of business in connection with the construction or improvement of Stores;</w:t>
      </w:r>
    </w:p>
    <w:p>
      <w:pPr>
        <w:spacing w:after="0" w:line="107" w:lineRule="exact"/>
        <w:rPr>
          <w:rFonts w:ascii="Arial" w:cs="Arial" w:eastAsia="Arial" w:hAnsi="Arial"/>
          <w:sz w:val="20"/>
          <w:szCs w:val="20"/>
          <w:color w:val="auto"/>
        </w:rPr>
      </w:pPr>
    </w:p>
    <w:p>
      <w:pPr>
        <w:ind w:left="760" w:right="160" w:hanging="3"/>
        <w:spacing w:after="0" w:line="325" w:lineRule="auto"/>
        <w:tabs>
          <w:tab w:leader="none" w:pos="12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Loan Party or any Subsidiary thereof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fluctuations in interest rates or foreign exchange rates,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97" w:lineRule="exact"/>
        <w:rPr>
          <w:rFonts w:ascii="Arial" w:cs="Arial" w:eastAsia="Arial" w:hAnsi="Arial"/>
          <w:sz w:val="18"/>
          <w:szCs w:val="18"/>
          <w:color w:val="auto"/>
        </w:rPr>
      </w:pPr>
    </w:p>
    <w:p>
      <w:pPr>
        <w:jc w:val="both"/>
        <w:ind w:left="760" w:right="100" w:hanging="3"/>
        <w:spacing w:after="0" w:line="288" w:lineRule="auto"/>
        <w:tabs>
          <w:tab w:leader="none" w:pos="1156"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Indebtedness with respect to the deferred purchase price for any Permitted Acquisition,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does not require the payment in cash of principal (other than in respect of working capital adjustments) prior to the Maturity Date, has a final maturity which extends beyond the Maturity Date, and is subordinated to the Obligations on terms reasonably acceptable to the Agent;</w:t>
      </w:r>
    </w:p>
    <w:p>
      <w:pPr>
        <w:spacing w:after="0" w:line="111" w:lineRule="exact"/>
        <w:rPr>
          <w:rFonts w:ascii="Arial" w:cs="Arial" w:eastAsia="Arial" w:hAnsi="Arial"/>
          <w:sz w:val="20"/>
          <w:szCs w:val="20"/>
          <w:color w:val="auto"/>
        </w:rPr>
      </w:pPr>
    </w:p>
    <w:p>
      <w:pPr>
        <w:ind w:left="760" w:right="60" w:hanging="3"/>
        <w:spacing w:after="0" w:line="292" w:lineRule="auto"/>
        <w:tabs>
          <w:tab w:leader="none" w:pos="1156"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w:t>
      </w:r>
    </w:p>
    <w:p>
      <w:pPr>
        <w:spacing w:after="0" w:line="119" w:lineRule="exact"/>
        <w:rPr>
          <w:rFonts w:ascii="Arial" w:cs="Arial" w:eastAsia="Arial" w:hAnsi="Arial"/>
          <w:sz w:val="20"/>
          <w:szCs w:val="20"/>
          <w:color w:val="auto"/>
        </w:rPr>
      </w:pPr>
    </w:p>
    <w:p>
      <w:pPr>
        <w:ind w:left="1160" w:hanging="403"/>
        <w:spacing w:after="0"/>
        <w:tabs>
          <w:tab w:leader="none" w:pos="11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Obligations;</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53" w:name="page54"/>
    <w:bookmarkEnd w:id="53"/>
    <w:p>
      <w:pPr>
        <w:ind w:left="760" w:right="420" w:hanging="3"/>
        <w:spacing w:after="0" w:line="338" w:lineRule="auto"/>
        <w:tabs>
          <w:tab w:leader="none" w:pos="11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evidenced by promissory notes entered into with merchandise vendors in satisfaction of outstanding account payables balances for existing goods that have already been shipped and with interest rates, maturity and other terms that are otherwise acceptable to the Agent in an aggregate principal amount not to exceed $15,000,000 in the aggregate; and</w:t>
      </w:r>
    </w:p>
    <w:p>
      <w:pPr>
        <w:spacing w:after="0" w:line="83" w:lineRule="exact"/>
        <w:rPr>
          <w:rFonts w:ascii="Arial" w:cs="Arial" w:eastAsia="Arial" w:hAnsi="Arial"/>
          <w:sz w:val="18"/>
          <w:szCs w:val="18"/>
          <w:color w:val="auto"/>
        </w:rPr>
      </w:pPr>
    </w:p>
    <w:p>
      <w:pPr>
        <w:ind w:left="760" w:right="400" w:hanging="3"/>
        <w:spacing w:after="0" w:line="303" w:lineRule="auto"/>
        <w:tabs>
          <w:tab w:leader="none" w:pos="1156"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Indebtedness not otherwise specifically described herein in an aggregate principal amount not to exceed $5,000,000 at any time outstanding.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“Permitted Investments” means each of the following:</w:t>
      </w:r>
    </w:p>
    <w:p>
      <w:pPr>
        <w:spacing w:after="0" w:line="189" w:lineRule="exact"/>
        <w:rPr>
          <w:sz w:val="20"/>
          <w:szCs w:val="20"/>
          <w:color w:val="auto"/>
        </w:rPr>
      </w:pPr>
    </w:p>
    <w:p>
      <w:pPr>
        <w:ind w:left="760" w:right="20" w:hanging="3"/>
        <w:spacing w:after="0" w:line="292"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of America is pledged in support thereof;</w:t>
      </w:r>
    </w:p>
    <w:p>
      <w:pPr>
        <w:spacing w:after="0" w:line="119" w:lineRule="exact"/>
        <w:rPr>
          <w:rFonts w:ascii="Arial" w:cs="Arial" w:eastAsia="Arial" w:hAnsi="Arial"/>
          <w:sz w:val="20"/>
          <w:szCs w:val="20"/>
          <w:color w:val="auto"/>
        </w:rPr>
      </w:pPr>
    </w:p>
    <w:p>
      <w:pPr>
        <w:ind w:left="760" w:right="20" w:hanging="3"/>
        <w:spacing w:after="0" w:line="292"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05" w:lineRule="exact"/>
        <w:rPr>
          <w:rFonts w:ascii="Arial" w:cs="Arial" w:eastAsia="Arial" w:hAnsi="Arial"/>
          <w:sz w:val="20"/>
          <w:szCs w:val="20"/>
          <w:color w:val="auto"/>
        </w:rPr>
      </w:pPr>
    </w:p>
    <w:p>
      <w:pPr>
        <w:ind w:left="760" w:right="160" w:hanging="3"/>
        <w:spacing w:after="0" w:line="323" w:lineRule="auto"/>
        <w:tabs>
          <w:tab w:leader="none" w:pos="11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(b) of this definition and (iii) has combined capital and surplus of at least $1,000,000,000, in each case with maturities of not more than one hundred eighty (180) days from the date of acquisition thereof;</w:t>
      </w:r>
    </w:p>
    <w:p>
      <w:pPr>
        <w:spacing w:after="0" w:line="97" w:lineRule="exact"/>
        <w:rPr>
          <w:rFonts w:ascii="Arial" w:cs="Arial" w:eastAsia="Arial" w:hAnsi="Arial"/>
          <w:sz w:val="18"/>
          <w:szCs w:val="18"/>
          <w:color w:val="auto"/>
        </w:rPr>
      </w:pPr>
    </w:p>
    <w:p>
      <w:pPr>
        <w:ind w:left="760" w:right="20" w:hanging="3"/>
        <w:spacing w:after="0" w:line="287"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23" w:lineRule="exact"/>
        <w:rPr>
          <w:rFonts w:ascii="Arial" w:cs="Arial" w:eastAsia="Arial" w:hAnsi="Arial"/>
          <w:sz w:val="20"/>
          <w:szCs w:val="20"/>
          <w:color w:val="auto"/>
        </w:rPr>
      </w:pPr>
    </w:p>
    <w:p>
      <w:pPr>
        <w:ind w:left="760" w:hanging="3"/>
        <w:spacing w:after="0" w:line="288"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clauses (a) through (d) above;</w:t>
      </w:r>
    </w:p>
    <w:p>
      <w:pPr>
        <w:spacing w:after="0" w:line="111" w:lineRule="exact"/>
        <w:rPr>
          <w:rFonts w:ascii="Arial" w:cs="Arial" w:eastAsia="Arial" w:hAnsi="Arial"/>
          <w:sz w:val="20"/>
          <w:szCs w:val="20"/>
          <w:color w:val="auto"/>
        </w:rPr>
      </w:pPr>
    </w:p>
    <w:p>
      <w:pPr>
        <w:ind w:left="760" w:right="260" w:hanging="3"/>
        <w:spacing w:after="0" w:line="303"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set forth on </w:t>
      </w:r>
      <w:r>
        <w:rPr>
          <w:rFonts w:ascii="Arial" w:cs="Arial" w:eastAsia="Arial" w:hAnsi="Arial"/>
          <w:sz w:val="20"/>
          <w:szCs w:val="20"/>
          <w:u w:val="single" w:color="auto"/>
          <w:color w:val="auto"/>
        </w:rPr>
        <w:t>Schedule 7.02</w:t>
      </w:r>
      <w:r>
        <w:rPr>
          <w:rFonts w:ascii="Arial" w:cs="Arial" w:eastAsia="Arial" w:hAnsi="Arial"/>
          <w:sz w:val="20"/>
          <w:szCs w:val="20"/>
          <w:color w:val="auto"/>
        </w:rPr>
        <w:t>, but not any increase in the amount thereof or any other modification of the terms thereof;</w:t>
      </w:r>
    </w:p>
    <w:p>
      <w:pPr>
        <w:spacing w:after="0" w:line="107" w:lineRule="exact"/>
        <w:rPr>
          <w:rFonts w:ascii="Arial" w:cs="Arial" w:eastAsia="Arial" w:hAnsi="Arial"/>
          <w:sz w:val="20"/>
          <w:szCs w:val="20"/>
          <w:color w:val="auto"/>
        </w:rPr>
      </w:pPr>
    </w:p>
    <w:p>
      <w:pPr>
        <w:jc w:val="both"/>
        <w:ind w:left="760" w:right="340" w:hanging="3"/>
        <w:spacing w:after="0" w:line="292" w:lineRule="auto"/>
        <w:tabs>
          <w:tab w:leader="none" w:pos="115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Investments by any Loan Party and its Subsidiaries in their respective Subsidiaries outstanding on the Closing Date, (ii) additional Investments by any Loan Party and its Subsidiaries in Loan Parties, (iii) additional Investments by Subsidiaries of the Loan Parties that</w:t>
      </w:r>
    </w:p>
    <w:p>
      <w:pPr>
        <w:spacing w:after="0" w:line="24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54" w:name="page55"/>
    <w:bookmarkEnd w:id="54"/>
    <w:p>
      <w:pPr>
        <w:ind w:left="760" w:right="100"/>
        <w:spacing w:after="0" w:line="302" w:lineRule="auto"/>
        <w:rPr>
          <w:sz w:val="20"/>
          <w:szCs w:val="20"/>
          <w:color w:val="auto"/>
        </w:rPr>
      </w:pPr>
      <w:r>
        <w:rPr>
          <w:rFonts w:ascii="Arial" w:cs="Arial" w:eastAsia="Arial" w:hAnsi="Arial"/>
          <w:sz w:val="19"/>
          <w:szCs w:val="19"/>
          <w:color w:val="auto"/>
        </w:rPr>
        <w:t xml:space="preserve">are not Loan Parties in other Subsidiaries that are not Loan Parties and (iv) so long as no Default or Event of Default has occurred and is continuing or would result from such Investment, additional Investments by the Loan Parties in wholly-owned Subsidiaries that are not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Investments may only be made following the Closing Date to the extent that such Investments, together with the principal amount of any other intercompany loans permitted under this Agreement, shall not exceed $10,000,000 in the aggregate from and after the Closing Date, and (B) in the event that the aggregate amount of such Investments, together with the principal amount of any other intercompany loans permitted under this Agreement, exceeds $5,000,000, the Payment Conditions shall have been satisfied;</w:t>
      </w:r>
    </w:p>
    <w:p>
      <w:pPr>
        <w:spacing w:after="0" w:line="114" w:lineRule="exact"/>
        <w:rPr>
          <w:sz w:val="20"/>
          <w:szCs w:val="20"/>
          <w:color w:val="auto"/>
        </w:rPr>
      </w:pPr>
    </w:p>
    <w:p>
      <w:pPr>
        <w:ind w:left="760" w:right="40" w:hanging="3"/>
        <w:spacing w:after="0" w:line="314" w:lineRule="auto"/>
        <w:tabs>
          <w:tab w:leader="none" w:pos="115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87" w:lineRule="exact"/>
        <w:rPr>
          <w:rFonts w:ascii="Arial" w:cs="Arial" w:eastAsia="Arial" w:hAnsi="Arial"/>
          <w:sz w:val="19"/>
          <w:szCs w:val="19"/>
          <w:color w:val="auto"/>
        </w:rPr>
      </w:pPr>
    </w:p>
    <w:p>
      <w:pPr>
        <w:ind w:left="1160" w:hanging="403"/>
        <w:spacing w:after="0"/>
        <w:tabs>
          <w:tab w:leader="none" w:pos="11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Guarantees constituting Permitted Indebtedness;</w:t>
      </w:r>
    </w:p>
    <w:p>
      <w:pPr>
        <w:spacing w:after="0" w:line="188" w:lineRule="exact"/>
        <w:rPr>
          <w:rFonts w:ascii="Arial" w:cs="Arial" w:eastAsia="Arial" w:hAnsi="Arial"/>
          <w:sz w:val="20"/>
          <w:szCs w:val="20"/>
          <w:color w:val="auto"/>
        </w:rPr>
      </w:pPr>
    </w:p>
    <w:p>
      <w:pPr>
        <w:ind w:left="760" w:hanging="3"/>
        <w:spacing w:after="0" w:line="303" w:lineRule="auto"/>
        <w:tabs>
          <w:tab w:leader="none" w:pos="11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from such Investment, Investments by any Loan Party in Swap Contracts permitted hereunder;</w:t>
      </w:r>
    </w:p>
    <w:p>
      <w:pPr>
        <w:spacing w:after="0" w:line="107" w:lineRule="exact"/>
        <w:rPr>
          <w:rFonts w:ascii="Arial" w:cs="Arial" w:eastAsia="Arial" w:hAnsi="Arial"/>
          <w:sz w:val="20"/>
          <w:szCs w:val="20"/>
          <w:color w:val="auto"/>
        </w:rPr>
      </w:pPr>
    </w:p>
    <w:p>
      <w:pPr>
        <w:ind w:left="760" w:hanging="3"/>
        <w:spacing w:after="0" w:line="303" w:lineRule="auto"/>
        <w:tabs>
          <w:tab w:leader="none" w:pos="11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94" w:lineRule="exact"/>
        <w:rPr>
          <w:rFonts w:ascii="Arial" w:cs="Arial" w:eastAsia="Arial" w:hAnsi="Arial"/>
          <w:sz w:val="20"/>
          <w:szCs w:val="20"/>
          <w:color w:val="auto"/>
        </w:rPr>
      </w:pPr>
    </w:p>
    <w:p>
      <w:pPr>
        <w:ind w:left="760" w:hanging="3"/>
        <w:spacing w:after="0" w:line="287" w:lineRule="auto"/>
        <w:tabs>
          <w:tab w:leader="none" w:pos="11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advances to officers, directors and employees of the Loan Parties and Subsidiaries in the ordinary course of business in an aggregate amount not to exceed $400,000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such advance is for a term of not more than ninety (90) days from the date on which it is made and is paid within such 90-day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amounts due on account of advances permitted under this clause (l) shall constitute Collateral and shall be pledged to the Agent for the benefit of the Revolving Lenders;</w:t>
      </w:r>
    </w:p>
    <w:p>
      <w:pPr>
        <w:spacing w:after="0" w:line="123" w:lineRule="exact"/>
        <w:rPr>
          <w:rFonts w:ascii="Arial" w:cs="Arial" w:eastAsia="Arial" w:hAnsi="Arial"/>
          <w:sz w:val="20"/>
          <w:szCs w:val="20"/>
          <w:color w:val="auto"/>
        </w:rPr>
      </w:pPr>
    </w:p>
    <w:p>
      <w:pPr>
        <w:ind w:left="1160" w:hanging="403"/>
        <w:spacing w:after="0"/>
        <w:tabs>
          <w:tab w:leader="none" w:pos="11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Investments constituting Permitted Acquisitions; and</w:t>
      </w:r>
    </w:p>
    <w:p>
      <w:pPr>
        <w:spacing w:after="0" w:line="188" w:lineRule="exact"/>
        <w:rPr>
          <w:rFonts w:ascii="Arial" w:cs="Arial" w:eastAsia="Arial" w:hAnsi="Arial"/>
          <w:sz w:val="20"/>
          <w:szCs w:val="20"/>
          <w:color w:val="auto"/>
        </w:rPr>
      </w:pPr>
    </w:p>
    <w:p>
      <w:pPr>
        <w:ind w:left="760" w:right="140" w:hanging="3"/>
        <w:spacing w:after="0" w:line="303" w:lineRule="auto"/>
        <w:tabs>
          <w:tab w:leader="none" w:pos="11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Other Investments not otherwise specifically described herein if the Payment Conditions are satisfied when such Investments are made and immediately after giving effect thereto.</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the foregoing, (i) after the occurrence and during the continuance of a Cash Dominion Event, no such Investments specified in clauses (a) through (e) and clause (n) shall be permitted unless either (A) no Loans or, if then required to be Cash Collateralized, Letters of Credit are then outstanding, or (B) the Investment is a temporary Investment pending expiration of an Interest Period for a LIBOR Rate Loan, the proceeds of which Investment will be applied to the Obligations after the expiration of such Interest Period, and (ii) such Investments shall be pledged to the Agent as additional collateral for the Obligations pursuant to such agreements as may be reasonably required by the Agent.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“Permitted Overadvance” means an Overadvance made by the Agent, in its discretion, which:</w:t>
      </w:r>
    </w:p>
    <w:p>
      <w:pPr>
        <w:spacing w:after="0" w:line="189" w:lineRule="exact"/>
        <w:rPr>
          <w:sz w:val="20"/>
          <w:szCs w:val="20"/>
          <w:color w:val="auto"/>
        </w:rPr>
      </w:pPr>
    </w:p>
    <w:p>
      <w:pPr>
        <w:ind w:left="760" w:right="120" w:hanging="3"/>
        <w:spacing w:after="0" w:line="303" w:lineRule="auto"/>
        <w:tabs>
          <w:tab w:leader="none" w:pos="11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is made to maintain, protect or preserve the Collateral and/or the Credit Parties’ rights under the Loan Documents or which is otherwise for the benefit of the Credit Parties; or</w:t>
      </w:r>
    </w:p>
    <w:p>
      <w:pPr>
        <w:spacing w:after="0" w:line="2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55" w:name="page56"/>
    <w:bookmarkEnd w:id="55"/>
    <w:p>
      <w:pPr>
        <w:ind w:left="1160" w:hanging="403"/>
        <w:spacing w:after="0"/>
        <w:tabs>
          <w:tab w:leader="none" w:pos="11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is made to enhance the likelihood of, or to maximize the amount of, repayment of any Obligation;</w:t>
      </w:r>
    </w:p>
    <w:p>
      <w:pPr>
        <w:spacing w:after="0" w:line="188" w:lineRule="exact"/>
        <w:rPr>
          <w:rFonts w:ascii="Arial" w:cs="Arial" w:eastAsia="Arial" w:hAnsi="Arial"/>
          <w:sz w:val="20"/>
          <w:szCs w:val="20"/>
          <w:color w:val="auto"/>
        </w:rPr>
      </w:pPr>
    </w:p>
    <w:p>
      <w:pPr>
        <w:ind w:left="1160" w:hanging="403"/>
        <w:spacing w:after="0"/>
        <w:tabs>
          <w:tab w:leader="none" w:pos="11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is made to pay any other amount chargeable to any Loan Party hereunder; and</w:t>
      </w:r>
    </w:p>
    <w:p>
      <w:pPr>
        <w:spacing w:after="0" w:line="175" w:lineRule="exact"/>
        <w:rPr>
          <w:rFonts w:ascii="Arial" w:cs="Arial" w:eastAsia="Arial" w:hAnsi="Arial"/>
          <w:sz w:val="20"/>
          <w:szCs w:val="20"/>
          <w:color w:val="auto"/>
        </w:rPr>
      </w:pPr>
    </w:p>
    <w:p>
      <w:pPr>
        <w:ind w:left="760" w:right="60" w:hanging="3"/>
        <w:spacing w:after="0" w:line="292" w:lineRule="auto"/>
        <w:tabs>
          <w:tab w:leader="none" w:pos="11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together with all other Permitted Overadvances then outstanding, shall not (i) exceed ten percent (10%) of the Borrowing Base at any time or (ii) unless a Liquidation is occurring, remain outstanding for more than forty-five (45) consecutive Business Days, unless in each case, the Required Lenders otherwise agree;</w:t>
      </w:r>
    </w:p>
    <w:p>
      <w:pPr>
        <w:spacing w:after="0" w:line="119" w:lineRule="exact"/>
        <w:rPr>
          <w:sz w:val="20"/>
          <w:szCs w:val="20"/>
          <w:color w:val="auto"/>
        </w:rPr>
      </w:pPr>
    </w:p>
    <w:p>
      <w:pPr>
        <w:ind w:right="20"/>
        <w:spacing w:after="0" w:line="285" w:lineRule="auto"/>
        <w:rPr>
          <w:sz w:val="20"/>
          <w:szCs w:val="20"/>
          <w:color w:val="auto"/>
        </w:rPr>
      </w:pP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the foregoing shall not (i) modify or abrogate any of the provisions of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regarding the Revolving Lenders’ obligations with respect to Letters of Credit or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regarding the Revolving Lenders’ obligations with respect to Swing Line Loans, or (ii) result in any claim or liability against the Agent (regardless of the amount of any Overadvance) for Unintentional Overadvances, and such Unintentional Overadvances shall not reduce the amount of Permitted Overadvances allowed hereunder; and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 Agent make an Overadvance, if after giving effect thereto, the principal amount of the Total Outstandings would exceed the Aggregate Revolving Commitments (as in effect prior to any termination of the Revolving Commitments pursuant to </w:t>
      </w:r>
      <w:r>
        <w:rPr>
          <w:rFonts w:ascii="Arial" w:cs="Arial" w:eastAsia="Arial" w:hAnsi="Arial"/>
          <w:sz w:val="20"/>
          <w:szCs w:val="20"/>
          <w:u w:val="single" w:color="auto"/>
          <w:color w:val="auto"/>
        </w:rPr>
        <w:t>Sections 2.06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hereof).</w:t>
      </w:r>
    </w:p>
    <w:p>
      <w:pPr>
        <w:spacing w:after="0" w:line="127" w:lineRule="exact"/>
        <w:rPr>
          <w:sz w:val="20"/>
          <w:szCs w:val="20"/>
          <w:color w:val="auto"/>
        </w:rPr>
      </w:pPr>
    </w:p>
    <w:p>
      <w:pPr>
        <w:ind w:firstLine="749"/>
        <w:spacing w:after="0" w:line="316" w:lineRule="auto"/>
        <w:rPr>
          <w:sz w:val="20"/>
          <w:szCs w:val="20"/>
          <w:color w:val="auto"/>
        </w:rPr>
      </w:pPr>
      <w:r>
        <w:rPr>
          <w:rFonts w:ascii="Arial" w:cs="Arial" w:eastAsia="Arial" w:hAnsi="Arial"/>
          <w:sz w:val="18"/>
          <w:szCs w:val="18"/>
          <w:color w:val="auto"/>
        </w:rPr>
        <w:t xml:space="preserve">“Permitted Refinancing” means, with respect to any Person, any Indebtedness issued in exchange for, or the net proceeds of which are used to extend, refinance, renew, replace, defease or refund (collectively, to “Refinance”), the Indebtedness being Refinanced (or previous refinancings thereof constituting a Permitted Refinancing);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 to maturity of such Permitted Refinancing is greater than or equal to the weighted average life to maturity of the Indebtedness being Refinanced (c) such Permitted Refinancing shall not require any scheduled principal payments due prior to the Maturity Date, (d) if the Indebtedness being Refinanced is subordinated in right of payment to the Obligations under this Agreement, such Permitted 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p>
    <w:p>
      <w:pPr>
        <w:spacing w:after="0" w:line="97" w:lineRule="exact"/>
        <w:rPr>
          <w:sz w:val="20"/>
          <w:szCs w:val="20"/>
          <w:color w:val="auto"/>
        </w:rPr>
      </w:pPr>
    </w:p>
    <w:p>
      <w:pPr>
        <w:ind w:right="220" w:firstLine="749"/>
        <w:spacing w:after="0" w:line="329" w:lineRule="auto"/>
        <w:rPr>
          <w:sz w:val="20"/>
          <w:szCs w:val="20"/>
          <w:color w:val="auto"/>
        </w:rPr>
      </w:pPr>
      <w:r>
        <w:rPr>
          <w:rFonts w:ascii="Arial" w:cs="Arial" w:eastAsia="Arial" w:hAnsi="Arial"/>
          <w:sz w:val="18"/>
          <w:szCs w:val="18"/>
          <w:color w:val="auto"/>
        </w:rPr>
        <w:t>“Permitted Store Closings” means (a) Store closures and related Inventory dispositions which do not exceed (i) in any Fiscal Year of the Lead Borrower and its Subsidiaries, ten percent (10%) of the number of the Loan Parties’ Stores as of the beginning of such Fiscal Year (net of new Store openings) and (ii) in the aggregate from and after the Closing Date, thirty-five percent (35%) of the number of the Loan Parties’ Stores in existence as of the Closing Date (net of new Store openings), and (b) the related</w:t>
      </w:r>
    </w:p>
    <w:p>
      <w:pPr>
        <w:spacing w:after="0" w:line="21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56" w:name="page57"/>
    <w:bookmarkEnd w:id="56"/>
    <w:p>
      <w:pPr>
        <w:spacing w:after="0" w:line="292" w:lineRule="auto"/>
        <w:rPr>
          <w:sz w:val="20"/>
          <w:szCs w:val="20"/>
          <w:color w:val="auto"/>
        </w:rPr>
      </w:pPr>
      <w:r>
        <w:rPr>
          <w:rFonts w:ascii="Arial" w:cs="Arial" w:eastAsia="Arial" w:hAnsi="Arial"/>
          <w:sz w:val="20"/>
          <w:szCs w:val="20"/>
          <w:color w:val="auto"/>
        </w:rPr>
        <w:t>Inventory is either moved to a distribution center or another retail location of the Loan Parties for future sale in the ordinary course of business or is disposed of at such Stores in accordance with liquidation agreements and with professional liquidators reasonably acceptable to the Agent.</w:t>
      </w:r>
    </w:p>
    <w:p>
      <w:pPr>
        <w:spacing w:after="0" w:line="119"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“Person” means any natural person, corporation, limited liability company, trust, joint venture, association, company, partnership, limited partnership, Governmental Authority or other entity.</w:t>
      </w:r>
    </w:p>
    <w:p>
      <w:pPr>
        <w:spacing w:after="0" w:line="94"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color w:val="auto"/>
        </w:rPr>
        <w:t>“Plan” means any employee benefit plan within the meaning of Section 3(3) of ERISA (including a Pension Plan but excluding a Multiemployer Plan), maintained by the Lead Borrower or under or with respect to which the Lead Borrower has any liability or contingent liability (including on account of any ERISA Affiliate).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“Platform” has the meaning set forth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89" w:lineRule="exact"/>
        <w:rPr>
          <w:sz w:val="20"/>
          <w:szCs w:val="20"/>
          <w:color w:val="auto"/>
        </w:rPr>
      </w:pPr>
    </w:p>
    <w:p>
      <w:pPr>
        <w:ind w:right="20"/>
        <w:spacing w:after="0" w:line="331" w:lineRule="auto"/>
        <w:rPr>
          <w:sz w:val="20"/>
          <w:szCs w:val="20"/>
          <w:color w:val="auto"/>
        </w:rPr>
      </w:pPr>
      <w:r>
        <w:rPr>
          <w:rFonts w:ascii="Arial" w:cs="Arial" w:eastAsia="Arial" w:hAnsi="Arial"/>
          <w:sz w:val="19"/>
          <w:szCs w:val="19"/>
          <w:color w:val="auto"/>
        </w:rPr>
        <w:t>“Prime Rate” means a rate per annum equal to the prime rate of interest announced from time to time by Citizens Bank or its parent company (which is not necessarily the lowest rate charged to any customer), changing when and as said prime rate changes.</w:t>
      </w:r>
    </w:p>
    <w:p>
      <w:pPr>
        <w:spacing w:after="0" w:line="72" w:lineRule="exact"/>
        <w:rPr>
          <w:sz w:val="20"/>
          <w:szCs w:val="20"/>
          <w:color w:val="auto"/>
        </w:rPr>
      </w:pPr>
    </w:p>
    <w:p>
      <w:pPr>
        <w:ind w:right="420"/>
        <w:spacing w:after="0" w:line="303" w:lineRule="auto"/>
        <w:rPr>
          <w:sz w:val="20"/>
          <w:szCs w:val="20"/>
          <w:color w:val="auto"/>
        </w:rPr>
      </w:pPr>
      <w:r>
        <w:rPr>
          <w:rFonts w:ascii="Arial" w:cs="Arial" w:eastAsia="Arial" w:hAnsi="Arial"/>
          <w:sz w:val="20"/>
          <w:szCs w:val="20"/>
          <w:color w:val="auto"/>
        </w:rPr>
        <w:t>“PTE” means a prohibited transaction class exemption issued by the U.S. Department of Labor, as any such exemption may be amended from time to time.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“Public Lender”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“QFC Credit Support” has the meaning specified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175"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color w:val="auto"/>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19" w:lineRule="exact"/>
        <w:rPr>
          <w:sz w:val="20"/>
          <w:szCs w:val="20"/>
          <w:color w:val="auto"/>
        </w:rPr>
      </w:pPr>
    </w:p>
    <w:p>
      <w:pPr>
        <w:ind w:right="220"/>
        <w:spacing w:after="0" w:line="303" w:lineRule="auto"/>
        <w:rPr>
          <w:sz w:val="20"/>
          <w:szCs w:val="20"/>
          <w:color w:val="auto"/>
        </w:rPr>
      </w:pPr>
      <w:r>
        <w:rPr>
          <w:rFonts w:ascii="Arial" w:cs="Arial" w:eastAsia="Arial" w:hAnsi="Arial"/>
          <w:sz w:val="20"/>
          <w:szCs w:val="20"/>
          <w:color w:val="auto"/>
        </w:rPr>
        <w:t>“Quotation Day” means, with respect to any LIBOR Borrowing and any Interest Period, the day that is two Business Days prior to the first day of such Interest Period.</w:t>
      </w:r>
    </w:p>
    <w:p>
      <w:pPr>
        <w:spacing w:after="0" w:line="108" w:lineRule="exact"/>
        <w:rPr>
          <w:sz w:val="20"/>
          <w:szCs w:val="20"/>
          <w:color w:val="auto"/>
        </w:rPr>
      </w:pPr>
    </w:p>
    <w:p>
      <w:pPr>
        <w:jc w:val="both"/>
        <w:ind w:right="200"/>
        <w:spacing w:after="0" w:line="292" w:lineRule="auto"/>
        <w:rPr>
          <w:sz w:val="20"/>
          <w:szCs w:val="20"/>
          <w:color w:val="auto"/>
        </w:rPr>
      </w:pPr>
      <w:r>
        <w:rPr>
          <w:rFonts w:ascii="Arial" w:cs="Arial" w:eastAsia="Arial" w:hAnsi="Arial"/>
          <w:sz w:val="20"/>
          <w:szCs w:val="20"/>
          <w:color w:val="auto"/>
        </w:rPr>
        <w:t>“Real Estate”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06" w:lineRule="exact"/>
        <w:rPr>
          <w:sz w:val="20"/>
          <w:szCs w:val="20"/>
          <w:color w:val="auto"/>
        </w:rPr>
      </w:pPr>
    </w:p>
    <w:p>
      <w:pPr>
        <w:ind w:right="100"/>
        <w:spacing w:after="0" w:line="292" w:lineRule="auto"/>
        <w:rPr>
          <w:sz w:val="20"/>
          <w:szCs w:val="20"/>
          <w:color w:val="auto"/>
        </w:rPr>
      </w:pPr>
      <w:r>
        <w:rPr>
          <w:rFonts w:ascii="Arial" w:cs="Arial" w:eastAsia="Arial" w:hAnsi="Arial"/>
          <w:sz w:val="20"/>
          <w:szCs w:val="20"/>
          <w:color w:val="auto"/>
        </w:rPr>
        <w:t>“Receivables Reserves” means such Reserves as may be established from time to time by the Agent in the Agent’s discretion with respect to the determination of the collectability in the ordinary course of Eligible Wholesale Receivables, including, without limitation, Dilution Reserves.</w:t>
      </w:r>
    </w:p>
    <w:p>
      <w:pPr>
        <w:spacing w:after="0" w:line="119" w:lineRule="exact"/>
        <w:rPr>
          <w:sz w:val="20"/>
          <w:szCs w:val="20"/>
          <w:color w:val="auto"/>
        </w:rPr>
      </w:pPr>
    </w:p>
    <w:p>
      <w:pPr>
        <w:ind w:right="820"/>
        <w:spacing w:after="0" w:line="303" w:lineRule="auto"/>
        <w:rPr>
          <w:sz w:val="20"/>
          <w:szCs w:val="20"/>
          <w:color w:val="auto"/>
        </w:rPr>
      </w:pPr>
      <w:r>
        <w:rPr>
          <w:rFonts w:ascii="Arial" w:cs="Arial" w:eastAsia="Arial" w:hAnsi="Arial"/>
          <w:sz w:val="20"/>
          <w:szCs w:val="20"/>
          <w:color w:val="auto"/>
        </w:rPr>
        <w:t>“Recipient” means the Agent, any Lender, the L/C Issuer or any other recipient of any payment to be made by or on account of any obligation of any Loan Party hereunder.</w:t>
      </w:r>
    </w:p>
    <w:p>
      <w:pPr>
        <w:spacing w:after="0" w:line="108"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231F20"/>
        </w:rPr>
        <w:t>“Reference Time” with respect to any setting of the then-current Benchmark means (1) if such Benchmark is USD LIBOR, 11:00 a.m. (London time) on the day that is two London banking days preceding the date of such setting, and (2) if such Benchmark is not USD LIBOR, the time determined by the Agent in its reasonable discretion.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“Register”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57" w:name="page58"/>
    <w:bookmarkEnd w:id="57"/>
    <w:p>
      <w:pPr>
        <w:ind w:right="180"/>
        <w:spacing w:after="0" w:line="303" w:lineRule="auto"/>
        <w:rPr>
          <w:sz w:val="20"/>
          <w:szCs w:val="20"/>
          <w:color w:val="auto"/>
        </w:rPr>
      </w:pPr>
      <w:r>
        <w:rPr>
          <w:rFonts w:ascii="Arial" w:cs="Arial" w:eastAsia="Arial" w:hAnsi="Arial"/>
          <w:sz w:val="20"/>
          <w:szCs w:val="20"/>
          <w:color w:val="auto"/>
        </w:rPr>
        <w:t>“Registered Public Accounting Firm” has the meaning specified by the Securities Laws and shall be independent of the Lead Borrower and its Subsidiaries as prescribed by the Securities Laws.</w:t>
      </w:r>
    </w:p>
    <w:p>
      <w:pPr>
        <w:spacing w:after="0" w:line="108"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“Related Parties” means, with respect to any Person, such Person’s Affiliates and the partners, directors, officers, employees, agents, trustees, administrators, managers, advisors and representatives of such Person and of such Person’s Affiliates.</w:t>
      </w:r>
    </w:p>
    <w:p>
      <w:pPr>
        <w:spacing w:after="0" w:line="94" w:lineRule="exact"/>
        <w:rPr>
          <w:sz w:val="20"/>
          <w:szCs w:val="20"/>
          <w:color w:val="auto"/>
        </w:rPr>
      </w:pPr>
    </w:p>
    <w:p>
      <w:pPr>
        <w:jc w:val="both"/>
        <w:ind w:right="80"/>
        <w:spacing w:after="0" w:line="292" w:lineRule="auto"/>
        <w:rPr>
          <w:sz w:val="20"/>
          <w:szCs w:val="20"/>
          <w:color w:val="auto"/>
        </w:rPr>
      </w:pPr>
      <w:r>
        <w:rPr>
          <w:rFonts w:ascii="Arial" w:cs="Arial" w:eastAsia="Arial" w:hAnsi="Arial"/>
          <w:sz w:val="20"/>
          <w:szCs w:val="20"/>
          <w:color w:val="auto"/>
        </w:rPr>
        <w:t xml:space="preserve">“Relevant Governmental Body” </w:t>
      </w:r>
      <w:r>
        <w:rPr>
          <w:rFonts w:ascii="Arial" w:cs="Arial" w:eastAsia="Arial" w:hAnsi="Arial"/>
          <w:sz w:val="20"/>
          <w:szCs w:val="20"/>
          <w:color w:val="231F20"/>
        </w:rPr>
        <w:t>means the Board of Governors of the Federal Reserve System or the Federal Reserve Bank of New York, or</w:t>
      </w:r>
      <w:r>
        <w:rPr>
          <w:rFonts w:ascii="Arial" w:cs="Arial" w:eastAsia="Arial" w:hAnsi="Arial"/>
          <w:sz w:val="20"/>
          <w:szCs w:val="20"/>
          <w:color w:val="auto"/>
        </w:rPr>
        <w:t xml:space="preserve"> </w:t>
      </w:r>
      <w:r>
        <w:rPr>
          <w:rFonts w:ascii="Arial" w:cs="Arial" w:eastAsia="Arial" w:hAnsi="Arial"/>
          <w:sz w:val="20"/>
          <w:szCs w:val="20"/>
          <w:color w:val="231F20"/>
        </w:rPr>
        <w:t>a committee officially endorsed or convened by the Board of Governors of the Federal Reserve System or the Federal Reserve Bank of New York, or any successor thereto</w:t>
      </w:r>
      <w:r>
        <w:rPr>
          <w:rFonts w:ascii="Arial" w:cs="Arial" w:eastAsia="Arial" w:hAnsi="Arial"/>
          <w:sz w:val="20"/>
          <w:szCs w:val="20"/>
          <w:color w:val="000000"/>
        </w:rPr>
        <w:t>.</w:t>
      </w:r>
    </w:p>
    <w:p>
      <w:pPr>
        <w:spacing w:after="0" w:line="119" w:lineRule="exact"/>
        <w:rPr>
          <w:sz w:val="20"/>
          <w:szCs w:val="20"/>
          <w:color w:val="auto"/>
        </w:rPr>
      </w:pPr>
    </w:p>
    <w:p>
      <w:pPr>
        <w:ind w:right="380"/>
        <w:spacing w:after="0" w:line="303" w:lineRule="auto"/>
        <w:rPr>
          <w:sz w:val="20"/>
          <w:szCs w:val="20"/>
          <w:color w:val="auto"/>
        </w:rPr>
      </w:pPr>
      <w:r>
        <w:rPr>
          <w:rFonts w:ascii="Arial" w:cs="Arial" w:eastAsia="Arial" w:hAnsi="Arial"/>
          <w:sz w:val="20"/>
          <w:szCs w:val="20"/>
          <w:color w:val="auto"/>
        </w:rPr>
        <w:t>“Reportable Event” means any of the events set forth in Section 4043(c) of ERISA, other than events for which the thirty (30) day notice period has been waived.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“Reports” has the meaning provided in </w:t>
      </w:r>
      <w:r>
        <w:rPr>
          <w:rFonts w:ascii="Arial" w:cs="Arial" w:eastAsia="Arial" w:hAnsi="Arial"/>
          <w:sz w:val="20"/>
          <w:szCs w:val="20"/>
          <w:u w:val="single" w:color="auto"/>
          <w:color w:val="auto"/>
        </w:rPr>
        <w:t>Section 9.12(b)</w:t>
      </w:r>
      <w:r>
        <w:rPr>
          <w:rFonts w:ascii="Arial" w:cs="Arial" w:eastAsia="Arial" w:hAnsi="Arial"/>
          <w:sz w:val="20"/>
          <w:szCs w:val="20"/>
          <w:color w:val="auto"/>
        </w:rPr>
        <w:t>.</w:t>
      </w:r>
    </w:p>
    <w:p>
      <w:pPr>
        <w:spacing w:after="0" w:line="175" w:lineRule="exact"/>
        <w:rPr>
          <w:sz w:val="20"/>
          <w:szCs w:val="20"/>
          <w:color w:val="auto"/>
        </w:rPr>
      </w:pPr>
    </w:p>
    <w:p>
      <w:pPr>
        <w:jc w:val="both"/>
        <w:ind w:right="120"/>
        <w:spacing w:after="0" w:line="292" w:lineRule="auto"/>
        <w:rPr>
          <w:sz w:val="20"/>
          <w:szCs w:val="20"/>
          <w:color w:val="auto"/>
        </w:rPr>
      </w:pPr>
      <w:r>
        <w:rPr>
          <w:rFonts w:ascii="Arial" w:cs="Arial" w:eastAsia="Arial" w:hAnsi="Arial"/>
          <w:sz w:val="20"/>
          <w:szCs w:val="20"/>
          <w:color w:val="auto"/>
        </w:rPr>
        <w:t>“Request for Credit Extension” means (a) with respect to a Borrowing, Conversion or continuation of Committed Loans, a Committed Loan Notice, (b) with respect to an L/C Credit Extension, a Letter of Credit Application, and (c) with respect to a Swing Line Loan, a Swing Line Loan Notice.</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 xml:space="preserve">“Required Lenders” means, as of any date of determination, Lenders holding more than 50% of the sum of the Aggregate Revolving Commitments or, if the Aggregate Revolving Commitments and the obligation of the L/C Issuer to make L/C Credit Extensions have been terminated,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Revolving Commitment of, and the portion of the Total Outstandings held or deemed held by, any Defaulting Lender shall be excluded for purposes of making a determination of Required Lenders and (ii) at any time there are two or more Lenders (who are not Affiliates of one another or Defaulting Lenders), “Required Lenders” must include at least two Lenders (who are not Affiliates of one another or Defaulting Lenders).</w:t>
      </w:r>
    </w:p>
    <w:p>
      <w:pPr>
        <w:spacing w:after="0" w:line="116" w:lineRule="exact"/>
        <w:rPr>
          <w:sz w:val="20"/>
          <w:szCs w:val="20"/>
          <w:color w:val="auto"/>
        </w:rPr>
      </w:pPr>
    </w:p>
    <w:p>
      <w:pPr>
        <w:ind w:right="120"/>
        <w:spacing w:after="0" w:line="320" w:lineRule="auto"/>
        <w:rPr>
          <w:sz w:val="20"/>
          <w:szCs w:val="20"/>
          <w:color w:val="auto"/>
        </w:rPr>
      </w:pPr>
      <w:r>
        <w:rPr>
          <w:rFonts w:ascii="Arial" w:cs="Arial" w:eastAsia="Arial" w:hAnsi="Arial"/>
          <w:sz w:val="18"/>
          <w:szCs w:val="18"/>
          <w:color w:val="auto"/>
        </w:rPr>
        <w:t xml:space="preserve">“Required Supermajority Lenders” means, as of any date of determination, Lenders holding more than 66 2/3% of the sum of the Aggregate Revolving Commitments or, if the Aggregate Revolving Commitments and the obligation of the L/C Issuer to make L/C Credit Extensions have been terminated, Lenders holding in the aggregate more than 66 2/3% of the Total Outstandings (with the aggregate amount of each Lender’s risk participation and funded participation in L/C Obligations and Swing Line Loans being deemed “held” by such Lender for purposes of this definition);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Revolving Commitment of, and the portion of the Total Outstandings held or deemed held by, any Defaulting Lender shall be excluded for purposes of making a determination of Required Supermajority Lenders and (ii) at any time there are two (2) or more Lenders (who are not Affiliates of one another or Defaulting Lenders), “Required Supermajority Lenders” must include at least two Lenders (who are not Affiliates of one another or Defaulting Lenders).</w:t>
      </w:r>
    </w:p>
    <w:p>
      <w:pPr>
        <w:spacing w:after="0" w:line="87" w:lineRule="exact"/>
        <w:rPr>
          <w:sz w:val="20"/>
          <w:szCs w:val="20"/>
          <w:color w:val="auto"/>
        </w:rPr>
      </w:pPr>
    </w:p>
    <w:p>
      <w:pPr>
        <w:ind w:right="120"/>
        <w:spacing w:after="0" w:line="303" w:lineRule="auto"/>
        <w:rPr>
          <w:sz w:val="20"/>
          <w:szCs w:val="20"/>
          <w:color w:val="auto"/>
        </w:rPr>
      </w:pPr>
      <w:r>
        <w:rPr>
          <w:rFonts w:ascii="Arial" w:cs="Arial" w:eastAsia="Arial" w:hAnsi="Arial"/>
          <w:sz w:val="20"/>
          <w:szCs w:val="20"/>
          <w:color w:val="auto"/>
        </w:rPr>
        <w:t xml:space="preserve">“Reserves” means all Inventory Reserves, Availability Reserves, and the Receivables Reserves. The Agent shall have the right, at any time, in its reasonable discretion to establish, modify or eliminate Reserves, in each case subject to </w:t>
      </w:r>
      <w:r>
        <w:rPr>
          <w:rFonts w:ascii="Arial" w:cs="Arial" w:eastAsia="Arial" w:hAnsi="Arial"/>
          <w:sz w:val="20"/>
          <w:szCs w:val="20"/>
          <w:u w:val="single" w:color="auto"/>
          <w:color w:val="auto"/>
        </w:rPr>
        <w:t>Section 9.16</w:t>
      </w:r>
      <w:r>
        <w:rPr>
          <w:rFonts w:ascii="Arial" w:cs="Arial" w:eastAsia="Arial" w:hAnsi="Arial"/>
          <w:sz w:val="20"/>
          <w:szCs w:val="20"/>
          <w:color w:val="auto"/>
        </w:rPr>
        <w:t>.</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“Resolution Authority” an EEA Resolution Authority or, with respect to any UK Financial Institution, a UK Resolution Authority.</w:t>
      </w:r>
    </w:p>
    <w:p>
      <w:pPr>
        <w:spacing w:after="0" w:line="189"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“Responsible Officer” means the chief executive officer, president, chief financial officer, treasurer or assistant treasurer of a Loan Party or any of the other individuals designated in writing to the Agent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84"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Without limiting the foregoing, “Restricted Payments” with respect to any Person shall also include all payments made by such Person with any proceeds of a dissolution or liquidation of such Person.</w:t>
      </w:r>
    </w:p>
    <w:p>
      <w:pPr>
        <w:spacing w:after="0" w:line="114"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color w:val="auto"/>
        </w:rPr>
        <w:t xml:space="preserve">“Revolving Commitments” means, as to each Revolving Lender, its obligation to (a) make Committed Loans to the Borrowers pursuant to Article II and (b) purchase participations in L/C Obligations and in Swing Line Loans, in an aggregate principal amount at any one time outstanding not to exceed the amount set forth opposite such Revolving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Revolving Lender becomes a party hereto, as applicable, as such amount may be adjusted from time to time in accordance with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“Revolving Lenders” means Lenders having Revolving Commitments from time to time or at any time.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“Revolving Loan” means a Committed Loan or Swing Line Loan, as the context may require.</w:t>
      </w:r>
    </w:p>
    <w:p>
      <w:pPr>
        <w:spacing w:after="0" w:line="189"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“Revolving Loan Cap” means, at any time of determination, the lesser of (a) the Aggregate Revolving Commitments or (b) the Borrowing Base.</w:t>
      </w:r>
    </w:p>
    <w:p>
      <w:pPr>
        <w:spacing w:after="0" w:line="108"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 xml:space="preserve">“RP Conditions” means, at the time of determination with respect to the making of any Restricted Payment, that (a) no Event of Default then exists or would arise as a result of the making of such Restricted Payment, and (b)(i) for the thirty (30) day period prior to the making of such Restricted Payment and after giving pro forma effect to such Restricted Payment, the Availability will be equal to or greater than the greater of (x) fifteen percent (15%) of the Revolving Loan Cap and (y) $15,000,000, and (ii) after giving pro forma effect to such Restricted Payment, the Consolidated Fixed Charge Coverage Ratio, tested on a trailing twelve month basis, is equal to or greater than 1.0:1.0;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(b)(ii) shall not apply if Availability for the thirty (30) day period prior to the making of such Restricted Payment and after giving pro forma effect to such Restricted Payment was equal to or greater than the greater of (x) twenty percent (20%) of the Revolving Loan Cap and (y) $20,000,000. Prior to undertaking any Restricted Payment which is subject to the RP Conditions, the Lead Borrower shall deliver to the Agent (i) a certificate signed by the Chief Executive Officer, President or Chief Financial</w:t>
      </w:r>
    </w:p>
    <w:p>
      <w:pPr>
        <w:spacing w:after="0" w:line="2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59" w:name="page60"/>
    <w:bookmarkEnd w:id="59"/>
    <w:p>
      <w:pPr>
        <w:spacing w:after="0" w:line="331" w:lineRule="auto"/>
        <w:rPr>
          <w:sz w:val="20"/>
          <w:szCs w:val="20"/>
          <w:color w:val="auto"/>
        </w:rPr>
      </w:pPr>
      <w:r>
        <w:rPr>
          <w:rFonts w:ascii="Arial" w:cs="Arial" w:eastAsia="Arial" w:hAnsi="Arial"/>
          <w:sz w:val="19"/>
          <w:szCs w:val="19"/>
          <w:color w:val="auto"/>
        </w:rPr>
        <w:t>Officer of the Lead Borrower certifying that the conditions contained in clauses (a) and (b) of the preceding sentence have been satisfied, and (ii) evidence of satisfaction of the conditions contained in clause (b) (including a reasonably detailed calculation).</w:t>
      </w:r>
    </w:p>
    <w:p>
      <w:pPr>
        <w:spacing w:after="0" w:line="86"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“Sanctioned Entity” means (a) a country or a government of a country, (b) an agency of the government of a country, (c) an organization directly or indirectly controlled by a country or its government, or (d) a Person resident in or determined to be resident in a country, in each case of clauses (a) through (d) that is a target of Sanctions, including a target of any country sanctions program administered and enforced by OFAC.</w:t>
      </w:r>
    </w:p>
    <w:p>
      <w:pPr>
        <w:spacing w:after="0" w:line="111"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“Sanctioned Person” means, at any time (a) any Person named on the list of Specially Designated Nationals and Blocked Persons maintained by OFAC (“SDN”),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23"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color w:val="auto"/>
        </w:rPr>
        <w:t>“Sanctions”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Credit Party or any Loan Party or any of their respective Subsidiaries or Affiliates.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“S&amp;P” means Standard &amp; Poor’s Ratings Services, a division of The McGraw-Hill Companies, Inc. and any successor thereto.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“Sarbanes-Oxley” means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“SEC” means the Securities and Exchange Commission, or any Governmental Authority succeeding to any of its principal functions.</w:t>
      </w:r>
    </w:p>
    <w:p>
      <w:pPr>
        <w:spacing w:after="0" w:line="200"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“Securities Laws” means the Securities Act of 1933, as amended, the Securities Exchange Act of 1934, as amended, Sarbanes-Oxley, and the applicable accounting and auditing principles, rules, standards and practices promulgated, approved or incorporated by the SEC or the PCAOB.</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“Security Agreement” means the Security Agreement dated as of the Closing Date among the Loan Parties and the Agent.</w:t>
      </w:r>
    </w:p>
    <w:p>
      <w:pPr>
        <w:spacing w:after="0" w:line="189" w:lineRule="exact"/>
        <w:rPr>
          <w:sz w:val="20"/>
          <w:szCs w:val="20"/>
          <w:color w:val="auto"/>
        </w:rPr>
      </w:pPr>
    </w:p>
    <w:p>
      <w:pPr>
        <w:jc w:val="both"/>
        <w:ind w:right="520"/>
        <w:spacing w:after="0" w:line="292" w:lineRule="auto"/>
        <w:rPr>
          <w:sz w:val="20"/>
          <w:szCs w:val="20"/>
          <w:color w:val="auto"/>
        </w:rPr>
      </w:pPr>
      <w:r>
        <w:rPr>
          <w:rFonts w:ascii="Arial" w:cs="Arial" w:eastAsia="Arial" w:hAnsi="Arial"/>
          <w:sz w:val="20"/>
          <w:szCs w:val="20"/>
          <w:color w:val="auto"/>
        </w:rPr>
        <w:t>“Security Documents” means the Security Agreement, the Account Control Agreements, the Credit Card Notifications, and each other security agreement or other instrument or document executed and delivered to the Agent pursuant to this Agreement or any other Loan Document granting a Lien to secure any of the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“Settlement Date” has the meaning set forth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60" w:name="page61"/>
    <w:bookmarkEnd w:id="60"/>
    <w:p>
      <w:pPr>
        <w:ind w:right="140"/>
        <w:spacing w:after="0" w:line="303" w:lineRule="auto"/>
        <w:rPr>
          <w:sz w:val="20"/>
          <w:szCs w:val="20"/>
          <w:color w:val="auto"/>
        </w:rPr>
      </w:pPr>
      <w:r>
        <w:rPr>
          <w:rFonts w:ascii="Arial" w:cs="Arial" w:eastAsia="Arial" w:hAnsi="Arial"/>
          <w:sz w:val="20"/>
          <w:szCs w:val="20"/>
          <w:color w:val="auto"/>
        </w:rPr>
        <w:t>“Shareholders’ Equity” means, as of any date of determination, consolidated shareholders’ equity of the Lead Borrower and its Subsidiaries as of that date determined in accordance with GAAP.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“Shrink” means Inventory which has been lost, misplaced, stolen, or is otherwise unaccounted for.</w:t>
      </w:r>
    </w:p>
    <w:p>
      <w:pPr>
        <w:spacing w:after="0" w:line="162" w:lineRule="exact"/>
        <w:rPr>
          <w:sz w:val="20"/>
          <w:szCs w:val="20"/>
          <w:color w:val="auto"/>
        </w:rPr>
      </w:pPr>
    </w:p>
    <w:p>
      <w:pPr>
        <w:ind w:right="440"/>
        <w:spacing w:after="0" w:line="347" w:lineRule="auto"/>
        <w:rPr>
          <w:sz w:val="20"/>
          <w:szCs w:val="20"/>
          <w:color w:val="auto"/>
        </w:rPr>
      </w:pPr>
      <w:r>
        <w:rPr>
          <w:rFonts w:ascii="Arial" w:cs="Arial" w:eastAsia="Arial" w:hAnsi="Arial"/>
          <w:sz w:val="18"/>
          <w:szCs w:val="18"/>
          <w:color w:val="231F20"/>
        </w:rPr>
        <w:t>“SOFR” means, with respect to any Business Day, a rate per annum equal to the secured overnight financing rate for such Business Day published by the SOFR Administrator on the SOFR Administrator’s Website on the immediately succeeding Business Day.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31F20"/>
        </w:rPr>
        <w:t>“SOFR Administrator” means the Federal Reserve Bank of New York (or a successor administrator of the secured overnight financing rate).</w:t>
      </w:r>
    </w:p>
    <w:p>
      <w:pPr>
        <w:spacing w:after="0" w:line="212" w:lineRule="exact"/>
        <w:rPr>
          <w:sz w:val="20"/>
          <w:szCs w:val="20"/>
          <w:color w:val="auto"/>
        </w:rPr>
      </w:pPr>
    </w:p>
    <w:p>
      <w:pPr>
        <w:ind w:right="180"/>
        <w:spacing w:after="0" w:line="363" w:lineRule="auto"/>
        <w:rPr>
          <w:sz w:val="20"/>
          <w:szCs w:val="20"/>
          <w:color w:val="auto"/>
        </w:rPr>
      </w:pPr>
      <w:r>
        <w:rPr>
          <w:rFonts w:ascii="Arial" w:cs="Arial" w:eastAsia="Arial" w:hAnsi="Arial"/>
          <w:sz w:val="18"/>
          <w:szCs w:val="18"/>
          <w:color w:val="231F20"/>
        </w:rPr>
        <w:t xml:space="preserve">“SOFR Administrator’s Website” means the website of the Federal Reserve Bank of New York, currently at </w:t>
      </w:r>
      <w:r>
        <w:rPr>
          <w:rFonts w:ascii="Arial" w:cs="Arial" w:eastAsia="Arial" w:hAnsi="Arial"/>
          <w:sz w:val="18"/>
          <w:szCs w:val="18"/>
          <w:color w:val="000000"/>
        </w:rPr>
        <w:t>http://www.newyorkfed.org</w:t>
      </w:r>
      <w:r>
        <w:rPr>
          <w:rFonts w:ascii="Arial" w:cs="Arial" w:eastAsia="Arial" w:hAnsi="Arial"/>
          <w:sz w:val="18"/>
          <w:szCs w:val="18"/>
          <w:color w:val="231F20"/>
        </w:rPr>
        <w:t>, or any successor source for the secured overnight financing rate identified as such by the SOFR Administrator from time to time.</w:t>
      </w:r>
    </w:p>
    <w:p>
      <w:pPr>
        <w:spacing w:after="0" w:line="49"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06" w:lineRule="exact"/>
        <w:rPr>
          <w:sz w:val="20"/>
          <w:szCs w:val="20"/>
          <w:color w:val="auto"/>
        </w:rPr>
      </w:pPr>
    </w:p>
    <w:p>
      <w:pPr>
        <w:ind w:right="740"/>
        <w:spacing w:after="0" w:line="303" w:lineRule="auto"/>
        <w:rPr>
          <w:sz w:val="20"/>
          <w:szCs w:val="20"/>
          <w:color w:val="auto"/>
        </w:rPr>
      </w:pPr>
      <w:r>
        <w:rPr>
          <w:rFonts w:ascii="Arial" w:cs="Arial" w:eastAsia="Arial" w:hAnsi="Arial"/>
          <w:sz w:val="20"/>
          <w:szCs w:val="20"/>
          <w:color w:val="auto"/>
        </w:rPr>
        <w:t xml:space="preserve">“Specified Loan Party”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10.25</w:t>
      </w:r>
      <w:r>
        <w:rPr>
          <w:rFonts w:ascii="Arial" w:cs="Arial" w:eastAsia="Arial" w:hAnsi="Arial"/>
          <w:sz w:val="20"/>
          <w:szCs w:val="20"/>
          <w:color w:val="auto"/>
        </w:rPr>
        <w:t>).</w:t>
      </w:r>
    </w:p>
    <w:p>
      <w:pPr>
        <w:spacing w:after="0" w:line="108"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color w:val="auto"/>
        </w:rPr>
        <w:t>“Standby Letter of Credit” means any Letter of Credit that is not a Commercial Letter of Credit and that (a) is used in lieu or in support of performance guaranties or performance, surety or similar bonds (excluding appeal bonds) arising in the ordinary course of business, (b) is used in lieu or in support of stay or appeal bonds, (c) 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“Stated Amount” means at any time the maximum amount for which a Letter of Credit may be honored.</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“Statutory Reserve Rate” means a fraction (expressed as a decimal), the numerator of which is the number one and the denominator of which is the number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of the maximum reserve percentages (including any basic, marginal, special, emergency, supplemental or other reserves) expressed as a decimal established by the Board to which the Agent is subject for eurocurrency funding (currently referred to as “eurocurrency liabilities” in Regulation D). Such reserve percentages shall</w:t>
      </w:r>
    </w:p>
    <w:p>
      <w:pPr>
        <w:spacing w:after="0" w:line="22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61" w:name="page62"/>
    <w:bookmarkEnd w:id="61"/>
    <w:p>
      <w:pPr>
        <w:ind w:right="40"/>
        <w:spacing w:after="0" w:line="288" w:lineRule="auto"/>
        <w:rPr>
          <w:sz w:val="20"/>
          <w:szCs w:val="20"/>
          <w:color w:val="auto"/>
        </w:rPr>
      </w:pPr>
      <w:r>
        <w:rPr>
          <w:rFonts w:ascii="Arial" w:cs="Arial" w:eastAsia="Arial" w:hAnsi="Arial"/>
          <w:sz w:val="20"/>
          <w:szCs w:val="20"/>
          <w:color w:val="auto"/>
        </w:rPr>
        <w:t>include those imposed pursuant to Regulation D. LIBOR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25"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color w:val="auto"/>
        </w:rPr>
        <w:t>“Store” means any retail store (which may include any Real Estate, fixtures, Equipment, Inventory and other property related thereto) operated, or to be operated, by any Loan Party.</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“Supported QFC” has the meaning set forth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189" w:lineRule="exact"/>
        <w:rPr>
          <w:sz w:val="20"/>
          <w:szCs w:val="20"/>
          <w:color w:val="auto"/>
        </w:rPr>
      </w:pPr>
    </w:p>
    <w:p>
      <w:pPr>
        <w:ind w:right="20"/>
        <w:spacing w:after="0" w:line="300" w:lineRule="auto"/>
        <w:rPr>
          <w:sz w:val="20"/>
          <w:szCs w:val="20"/>
          <w:color w:val="auto"/>
        </w:rPr>
      </w:pPr>
      <w:r>
        <w:rPr>
          <w:rFonts w:ascii="Arial" w:cs="Arial" w:eastAsia="Arial" w:hAnsi="Arial"/>
          <w:sz w:val="19"/>
          <w:szCs w:val="19"/>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04"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“Swap Obligations” means with respect to any Loan Party any obligation to pay or perform under any agreement, contract or transaction that constitutes a “swap” within the meaning of Section 1a(47) of the Commodity Exchange Act.</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“Swing Line Borrowing”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“Swing Line Lender” means Citizens Bank, in its capacity as provider of Swing Line Loans, or any successor swing line lender hereunder.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“Swing Line Loan” has the meaning set forth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75"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 xml:space="preserve">“Swing Line Loan Notice”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which, if in writing, shall be substantially in the form of Exhibit B.</w:t>
      </w:r>
    </w:p>
    <w:p>
      <w:pPr>
        <w:spacing w:after="0" w:line="108" w:lineRule="exact"/>
        <w:rPr>
          <w:sz w:val="20"/>
          <w:szCs w:val="20"/>
          <w:color w:val="auto"/>
        </w:rPr>
      </w:pPr>
    </w:p>
    <w:p>
      <w:pPr>
        <w:ind w:right="220"/>
        <w:spacing w:after="0" w:line="303" w:lineRule="auto"/>
        <w:rPr>
          <w:sz w:val="20"/>
          <w:szCs w:val="20"/>
          <w:color w:val="auto"/>
        </w:rPr>
      </w:pPr>
      <w:r>
        <w:rPr>
          <w:rFonts w:ascii="Arial" w:cs="Arial" w:eastAsia="Arial" w:hAnsi="Arial"/>
          <w:sz w:val="20"/>
          <w:szCs w:val="20"/>
          <w:color w:val="auto"/>
        </w:rPr>
        <w:t>“Swing Line Note” means the promissory note of the Borrowers substantially in the form of Exhibit C-2, payable to the order of the Swing Line Lender, evidencing the Swing Line Loans made by the Swing Line Lender.</w:t>
      </w:r>
    </w:p>
    <w:p>
      <w:pPr>
        <w:spacing w:after="0" w:line="108" w:lineRule="exact"/>
        <w:rPr>
          <w:sz w:val="20"/>
          <w:szCs w:val="20"/>
          <w:color w:val="auto"/>
        </w:rPr>
      </w:pPr>
    </w:p>
    <w:p>
      <w:pPr>
        <w:ind w:right="80"/>
        <w:spacing w:after="0" w:line="325" w:lineRule="auto"/>
        <w:rPr>
          <w:sz w:val="20"/>
          <w:szCs w:val="20"/>
          <w:color w:val="auto"/>
        </w:rPr>
      </w:pPr>
      <w:r>
        <w:rPr>
          <w:rFonts w:ascii="Arial" w:cs="Arial" w:eastAsia="Arial" w:hAnsi="Arial"/>
          <w:sz w:val="18"/>
          <w:szCs w:val="18"/>
          <w:color w:val="auto"/>
        </w:rPr>
        <w:t>“Swing Line Sublimit” means an amount equal to the lesser of (a) $15,000,000 and (b) the Aggregate Revolving Commitments. The Swing Line Sublimit is part of, and not in addition to, the Aggregate Revolving Commitments. A permanent reduction of the Aggregate Revolving Commitments shall not require a corresponding pro rata reduction in the Swing Line Sublimit; provided, however, that if the Aggregate Revolving Commitments are reduced to an amount less than the Swing Line Sublimit, then the Swing Line Sublimit shall be reduced to an amount equal to (or, at Lead Borrower’s option, less than) the Aggregate Revolving Commitments.</w:t>
      </w:r>
    </w:p>
    <w:p>
      <w:pPr>
        <w:spacing w:after="0" w:line="84" w:lineRule="exact"/>
        <w:rPr>
          <w:sz w:val="20"/>
          <w:szCs w:val="20"/>
          <w:color w:val="auto"/>
        </w:rPr>
      </w:pPr>
    </w:p>
    <w:p>
      <w:pPr>
        <w:ind w:right="80"/>
        <w:spacing w:after="0" w:line="308" w:lineRule="auto"/>
        <w:rPr>
          <w:sz w:val="20"/>
          <w:szCs w:val="20"/>
          <w:color w:val="auto"/>
        </w:rPr>
      </w:pPr>
      <w:r>
        <w:rPr>
          <w:rFonts w:ascii="Arial" w:cs="Arial" w:eastAsia="Arial" w:hAnsi="Arial"/>
          <w:sz w:val="19"/>
          <w:szCs w:val="19"/>
          <w:color w:val="auto"/>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07"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62" w:lineRule="exact"/>
        <w:rPr>
          <w:sz w:val="20"/>
          <w:szCs w:val="20"/>
          <w:color w:val="auto"/>
        </w:rPr>
      </w:pPr>
    </w:p>
    <w:p>
      <w:pPr>
        <w:ind w:right="220"/>
        <w:spacing w:after="0" w:line="303" w:lineRule="auto"/>
        <w:rPr>
          <w:sz w:val="20"/>
          <w:szCs w:val="20"/>
          <w:color w:val="auto"/>
        </w:rPr>
      </w:pPr>
      <w:r>
        <w:rPr>
          <w:rFonts w:ascii="Arial" w:cs="Arial" w:eastAsia="Arial" w:hAnsi="Arial"/>
          <w:sz w:val="20"/>
          <w:szCs w:val="20"/>
          <w:color w:val="auto"/>
        </w:rPr>
        <w:t>“Term SOFR” means, for the applicable Corresponding Tenor as of the applicable Reference Time, the forward-looking term rate based on SOFR that has been selected or recommended by the Relevant Governmental Body.</w:t>
      </w:r>
    </w:p>
    <w:p>
      <w:pPr>
        <w:spacing w:after="0" w:line="94" w:lineRule="exact"/>
        <w:rPr>
          <w:sz w:val="20"/>
          <w:szCs w:val="20"/>
          <w:color w:val="auto"/>
        </w:rPr>
      </w:pPr>
    </w:p>
    <w:p>
      <w:pPr>
        <w:jc w:val="both"/>
        <w:ind w:right="180"/>
        <w:spacing w:after="0" w:line="338" w:lineRule="auto"/>
        <w:rPr>
          <w:sz w:val="20"/>
          <w:szCs w:val="20"/>
          <w:color w:val="auto"/>
        </w:rPr>
      </w:pPr>
      <w:r>
        <w:rPr>
          <w:rFonts w:ascii="Arial" w:cs="Arial" w:eastAsia="Arial" w:hAnsi="Arial"/>
          <w:sz w:val="18"/>
          <w:szCs w:val="18"/>
          <w:color w:val="auto"/>
        </w:rPr>
        <w:t xml:space="preserve">“Termination Date” means the earliest to occur of (i) the Maturity Date, (ii) the date on which the maturity of the Obligations is accelerated (or deemed accelerated) and the Aggregate Revolving Commitments are irrevocably terminated (or deemed terminated)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(iii) the termination of the Aggregate Revolving Commitments in accordance with the provisions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hereof.</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“Total Outstandings” means the aggregate Outstanding Amount of all Committed Loans, Swing Line Loans and all L/C Obligations.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“Trademark” has the meaning specified in the Security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“Trading with the Enemy Act” has the meaning set forth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“Type” means, with respect to a Committed Loan, its character as a Base Rate Loan or a LIBOR Rate Loan.</w:t>
      </w:r>
    </w:p>
    <w:p>
      <w:pPr>
        <w:spacing w:after="0" w:line="310"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“UCC” or “Uniform Commercial Code” shall have the meaning given to such term in the Security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“UCP” means the Uniform Customs and Practice for Documentary Credits, International Chamber of Commerce (“ICC”) Publication No.</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600 (or such later version thereof as may be in effect at the time of issuance).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“UFCA” has the meaning set forth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“UFTA” has the meaning set forth in </w:t>
      </w:r>
      <w:r>
        <w:rPr>
          <w:rFonts w:ascii="Arial" w:cs="Arial" w:eastAsia="Arial" w:hAnsi="Arial"/>
          <w:sz w:val="20"/>
          <w:szCs w:val="20"/>
          <w:u w:val="single" w:color="auto"/>
          <w:color w:val="auto"/>
        </w:rPr>
        <w:t>Section 10.21(c)</w:t>
      </w:r>
      <w:r>
        <w:rPr>
          <w:rFonts w:ascii="Arial" w:cs="Arial" w:eastAsia="Arial" w:hAnsi="Arial"/>
          <w:sz w:val="20"/>
          <w:szCs w:val="20"/>
          <w:color w:val="auto"/>
        </w:rPr>
        <w:t>.</w:t>
      </w:r>
    </w:p>
    <w:p>
      <w:pPr>
        <w:spacing w:after="0" w:line="189"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“UK Financial Institution” means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1"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“UK Resolution Authority” means the Bank of England or any other public administrative authority having responsibility for the resolution of any UK Financial Institution.</w:t>
      </w:r>
    </w:p>
    <w:p>
      <w:pPr>
        <w:spacing w:after="0" w:line="108" w:lineRule="exact"/>
        <w:rPr>
          <w:sz w:val="20"/>
          <w:szCs w:val="20"/>
          <w:color w:val="auto"/>
        </w:rPr>
      </w:pPr>
    </w:p>
    <w:p>
      <w:pPr>
        <w:ind w:right="600"/>
        <w:spacing w:after="0" w:line="303" w:lineRule="auto"/>
        <w:rPr>
          <w:sz w:val="20"/>
          <w:szCs w:val="20"/>
          <w:color w:val="auto"/>
        </w:rPr>
      </w:pPr>
      <w:r>
        <w:rPr>
          <w:rFonts w:ascii="Arial" w:cs="Arial" w:eastAsia="Arial" w:hAnsi="Arial"/>
          <w:sz w:val="20"/>
          <w:szCs w:val="20"/>
          <w:color w:val="231F20"/>
        </w:rPr>
        <w:t>“Unadjusted Benchmark Replacement” means the applicable Benchmark Replacement excluding the related Benchmark Replacement Adjustment.</w:t>
      </w:r>
    </w:p>
    <w:p>
      <w:pPr>
        <w:spacing w:after="0" w:line="108" w:lineRule="exact"/>
        <w:rPr>
          <w:sz w:val="20"/>
          <w:szCs w:val="20"/>
          <w:color w:val="auto"/>
        </w:rPr>
      </w:pPr>
    </w:p>
    <w:p>
      <w:pPr>
        <w:ind w:right="100"/>
        <w:spacing w:after="0" w:line="338" w:lineRule="auto"/>
        <w:rPr>
          <w:sz w:val="20"/>
          <w:szCs w:val="20"/>
          <w:color w:val="auto"/>
        </w:rPr>
      </w:pPr>
      <w:r>
        <w:rPr>
          <w:rFonts w:ascii="Arial" w:cs="Arial" w:eastAsia="Arial" w:hAnsi="Arial"/>
          <w:sz w:val="18"/>
          <w:szCs w:val="18"/>
          <w:color w:val="auto"/>
        </w:rPr>
        <w:t>“Unintentional Overadvance” means an Overadvance which, to the Agent’s knowledge, did not constitute an Overadvance when made but which has become an Overadvance resulting from changed circumstances beyond the control of the Credit Parties, including, without limitation, a reduction in the Appraised Value of property or assets included in the Borrowing Base or misrepresentation by the Loan Parties.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“United States” and “U.S.” mean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“Unreimbursed Amount” has the meaning set forth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“USD LIBOR” means the London interbank offered rate for U.S. dollars as set forth in the definition of “LIBOR Rate”.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“U.S. Person” means any Person that is a “United States Person” as defined in Section 7701(a)(30) of the Code.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“U.S. Special Resolution Regimes” has the meaning set forth in </w:t>
      </w:r>
      <w:r>
        <w:rPr>
          <w:rFonts w:ascii="Arial" w:cs="Arial" w:eastAsia="Arial" w:hAnsi="Arial"/>
          <w:sz w:val="20"/>
          <w:szCs w:val="20"/>
          <w:u w:val="single" w:color="auto"/>
          <w:color w:val="auto"/>
        </w:rPr>
        <w:t>Section 10.26</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“U.S. Tax Compliance Certificate” has the meaning set forth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175"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“Write-Down and Conversion Powers” means (a) the write-down and conversion powers of the applicable EEA Resolution Authority from time to time under the Bail-In Legislation for the applicable EEA Member Country, which powers are described in the EU Bail-In Legislation Schedule; or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w:t>
      </w:r>
    </w:p>
    <w:p>
      <w:pPr>
        <w:spacing w:after="0" w:line="21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respect of that liability or any of the powers under that Bail-In Legislation that are related to or ancillary to any of those powers.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 Other Interpretive Provisions</w:t>
      </w:r>
    </w:p>
    <w:p>
      <w:pPr>
        <w:spacing w:after="0" w:line="181"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11" w:lineRule="exact"/>
        <w:rPr>
          <w:rFonts w:ascii="Arial" w:cs="Arial" w:eastAsia="Arial" w:hAnsi="Arial"/>
          <w:sz w:val="18"/>
          <w:szCs w:val="18"/>
          <w:color w:val="auto"/>
        </w:rPr>
      </w:pPr>
    </w:p>
    <w:p>
      <w:pPr>
        <w:ind w:left="1600" w:firstLine="799"/>
        <w:spacing w:after="0" w:line="313" w:lineRule="auto"/>
        <w:tabs>
          <w:tab w:leader="none" w:pos="2997"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or supplemented from time to time, and</w:t>
      </w:r>
    </w:p>
    <w:p>
      <w:pPr>
        <w:ind w:left="1600" w:right="180"/>
        <w:spacing w:after="0" w:line="331" w:lineRule="auto"/>
        <w:tabs>
          <w:tab w:leader="none" w:pos="1935"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85" w:lineRule="exact"/>
        <w:rPr>
          <w:rFonts w:ascii="Arial" w:cs="Arial" w:eastAsia="Arial" w:hAnsi="Arial"/>
          <w:sz w:val="19"/>
          <w:szCs w:val="19"/>
          <w:color w:val="auto"/>
        </w:rPr>
      </w:pPr>
    </w:p>
    <w:p>
      <w:pPr>
        <w:jc w:val="both"/>
        <w:ind w:left="1600" w:right="260" w:firstLine="799"/>
        <w:spacing w:after="0" w:line="292" w:lineRule="auto"/>
        <w:tabs>
          <w:tab w:leader="none" w:pos="2997" w:val="left"/>
        </w:tabs>
        <w:numPr>
          <w:ilvl w:val="2"/>
          <w:numId w:val="4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 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spacing w:after="0" w:line="105" w:lineRule="exact"/>
        <w:rPr>
          <w:rFonts w:ascii="Arial" w:cs="Arial" w:eastAsia="Arial" w:hAnsi="Arial"/>
          <w:sz w:val="20"/>
          <w:szCs w:val="20"/>
          <w:color w:val="auto"/>
        </w:rPr>
      </w:pPr>
    </w:p>
    <w:p>
      <w:pPr>
        <w:ind w:left="1600" w:right="300" w:firstLine="799"/>
        <w:spacing w:after="0" w:line="303" w:lineRule="auto"/>
        <w:tabs>
          <w:tab w:leader="none" w:pos="2997" w:val="left"/>
        </w:tabs>
        <w:numPr>
          <w:ilvl w:val="2"/>
          <w:numId w:val="4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07" w:lineRule="exact"/>
        <w:rPr>
          <w:rFonts w:ascii="Arial" w:cs="Arial" w:eastAsia="Arial" w:hAnsi="Arial"/>
          <w:sz w:val="20"/>
          <w:szCs w:val="20"/>
          <w:color w:val="auto"/>
        </w:rPr>
      </w:pPr>
    </w:p>
    <w:p>
      <w:pPr>
        <w:ind w:left="1600" w:firstLine="799"/>
        <w:spacing w:after="0" w:line="285" w:lineRule="auto"/>
        <w:tabs>
          <w:tab w:leader="none" w:pos="2997" w:val="left"/>
        </w:tabs>
        <w:numPr>
          <w:ilvl w:val="2"/>
          <w:numId w:val="49"/>
        </w:numPr>
        <w:rPr>
          <w:rFonts w:ascii="Arial" w:cs="Arial" w:eastAsia="Arial" w:hAnsi="Arial"/>
          <w:sz w:val="20"/>
          <w:szCs w:val="20"/>
          <w:color w:val="auto"/>
        </w:rPr>
      </w:pPr>
      <w:r>
        <w:rPr>
          <w:rFonts w:ascii="Arial" w:cs="Arial" w:eastAsia="Arial" w:hAnsi="Arial"/>
          <w:sz w:val="20"/>
          <w:szCs w:val="20"/>
          <w:color w:val="auto"/>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w:t>
      </w:r>
    </w:p>
    <w:p>
      <w:pPr>
        <w:spacing w:after="0" w:line="24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65" w:name="page66"/>
    <w:bookmarkEnd w:id="65"/>
    <w:p>
      <w:pPr>
        <w:jc w:val="both"/>
        <w:ind w:left="1592" w:right="140"/>
        <w:spacing w:after="0" w:line="288" w:lineRule="auto"/>
        <w:rPr>
          <w:sz w:val="20"/>
          <w:szCs w:val="20"/>
          <w:color w:val="auto"/>
        </w:rPr>
      </w:pPr>
      <w:r>
        <w:rPr>
          <w:rFonts w:ascii="Arial" w:cs="Arial" w:eastAsia="Arial" w:hAnsi="Arial"/>
          <w:sz w:val="20"/>
          <w:szCs w:val="20"/>
          <w:color w:val="auto"/>
        </w:rPr>
        <w:t>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spacing w:after="0" w:line="125" w:lineRule="exact"/>
        <w:rPr>
          <w:sz w:val="20"/>
          <w:szCs w:val="20"/>
          <w:color w:val="auto"/>
        </w:rPr>
      </w:pPr>
    </w:p>
    <w:p>
      <w:pPr>
        <w:ind w:left="1592" w:firstLine="799"/>
        <w:spacing w:after="0" w:line="302" w:lineRule="auto"/>
        <w:tabs>
          <w:tab w:leader="none" w:pos="2989"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94"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1.03 Accounting Terms</w:t>
      </w:r>
    </w:p>
    <w:p>
      <w:pPr>
        <w:spacing w:after="0" w:line="195" w:lineRule="exact"/>
        <w:rPr>
          <w:sz w:val="20"/>
          <w:szCs w:val="20"/>
          <w:color w:val="auto"/>
        </w:rPr>
      </w:pPr>
    </w:p>
    <w:p>
      <w:pPr>
        <w:ind w:left="312" w:right="100" w:hanging="219"/>
        <w:spacing w:after="0" w:line="308"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w:t>
      </w:r>
    </w:p>
    <w:p>
      <w:pPr>
        <w:spacing w:after="0" w:line="107" w:lineRule="exact"/>
        <w:rPr>
          <w:sz w:val="20"/>
          <w:szCs w:val="20"/>
          <w:color w:val="auto"/>
        </w:rPr>
      </w:pPr>
    </w:p>
    <w:p>
      <w:pPr>
        <w:ind w:left="332" w:hanging="230"/>
        <w:spacing w:after="0" w:line="317"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Lead Borrower or the Required Lenders shall so request, the Agent, the Lenders and the Lead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Lead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ASU No. 2016-02, Leases (Topic 842), to the extent such adoption would require treating any lease (or similar arrangement conveying the right to use) as a Capital Lease Obligation where such lease (or similar arrangement) would not have been required to be so treated under GAAP as in effect on December 31, 2015.</w:t>
      </w:r>
    </w:p>
    <w:p>
      <w:pPr>
        <w:spacing w:after="0" w:line="88"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1.04 Rounding</w:t>
      </w:r>
    </w:p>
    <w:p>
      <w:pPr>
        <w:spacing w:after="0" w:line="195" w:lineRule="exact"/>
        <w:rPr>
          <w:sz w:val="20"/>
          <w:szCs w:val="20"/>
          <w:color w:val="auto"/>
        </w:rPr>
      </w:pPr>
    </w:p>
    <w:p>
      <w:pPr>
        <w:ind w:left="-8" w:right="580" w:firstLine="8"/>
        <w:spacing w:after="0" w:line="338" w:lineRule="auto"/>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5" w:lineRule="exact"/>
        <w:rPr>
          <w:sz w:val="20"/>
          <w:szCs w:val="20"/>
          <w:color w:val="auto"/>
        </w:rPr>
      </w:pPr>
    </w:p>
    <w:p>
      <w:pPr>
        <w:ind w:left="12"/>
        <w:spacing w:after="0"/>
        <w:tabs>
          <w:tab w:leader="none" w:pos="543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253365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6" w:right="359" w:bottom="1440" w:gutter="0" w:footer="0" w:header="0"/>
        </w:sectPr>
      </w:pPr>
    </w:p>
    <w:bookmarkStart w:id="66" w:name="page67"/>
    <w:bookmarkEnd w:id="66"/>
    <w:p>
      <w:pPr>
        <w:ind w:left="840"/>
        <w:spacing w:after="0"/>
        <w:rPr>
          <w:sz w:val="20"/>
          <w:szCs w:val="20"/>
          <w:color w:val="auto"/>
        </w:rPr>
      </w:pPr>
      <w:r>
        <w:rPr>
          <w:rFonts w:ascii="Arial" w:cs="Arial" w:eastAsia="Arial" w:hAnsi="Arial"/>
          <w:sz w:val="20"/>
          <w:szCs w:val="20"/>
          <w:b w:val="1"/>
          <w:bCs w:val="1"/>
          <w:color w:val="auto"/>
        </w:rPr>
        <w:t>1.05 Times of Day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1.06 Divisions</w:t>
      </w:r>
    </w:p>
    <w:p>
      <w:pPr>
        <w:spacing w:after="0" w:line="195" w:lineRule="exact"/>
        <w:rPr>
          <w:sz w:val="20"/>
          <w:szCs w:val="20"/>
          <w:color w:val="auto"/>
        </w:rPr>
      </w:pPr>
    </w:p>
    <w:p>
      <w:pPr>
        <w:ind w:firstLine="8"/>
        <w:spacing w:after="0" w:line="288" w:lineRule="auto"/>
        <w:tabs>
          <w:tab w:leader="none" w:pos="148"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all purposes under the Loan Documents, in connection with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1.07 Interest Rates</w:t>
      </w:r>
    </w:p>
    <w:p>
      <w:pPr>
        <w:spacing w:after="0" w:line="181" w:lineRule="exact"/>
        <w:rPr>
          <w:sz w:val="20"/>
          <w:szCs w:val="20"/>
          <w:color w:val="auto"/>
        </w:rPr>
      </w:pPr>
    </w:p>
    <w:p>
      <w:pPr>
        <w:ind w:firstLine="8"/>
        <w:spacing w:after="0" w:line="315" w:lineRule="auto"/>
        <w:tabs>
          <w:tab w:leader="none" w:pos="1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interest rate on LIBOR Rate Loans is determined by reference to the LIBOR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(the “FCA”) announced that, after the end of 2021, it would no longer persuade or compel contributing banks to make rate submissions to the ICE Benchmark Administration (together with any successor to the ICE Benchmark Administration, the “IBA”) for purposes of the IBA setting the London interbank offered rate. In November 2020, the IBA, in coordination with the FCA, announced that it will consult the market regarding its intention to cease publication of LIBOR settings for most currencies and tenors as of December 31, 2021, while continuing to publish USD LIBOR settings for most tenors until June 30, 2023. As a result, it is possible that, in the future, the London interbank offered rate may become unavailable or may no longer be deemed an appropriate reference rate upon which to determine the interest rate on LIBOR Rate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an alternative rate of interest may be selected and implemented in accordance with the mechanism contained in such Section. The Agent will notify the Lead Borrower, pursuant to Section 3.03(b), in advance of any change to the reference rate upon which the interest rate on LIBOR Rate Loans is based. However, the Agent does not warrant, nor accept responsibility, nor shall the Agent have any liability with respect to the administration, submission or any other matter related to the rates in the definition of “LIBOR Rate” or with respect to any comparable or successor rate thereto or replacement rate thereof, including, without limitation, whether the composition or characteristics of any such alternative, successor or replacement reference rate, as it may or may not be adjusted pursuant to </w:t>
      </w:r>
      <w:r>
        <w:rPr>
          <w:rFonts w:ascii="Arial" w:cs="Arial" w:eastAsia="Arial" w:hAnsi="Arial"/>
          <w:sz w:val="18"/>
          <w:szCs w:val="18"/>
          <w:u w:val="single" w:color="auto"/>
          <w:color w:val="auto"/>
        </w:rPr>
        <w:t>Section 3.03(b)</w:t>
      </w:r>
      <w:r>
        <w:rPr>
          <w:rFonts w:ascii="Arial" w:cs="Arial" w:eastAsia="Arial" w:hAnsi="Arial"/>
          <w:sz w:val="18"/>
          <w:szCs w:val="18"/>
          <w:color w:val="auto"/>
        </w:rPr>
        <w:t>, will be similar to, or produce the same value or economic equivalence of, the LIBOR Rate or have the same volume or liquidity as did the London interbank offered rate prior to its discontinuance or unavailability.</w:t>
      </w:r>
    </w:p>
    <w:p>
      <w:pPr>
        <w:spacing w:after="0" w:line="238"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2.01 Loans; Reserves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1600" w:right="240" w:firstLine="799"/>
        <w:spacing w:after="0" w:line="305" w:lineRule="auto"/>
        <w:tabs>
          <w:tab w:leader="none" w:pos="2997"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each Revolving Lender severally agrees to make loans (each such loan, a “</w:t>
      </w:r>
      <w:r>
        <w:rPr>
          <w:rFonts w:ascii="Arial" w:cs="Arial" w:eastAsia="Arial" w:hAnsi="Arial"/>
          <w:sz w:val="19"/>
          <w:szCs w:val="19"/>
          <w:u w:val="single" w:color="auto"/>
          <w:color w:val="auto"/>
        </w:rPr>
        <w:t>Committed Loan</w:t>
      </w:r>
      <w:r>
        <w:rPr>
          <w:rFonts w:ascii="Arial" w:cs="Arial" w:eastAsia="Arial" w:hAnsi="Arial"/>
          <w:sz w:val="19"/>
          <w:szCs w:val="19"/>
          <w:color w:val="auto"/>
        </w:rPr>
        <w:t>”) to the Borrowers from time to time, on any Business Day during the Availability Period, in an aggregate amount not to exceed at any time outstanding the lesser of (x) the amount of such Revolving Lender’s Revolving Commitment, or (y) such Revolving Lender’s Applicable Percentage of the Borrowing Base; subject in each case to the following limitations:</w:t>
      </w:r>
    </w:p>
    <w:p>
      <w:pPr>
        <w:spacing w:after="0" w:line="110" w:lineRule="exact"/>
        <w:rPr>
          <w:rFonts w:ascii="Arial" w:cs="Arial" w:eastAsia="Arial" w:hAnsi="Arial"/>
          <w:sz w:val="19"/>
          <w:szCs w:val="19"/>
          <w:color w:val="auto"/>
        </w:rPr>
      </w:pPr>
    </w:p>
    <w:p>
      <w:pPr>
        <w:ind w:left="2340" w:right="400" w:firstLine="1351"/>
        <w:spacing w:after="0" w:line="303" w:lineRule="auto"/>
        <w:tabs>
          <w:tab w:leader="none" w:pos="5134" w:val="left"/>
        </w:tabs>
        <w:numPr>
          <w:ilvl w:val="1"/>
          <w:numId w:val="54"/>
        </w:numPr>
        <w:rPr>
          <w:rFonts w:ascii="Arial" w:cs="Arial" w:eastAsia="Arial" w:hAnsi="Arial"/>
          <w:sz w:val="20"/>
          <w:szCs w:val="20"/>
          <w:color w:val="auto"/>
        </w:rPr>
      </w:pPr>
      <w:r>
        <w:rPr>
          <w:rFonts w:ascii="Arial" w:cs="Arial" w:eastAsia="Arial" w:hAnsi="Arial"/>
          <w:sz w:val="20"/>
          <w:szCs w:val="20"/>
          <w:color w:val="auto"/>
        </w:rPr>
        <w:t>after giving effect to any Committed Borrowing, the Total Outstandings shall not exceed the Revolving Loan Cap;</w:t>
      </w:r>
    </w:p>
    <w:p>
      <w:pPr>
        <w:spacing w:after="0" w:line="94" w:lineRule="exact"/>
        <w:rPr>
          <w:rFonts w:ascii="Arial" w:cs="Arial" w:eastAsia="Arial" w:hAnsi="Arial"/>
          <w:sz w:val="20"/>
          <w:szCs w:val="20"/>
          <w:color w:val="auto"/>
        </w:rPr>
      </w:pPr>
    </w:p>
    <w:p>
      <w:pPr>
        <w:ind w:left="2340" w:right="100" w:firstLine="1305"/>
        <w:spacing w:after="0" w:line="287" w:lineRule="auto"/>
        <w:tabs>
          <w:tab w:leader="none" w:pos="5134"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after giving effect to any Committed Borrowing, the aggregate Outstanding Amount of the Committed Loans of any Revolving Lender,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Percentage of the Outstanding Amount of all L/C Obligations,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Revolving Lender’s Applicable Percentage of the Outstanding Amount of all Swing Line Loans shall not exceed such Revolving Lender’s Revolving Commitment; and</w:t>
      </w:r>
    </w:p>
    <w:p>
      <w:pPr>
        <w:spacing w:after="0" w:line="123" w:lineRule="exact"/>
        <w:rPr>
          <w:rFonts w:ascii="Arial" w:cs="Arial" w:eastAsia="Arial" w:hAnsi="Arial"/>
          <w:sz w:val="20"/>
          <w:szCs w:val="20"/>
          <w:color w:val="auto"/>
        </w:rPr>
      </w:pPr>
    </w:p>
    <w:p>
      <w:pPr>
        <w:ind w:left="5140" w:hanging="1541"/>
        <w:spacing w:after="0"/>
        <w:tabs>
          <w:tab w:leader="none" w:pos="51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Outstanding Amount of all L/C Obligations shall not at any time exceed</w:t>
      </w:r>
    </w:p>
    <w:p>
      <w:pPr>
        <w:spacing w:after="0" w:line="6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20"/>
          <w:szCs w:val="20"/>
          <w:color w:val="auto"/>
        </w:rPr>
        <w:t>the Letter of Credit Sublimit.</w:t>
      </w:r>
    </w:p>
    <w:p>
      <w:pPr>
        <w:spacing w:after="0" w:line="189"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color w:val="auto"/>
        </w:rPr>
        <w:t xml:space="preserve">Within the limits of each Revolving Lender’s Revolving Commitment, and subject to the other terms and conditions hereof, the Borrowers may borrow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2.02 Borrowings, Conversions and Continuations of Committed Loans</w:t>
      </w:r>
      <w:r>
        <w:rPr>
          <w:rFonts w:ascii="Arial" w:cs="Arial" w:eastAsia="Arial" w:hAnsi="Arial"/>
          <w:sz w:val="20"/>
          <w:szCs w:val="20"/>
          <w:color w:val="auto"/>
        </w:rPr>
        <w:t>.</w:t>
      </w:r>
    </w:p>
    <w:p>
      <w:pPr>
        <w:spacing w:after="0" w:line="195" w:lineRule="exact"/>
        <w:rPr>
          <w:sz w:val="20"/>
          <w:szCs w:val="20"/>
          <w:color w:val="auto"/>
        </w:rPr>
      </w:pPr>
    </w:p>
    <w:p>
      <w:pPr>
        <w:ind w:left="320" w:right="220" w:hanging="219"/>
        <w:spacing w:after="0" w:line="314" w:lineRule="auto"/>
        <w:rPr>
          <w:sz w:val="20"/>
          <w:szCs w:val="20"/>
          <w:color w:val="auto"/>
        </w:rPr>
      </w:pPr>
      <w:r>
        <w:rPr>
          <w:rFonts w:ascii="Arial" w:cs="Arial" w:eastAsia="Arial" w:hAnsi="Arial"/>
          <w:sz w:val="19"/>
          <w:szCs w:val="19"/>
          <w:color w:val="auto"/>
        </w:rPr>
        <w:t xml:space="preserve">(a)Committed Loans (other than Swing Line Loans) shall be either Base Rate Loans or LIBOR Rate Loans as the Lead Borrower may request subject to and in accordance with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All Swing Line Loans shall be only Base Rate Loans. Subject to the other provisions of this </w:t>
      </w:r>
      <w:r>
        <w:rPr>
          <w:rFonts w:ascii="Arial" w:cs="Arial" w:eastAsia="Arial" w:hAnsi="Arial"/>
          <w:sz w:val="19"/>
          <w:szCs w:val="19"/>
          <w:u w:val="single" w:color="auto"/>
          <w:color w:val="auto"/>
        </w:rPr>
        <w:t>Section 2.02</w:t>
      </w:r>
      <w:r>
        <w:rPr>
          <w:rFonts w:ascii="Arial" w:cs="Arial" w:eastAsia="Arial" w:hAnsi="Arial"/>
          <w:sz w:val="19"/>
          <w:szCs w:val="19"/>
          <w:color w:val="auto"/>
        </w:rPr>
        <w:t>, Committed Borrowings of more than one Type may be incurred at the same time.</w:t>
      </w:r>
    </w:p>
    <w:p>
      <w:pPr>
        <w:spacing w:after="0" w:line="101" w:lineRule="exact"/>
        <w:rPr>
          <w:sz w:val="20"/>
          <w:szCs w:val="20"/>
          <w:color w:val="auto"/>
        </w:rPr>
      </w:pPr>
    </w:p>
    <w:p>
      <w:pPr>
        <w:ind w:left="340" w:hanging="230"/>
        <w:spacing w:after="0" w:line="313" w:lineRule="auto"/>
        <w:rPr>
          <w:sz w:val="20"/>
          <w:szCs w:val="20"/>
          <w:color w:val="auto"/>
        </w:rPr>
      </w:pPr>
      <w:r>
        <w:rPr>
          <w:rFonts w:ascii="Arial" w:cs="Arial" w:eastAsia="Arial" w:hAnsi="Arial"/>
          <w:sz w:val="18"/>
          <w:szCs w:val="18"/>
          <w:color w:val="auto"/>
        </w:rPr>
        <w:t xml:space="preserve">(b)Each Committed Borrowing, each Conversion of Committed Loans from one Type to the other, and each continuation of LIBOR Rate Loans shall be made upon the Lead Borrower’s irrevocable notice to the Agent, which may be given by telephone. Each such notice must be received by the Agent not later than 1:00 p.m. (i) three (3) Business Days prior to the requested date of any Borrowing of, Conversion to or continuation of LIBOR Rate Loans or of any Conversion of LIBOR Rate Loans to Base Rate Loans, and (ii) one (1) Business Day prior to the requested date of any Borrowing of Base Rate Loans. Each telephonic notice by the Lead Borrower pursuant to this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must be confirmed promptly by delivery to the Agent of a written Committed Loan Notice, appropriately completed and signed by a Responsible Officer of the Lead Borrower. Each Borrowing of, Conversion to or continuation of LIBOR Rate Loans shall be in a principal amount of $1,000,000 or a whole multiple of $100,000 in excess thereof. Except as provided in </w:t>
      </w:r>
      <w:r>
        <w:rPr>
          <w:rFonts w:ascii="Arial" w:cs="Arial" w:eastAsia="Arial" w:hAnsi="Arial"/>
          <w:sz w:val="18"/>
          <w:szCs w:val="18"/>
          <w:u w:val="single" w:color="auto"/>
          <w:color w:val="auto"/>
        </w:rPr>
        <w:t>Sections</w:t>
      </w:r>
    </w:p>
    <w:p>
      <w:pPr>
        <w:ind w:left="340" w:right="160"/>
        <w:spacing w:after="0" w:line="303" w:lineRule="auto"/>
        <w:rPr>
          <w:sz w:val="20"/>
          <w:szCs w:val="20"/>
          <w:color w:val="auto"/>
        </w:rPr>
      </w:pPr>
      <w:r>
        <w:rPr>
          <w:rFonts w:ascii="Arial" w:cs="Arial" w:eastAsia="Arial" w:hAnsi="Arial"/>
          <w:sz w:val="20"/>
          <w:szCs w:val="20"/>
          <w:u w:val="single" w:color="auto"/>
          <w:color w:val="auto"/>
        </w:rPr>
        <w:t>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2.04(c)</w:t>
      </w:r>
      <w:r>
        <w:rPr>
          <w:rFonts w:ascii="Arial" w:cs="Arial" w:eastAsia="Arial" w:hAnsi="Arial"/>
          <w:sz w:val="20"/>
          <w:szCs w:val="20"/>
          <w:color w:val="auto"/>
        </w:rPr>
        <w:t>, each Borrowing of or Conversion to Base Rate Loans shall be in sum minimum amounts as the Agent may require. Each Committed Loan Notice</w:t>
      </w:r>
    </w:p>
    <w:p>
      <w:pPr>
        <w:spacing w:after="0" w:line="2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68" w:name="page69"/>
    <w:bookmarkEnd w:id="68"/>
    <w:p>
      <w:pPr>
        <w:ind w:left="80" w:right="80"/>
        <w:spacing w:after="0" w:line="313" w:lineRule="auto"/>
        <w:rPr>
          <w:sz w:val="20"/>
          <w:szCs w:val="20"/>
          <w:color w:val="auto"/>
        </w:rPr>
      </w:pPr>
      <w:r>
        <w:rPr>
          <w:rFonts w:ascii="Arial" w:cs="Arial" w:eastAsia="Arial" w:hAnsi="Arial"/>
          <w:sz w:val="18"/>
          <w:szCs w:val="18"/>
          <w:color w:val="auto"/>
        </w:rPr>
        <w:t>(whether telephonic or written) shall specify (i) whether the Lead Borrower is requesting a Committed Borrowing or a Conversion of Committed Loans from one Type to the other, or a continuation of LIBOR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and</w:t>
      </w:r>
    </w:p>
    <w:p>
      <w:pPr>
        <w:ind w:left="80" w:right="60" w:firstLine="2"/>
        <w:spacing w:after="0" w:line="302" w:lineRule="auto"/>
        <w:tabs>
          <w:tab w:leader="none" w:pos="3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applicable, the duration of the Interest Period with respect thereto. If the Lead Borrower fails to specify a Type of Committed Loan in a Committed Loan Notice or if the Lead Borrower fails to give a timely notice requesting a Conversion or continuation, then the applicable Committed Loans shall be made as, or Converted to, Base Rate Loans. Any such automatic Conversion to Base Rate Loans shall be effective as of the last day of the Interest Period then in effect with respect to the applicable LIBOR Rate Loans. If the Lead Borrower requests a Borrowing of, Conversion to, or continuation of LIBOR Rate Loans in any such Committed Loan Notice, but fails to specify an Interest Period, it will be deemed to have specified an Interest Period of one month. Notwithstanding anything to the contrary herein, a Swing Line Loan may not be Converted to a LIBOR Rate Loan.</w:t>
      </w:r>
    </w:p>
    <w:p>
      <w:pPr>
        <w:spacing w:after="0" w:line="114" w:lineRule="exact"/>
        <w:rPr>
          <w:sz w:val="20"/>
          <w:szCs w:val="20"/>
          <w:color w:val="auto"/>
        </w:rPr>
      </w:pPr>
    </w:p>
    <w:p>
      <w:pPr>
        <w:ind w:left="300" w:hanging="219"/>
        <w:spacing w:after="0" w:line="317" w:lineRule="auto"/>
        <w:rPr>
          <w:sz w:val="20"/>
          <w:szCs w:val="20"/>
          <w:color w:val="auto"/>
        </w:rPr>
      </w:pPr>
      <w:r>
        <w:rPr>
          <w:rFonts w:ascii="Arial" w:cs="Arial" w:eastAsia="Arial" w:hAnsi="Arial"/>
          <w:sz w:val="18"/>
          <w:szCs w:val="18"/>
          <w:color w:val="auto"/>
        </w:rPr>
        <w:t xml:space="preserve">(c)Following receipt of a Committed Loan Notice, the Agent shall promptly notify each Revolving Lender of the amount of its Applicable Percentage of the applicable Committed Loans, and if no timely notice of a Conversion or continuation is provided by the Lead Borrower, the Agent shall notify each Lender of the details of any automatic Conversion to Base Rate Loans described in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In the case of a Committed Borrowing, each Revolving Lender shall make the amount of its Committed Loan available to the Agent in immediately available funds at the Agent’s Office not later than 2:00 p.m.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Agent shall make all funds so received available to the Borrowers in like funds as received by the Agent either by (i) crediting the account of the Lead Borrower on the books of Citizens Bank with the amount of such funds or (ii) wire transfer of such funds, in each case in accordance with instructions provided to (and reasonably acceptable to) the Agent by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Committed Loan Notice with respect to such Borrowing is given by the Lead Borrower,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Borrowers as provided above.</w:t>
      </w:r>
    </w:p>
    <w:p>
      <w:pPr>
        <w:spacing w:after="0" w:line="94" w:lineRule="exact"/>
        <w:rPr>
          <w:sz w:val="20"/>
          <w:szCs w:val="20"/>
          <w:color w:val="auto"/>
        </w:rPr>
      </w:pPr>
    </w:p>
    <w:p>
      <w:pPr>
        <w:ind w:left="320" w:right="120" w:hanging="230"/>
        <w:spacing w:after="0" w:line="285" w:lineRule="auto"/>
        <w:rPr>
          <w:sz w:val="20"/>
          <w:szCs w:val="20"/>
          <w:color w:val="auto"/>
        </w:rPr>
      </w:pPr>
      <w:r>
        <w:rPr>
          <w:rFonts w:ascii="Arial" w:cs="Arial" w:eastAsia="Arial" w:hAnsi="Arial"/>
          <w:sz w:val="20"/>
          <w:szCs w:val="20"/>
          <w:color w:val="auto"/>
        </w:rPr>
        <w:t xml:space="preserve">(d)The Agent, without the request of the Lead Borrower, may advance any interest, fee, service charge (including direct wire fees), expenses, or other payment to which any Credit Party is entitled from the Loan Parties pursuant hereto or any other Loan Document and may charge the same to the Loan Account notwithstanding that an Overadvance may result thereby. The Agent shall advise the Lead Borrower of any such advance or charge promptly after the making thereof. Such action on the part of the Agent shall not constitute a waiver of the Agent’s rights and the Borrowers’ obligations under </w:t>
      </w:r>
      <w:r>
        <w:rPr>
          <w:rFonts w:ascii="Arial" w:cs="Arial" w:eastAsia="Arial" w:hAnsi="Arial"/>
          <w:sz w:val="20"/>
          <w:szCs w:val="20"/>
          <w:u w:val="single" w:color="auto"/>
          <w:color w:val="auto"/>
        </w:rPr>
        <w:t>Section 2.05(c)</w:t>
      </w:r>
      <w:r>
        <w:rPr>
          <w:rFonts w:ascii="Arial" w:cs="Arial" w:eastAsia="Arial" w:hAnsi="Arial"/>
          <w:sz w:val="20"/>
          <w:szCs w:val="20"/>
          <w:color w:val="auto"/>
        </w:rPr>
        <w:t xml:space="preserve">. Any amount which is added to the principal balance of the Loan Account and as provided in this </w:t>
      </w:r>
      <w:r>
        <w:rPr>
          <w:rFonts w:ascii="Arial" w:cs="Arial" w:eastAsia="Arial" w:hAnsi="Arial"/>
          <w:sz w:val="20"/>
          <w:szCs w:val="20"/>
          <w:u w:val="single" w:color="auto"/>
          <w:color w:val="auto"/>
        </w:rPr>
        <w:t>Section 2.02(d)</w:t>
      </w:r>
      <w:r>
        <w:rPr>
          <w:rFonts w:ascii="Arial" w:cs="Arial" w:eastAsia="Arial" w:hAnsi="Arial"/>
          <w:sz w:val="20"/>
          <w:szCs w:val="20"/>
          <w:color w:val="auto"/>
        </w:rPr>
        <w:t>, shall bear interest at the interest rate then and thereafter applicable to Base Rate Loans, as applicable.</w:t>
      </w:r>
    </w:p>
    <w:p>
      <w:pPr>
        <w:spacing w:after="0" w:line="127" w:lineRule="exact"/>
        <w:rPr>
          <w:sz w:val="20"/>
          <w:szCs w:val="20"/>
          <w:color w:val="auto"/>
        </w:rPr>
      </w:pPr>
    </w:p>
    <w:p>
      <w:pPr>
        <w:ind w:left="300" w:right="260" w:hanging="219"/>
        <w:spacing w:after="0" w:line="303" w:lineRule="auto"/>
        <w:rPr>
          <w:sz w:val="20"/>
          <w:szCs w:val="20"/>
          <w:color w:val="auto"/>
        </w:rPr>
      </w:pPr>
      <w:r>
        <w:rPr>
          <w:rFonts w:ascii="Arial" w:cs="Arial" w:eastAsia="Arial" w:hAnsi="Arial"/>
          <w:sz w:val="20"/>
          <w:szCs w:val="20"/>
          <w:color w:val="auto"/>
        </w:rPr>
        <w:t>(e)Except as otherwise provided herein, a LIBOR Rate Loan may be continued or Converted only on the last day of an Interest Period for such LIBOR Rate Loan. During the existence of a Default or an</w:t>
      </w:r>
    </w:p>
    <w:p>
      <w:pPr>
        <w:spacing w:after="0" w:line="229"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69" w:name="page70"/>
    <w:bookmarkEnd w:id="69"/>
    <w:p>
      <w:pPr>
        <w:ind w:left="80" w:right="440"/>
        <w:spacing w:after="0" w:line="303" w:lineRule="auto"/>
        <w:rPr>
          <w:sz w:val="20"/>
          <w:szCs w:val="20"/>
          <w:color w:val="auto"/>
        </w:rPr>
      </w:pPr>
      <w:r>
        <w:rPr>
          <w:rFonts w:ascii="Arial" w:cs="Arial" w:eastAsia="Arial" w:hAnsi="Arial"/>
          <w:sz w:val="20"/>
          <w:szCs w:val="20"/>
          <w:color w:val="auto"/>
        </w:rPr>
        <w:t>Event of Default, no Loans may be requested as, Converted to or continued as LIBOR Rate Loans without the Consent of the Required Lenders.</w:t>
      </w:r>
    </w:p>
    <w:p>
      <w:pPr>
        <w:spacing w:after="0" w:line="108" w:lineRule="exact"/>
        <w:rPr>
          <w:sz w:val="20"/>
          <w:szCs w:val="20"/>
          <w:color w:val="auto"/>
        </w:rPr>
      </w:pPr>
    </w:p>
    <w:p>
      <w:pPr>
        <w:ind w:left="280" w:right="80" w:hanging="197"/>
        <w:spacing w:after="0" w:line="288" w:lineRule="auto"/>
        <w:rPr>
          <w:sz w:val="20"/>
          <w:szCs w:val="20"/>
          <w:color w:val="auto"/>
        </w:rPr>
      </w:pPr>
      <w:r>
        <w:rPr>
          <w:rFonts w:ascii="Arial" w:cs="Arial" w:eastAsia="Arial" w:hAnsi="Arial"/>
          <w:sz w:val="20"/>
          <w:szCs w:val="20"/>
          <w:color w:val="auto"/>
        </w:rPr>
        <w:t>(f)The Agent shall promptly notify the Lead Borrower and the Lenders of the interest rate applicable to any Interest Period for LIBOR Rate Loans upon determination of such interest rate. At any time that Base Rate Loans are outstanding, the Agent shall notify the Lead Borrower and the Lenders of any change in Citizens Bank’s Prime Rate used in determining the Base Rate promptly following the public announcement of such change.</w:t>
      </w:r>
    </w:p>
    <w:p>
      <w:pPr>
        <w:spacing w:after="0" w:line="111" w:lineRule="exact"/>
        <w:rPr>
          <w:sz w:val="20"/>
          <w:szCs w:val="20"/>
          <w:color w:val="auto"/>
        </w:rPr>
      </w:pPr>
    </w:p>
    <w:p>
      <w:pPr>
        <w:ind w:left="320" w:right="20" w:hanging="230"/>
        <w:spacing w:after="0" w:line="292" w:lineRule="auto"/>
        <w:rPr>
          <w:sz w:val="20"/>
          <w:szCs w:val="20"/>
          <w:color w:val="auto"/>
        </w:rPr>
      </w:pPr>
      <w:r>
        <w:rPr>
          <w:rFonts w:ascii="Arial" w:cs="Arial" w:eastAsia="Arial" w:hAnsi="Arial"/>
          <w:sz w:val="20"/>
          <w:szCs w:val="20"/>
          <w:color w:val="auto"/>
        </w:rPr>
        <w:t>(g)After giving effect to all Committed Borrowings, all Conversions of Committed Loans from one Type to the other, and all continuations of Committed Loans as the same Type, there shall not be more than five (5) Interest Periods in effect with respect to the Revolving Loans that are LIBOR Rate Loans.</w:t>
      </w:r>
    </w:p>
    <w:p>
      <w:pPr>
        <w:spacing w:after="0" w:line="119" w:lineRule="exact"/>
        <w:rPr>
          <w:sz w:val="20"/>
          <w:szCs w:val="20"/>
          <w:color w:val="auto"/>
        </w:rPr>
      </w:pPr>
    </w:p>
    <w:p>
      <w:pPr>
        <w:ind w:left="320" w:right="20" w:hanging="230"/>
        <w:spacing w:after="0" w:line="317" w:lineRule="auto"/>
        <w:rPr>
          <w:sz w:val="20"/>
          <w:szCs w:val="20"/>
          <w:color w:val="auto"/>
        </w:rPr>
      </w:pPr>
      <w:r>
        <w:rPr>
          <w:rFonts w:ascii="Arial" w:cs="Arial" w:eastAsia="Arial" w:hAnsi="Arial"/>
          <w:sz w:val="18"/>
          <w:szCs w:val="18"/>
          <w:color w:val="auto"/>
        </w:rPr>
        <w:t xml:space="preserve">(h)The Agent, the Lenders, the Swing Line Lender and the L/C Issuer shall have no obligation to make any Loan or to provide any Letter of Credit if an Overadvance would result. The Agent may, in its discretion, make Permitted Overadvances without the consent of the Borrowers, the Lenders, the Swing Line Lender and the L/C Issuer and the Borrowers and each Lender and L/C Issuer shall be bound thereby. Any Permitted Overadvance may, but shall not be required to, constitute a Swing Line Loan. A Permitted Overadvance is for the account of the Borrowers and shall constitute a Base Rate Loan and an Obligation and shall be repaid by the Borrowers in accordance with the provisions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The making of any such Permitted Overadvance on any one occasion shall not obligate the Agent or any Lender to make or permit any Permitted Overadvance on any other occasion or to permit such Permitted Overadvances to remain outstanding. The making by the Agent of a Permitted Overadvance shall not modify or abrogate any of the provisions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regarding the Revolving Lenders’ obligations to purchase participations with respect to Letter of Credits or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regarding the Revolving Lenders’ obligations to purchase participations with respect to Swing Line Loans. The Agent shall have no liability for, and no Loan Party or Credit Party shall have the right to, or shall, bring any claim of any kind whatsoever against the Agent with respect to Unintentional Overadvances regardless of the amount of any such Overadvance(s).</w:t>
      </w:r>
    </w:p>
    <w:p>
      <w:pPr>
        <w:spacing w:after="0" w:line="1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2.03 Letters of Credit</w:t>
      </w:r>
      <w:r>
        <w:rPr>
          <w:rFonts w:ascii="Arial" w:cs="Arial" w:eastAsia="Arial" w:hAnsi="Arial"/>
          <w:sz w:val="20"/>
          <w:szCs w:val="20"/>
          <w:color w:val="auto"/>
        </w:rPr>
        <w:t>.</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189" w:lineRule="exact"/>
        <w:rPr>
          <w:sz w:val="20"/>
          <w:szCs w:val="20"/>
          <w:color w:val="auto"/>
        </w:rPr>
      </w:pPr>
    </w:p>
    <w:p>
      <w:pPr>
        <w:ind w:left="2320" w:firstLine="2106"/>
        <w:spacing w:after="0" w:line="313" w:lineRule="auto"/>
        <w:rPr>
          <w:sz w:val="20"/>
          <w:szCs w:val="20"/>
          <w:color w:val="auto"/>
        </w:rPr>
      </w:pPr>
      <w:r>
        <w:rPr>
          <w:rFonts w:ascii="Arial" w:cs="Arial" w:eastAsia="Arial" w:hAnsi="Arial"/>
          <w:sz w:val="18"/>
          <w:szCs w:val="18"/>
          <w:color w:val="auto"/>
        </w:rPr>
        <w:t xml:space="preserve">(i) Subject to the terms and conditions set forth herein, (A) the L/C Issuer agrees, in reliance upon the agreements of the Revolving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Letter of Credit Expiration Date, to issue Letters of Credit for the account of the Borrowers and the other Loan Parties, and to amend or extend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below, and (2) to honor drawings under the Letters of Credit; and (B) the Revolving Lenders severally agree to participate in Letters of Credit issued for the account of the Borrowers and the other Loan Parties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w:t>
      </w:r>
    </w:p>
    <w:p>
      <w:pPr>
        <w:ind w:left="2320" w:right="140" w:firstLine="9"/>
        <w:spacing w:after="0" w:line="305" w:lineRule="auto"/>
        <w:tabs>
          <w:tab w:leader="none" w:pos="26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Total Outstandings shall not exceed the Revolving Loan Cap, (y) the aggregate Outstanding Amount of the Committed Loans of any Revolving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Percentage of the Outstanding Amount of all L/C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Lender’s Applicable Percentage of the Outstanding Amount of all Swing Line Loans shall not exceed such Lender’s Commitment, and (z) the Outstanding Amount of the L/C Obligations shall not</w:t>
      </w:r>
    </w:p>
    <w:p>
      <w:pPr>
        <w:spacing w:after="0" w:line="232"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70" w:name="page71"/>
    <w:bookmarkEnd w:id="70"/>
    <w:p>
      <w:pPr>
        <w:ind w:left="2340" w:right="80"/>
        <w:spacing w:after="0" w:line="320" w:lineRule="auto"/>
        <w:rPr>
          <w:sz w:val="20"/>
          <w:szCs w:val="20"/>
          <w:color w:val="auto"/>
        </w:rPr>
      </w:pPr>
      <w:r>
        <w:rPr>
          <w:rFonts w:ascii="Arial" w:cs="Arial" w:eastAsia="Arial" w:hAnsi="Arial"/>
          <w:sz w:val="18"/>
          <w:szCs w:val="18"/>
          <w:color w:val="auto"/>
        </w:rPr>
        <w:t>exceed the Letter of Credit Sublimit. Each request by the Lead Borrower for the issuance or amendment of a Letter of Credit shall be deemed to be a representation by the Borrowers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20" w:type="dxa"/>
            <w:vAlign w:val="bottom"/>
          </w:tcPr>
          <w:p>
            <w:pPr>
              <w:spacing w:after="0"/>
              <w:rPr>
                <w:sz w:val="21"/>
                <w:szCs w:val="21"/>
                <w:color w:val="auto"/>
              </w:rPr>
            </w:pPr>
          </w:p>
        </w:tc>
        <w:tc>
          <w:tcPr>
            <w:tcW w:w="4220" w:type="dxa"/>
            <w:vAlign w:val="bottom"/>
          </w:tcPr>
          <w:p>
            <w:pPr>
              <w:ind w:left="2300"/>
              <w:spacing w:after="0"/>
              <w:rPr>
                <w:sz w:val="20"/>
                <w:szCs w:val="20"/>
                <w:color w:val="auto"/>
              </w:rPr>
            </w:pPr>
            <w:r>
              <w:rPr>
                <w:rFonts w:ascii="Arial" w:cs="Arial" w:eastAsia="Arial" w:hAnsi="Arial"/>
                <w:sz w:val="20"/>
                <w:szCs w:val="20"/>
                <w:color w:val="auto"/>
              </w:rPr>
              <w:t>(ii)</w:t>
            </w:r>
          </w:p>
        </w:tc>
        <w:tc>
          <w:tcPr>
            <w:tcW w:w="4900" w:type="dxa"/>
            <w:vAlign w:val="bottom"/>
            <w:gridSpan w:val="5"/>
          </w:tcPr>
          <w:p>
            <w:pPr>
              <w:ind w:left="200"/>
              <w:spacing w:after="0"/>
              <w:rPr>
                <w:sz w:val="20"/>
                <w:szCs w:val="20"/>
                <w:color w:val="auto"/>
              </w:rPr>
            </w:pPr>
            <w:r>
              <w:rPr>
                <w:rFonts w:ascii="Arial" w:cs="Arial" w:eastAsia="Arial" w:hAnsi="Arial"/>
                <w:sz w:val="20"/>
                <w:szCs w:val="20"/>
                <w:color w:val="auto"/>
              </w:rPr>
              <w:t>The L/C Issuer shall not issue any Letter of Credit, if:</w:t>
            </w:r>
          </w:p>
        </w:tc>
      </w:tr>
      <w:tr>
        <w:trPr>
          <w:trHeight w:val="360"/>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(A)</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w w:val="94"/>
              </w:rPr>
              <w:t>subject to Section 2.03(b)(iii), the expiry date of</w:t>
            </w:r>
          </w:p>
        </w:tc>
      </w:tr>
      <w:tr>
        <w:trPr>
          <w:trHeight w:val="20"/>
        </w:trPr>
        <w:tc>
          <w:tcPr>
            <w:tcW w:w="21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95"/>
        </w:trPr>
        <w:tc>
          <w:tcPr>
            <w:tcW w:w="2120" w:type="dxa"/>
            <w:vAlign w:val="bottom"/>
          </w:tcPr>
          <w:p>
            <w:pPr>
              <w:spacing w:after="0"/>
              <w:rPr>
                <w:sz w:val="24"/>
                <w:szCs w:val="24"/>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6"/>
              </w:rPr>
              <w:t>such requested Standby Letter of Credit would occur more than twelve months after the date of</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9"/>
              </w:rPr>
              <w:t>issuance or last extension, unless the Required Lenders have approved such expiry date; or</w:t>
            </w:r>
          </w:p>
        </w:tc>
      </w:tr>
      <w:tr>
        <w:trPr>
          <w:trHeight w:val="418"/>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(B)</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w w:val="96"/>
              </w:rPr>
              <w:t>the expiry date of such requested Commercial</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5"/>
              </w:rPr>
              <w:t>Letter of Credit would occur more than 120 days after the date of issuance, unless the Required</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rPr>
              <w:t>Lenders have approved such expiry date; or</w:t>
            </w:r>
          </w:p>
        </w:tc>
      </w:tr>
      <w:tr>
        <w:trPr>
          <w:trHeight w:val="418"/>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(C)</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w w:val="90"/>
              </w:rPr>
              <w:t>the expiry date of such requested Letter of Credit</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5"/>
              </w:rPr>
              <w:t>would occur after the Letter of Credit Expiration Date, unless either such Letter of Credit is Cash</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89"/>
              </w:rPr>
              <w:t>Collateralized on or prior to the date of issuance of such Letter of Credit (or such later date as to which</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rPr>
              <w:t>the Agent may agree) or all the Revolving Lenders have approved such expiry date; or.</w:t>
            </w:r>
          </w:p>
        </w:tc>
      </w:tr>
      <w:tr>
        <w:trPr>
          <w:trHeight w:val="405"/>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(D)</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rPr>
              <w:t>any order, judgment or decree of any</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5"/>
              </w:rPr>
              <w:t>Governmental Authority or arbitrator shall by its terms purport to enjoin or restrain the L/C Issuer</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1"/>
              </w:rPr>
              <w:t>from issuing such Letter of Credit, or any Law applicable to the L/C Issuer or any request or directive</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3"/>
              </w:rPr>
              <w:t>(whether or not having the force of law) from any Governmental Authority with jurisdiction over the</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3"/>
              </w:rPr>
              <w:t>L/C Issuer shall prohibit, or request that the L/C Issuer refrain from, the issuance of letters of credit</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5"/>
              </w:rPr>
              <w:t>generally or such Letter of Credit in particular or shall impose upon the L/C Issuer with respect to</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4"/>
              </w:rPr>
              <w:t>such Letter of Credit any restriction, reserve or capital requirement (for which the L/C Issuer is not</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3"/>
              </w:rPr>
              <w:t>otherwise compensated hereunder) not in effect on the Closing Date, or shall impose upon the L/C</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4"/>
              </w:rPr>
              <w:t>Issuer any unreimbursed loss, cost or expense which was not applicable on the Closing Date and</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rPr>
              <w:t>which the L/C Issuer in good faith deems material to it;</w:t>
            </w:r>
          </w:p>
        </w:tc>
      </w:tr>
      <w:tr>
        <w:trPr>
          <w:trHeight w:val="418"/>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(E)</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w w:val="93"/>
              </w:rPr>
              <w:t>the proceeds of which would be made available</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0"/>
              </w:rPr>
              <w:t>to any Person (i) to fund any activity or business of or with any Sanctioned Person, or any Sanctioned</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8"/>
              </w:rPr>
              <w:t>Entity or (ii) in any manner that would result in a violation of any Sanctions by any party to this</w:t>
            </w:r>
          </w:p>
        </w:tc>
      </w:tr>
      <w:tr>
        <w:trPr>
          <w:trHeight w:val="270"/>
        </w:trPr>
        <w:tc>
          <w:tcPr>
            <w:tcW w:w="2120" w:type="dxa"/>
            <w:vAlign w:val="bottom"/>
          </w:tcPr>
          <w:p>
            <w:pPr>
              <w:spacing w:after="0"/>
              <w:rPr>
                <w:sz w:val="23"/>
                <w:szCs w:val="23"/>
                <w:color w:val="auto"/>
              </w:rPr>
            </w:pPr>
          </w:p>
        </w:tc>
        <w:tc>
          <w:tcPr>
            <w:tcW w:w="4220" w:type="dxa"/>
            <w:vAlign w:val="bottom"/>
          </w:tcPr>
          <w:p>
            <w:pPr>
              <w:ind w:left="980"/>
              <w:spacing w:after="0"/>
              <w:rPr>
                <w:sz w:val="20"/>
                <w:szCs w:val="20"/>
                <w:color w:val="auto"/>
              </w:rPr>
            </w:pPr>
            <w:r>
              <w:rPr>
                <w:rFonts w:ascii="Arial" w:cs="Arial" w:eastAsia="Arial" w:hAnsi="Arial"/>
                <w:sz w:val="20"/>
                <w:szCs w:val="20"/>
                <w:color w:val="auto"/>
              </w:rPr>
              <w:t>Agreement;</w:t>
            </w:r>
          </w:p>
        </w:tc>
        <w:tc>
          <w:tcPr>
            <w:tcW w:w="1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18"/>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(F)</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rPr>
              <w:t>the issuance of such Letter of Credit would</w:t>
            </w:r>
          </w:p>
        </w:tc>
      </w:tr>
      <w:tr>
        <w:trPr>
          <w:trHeight w:val="270"/>
        </w:trPr>
        <w:tc>
          <w:tcPr>
            <w:tcW w:w="2120" w:type="dxa"/>
            <w:vAlign w:val="bottom"/>
          </w:tcPr>
          <w:p>
            <w:pPr>
              <w:spacing w:after="0"/>
              <w:rPr>
                <w:sz w:val="23"/>
                <w:szCs w:val="23"/>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rPr>
              <w:t>violate one or more policies of the L/C Issuer applicable to letters of credit generally;</w:t>
            </w:r>
          </w:p>
        </w:tc>
      </w:tr>
      <w:tr>
        <w:trPr>
          <w:trHeight w:val="405"/>
        </w:trPr>
        <w:tc>
          <w:tcPr>
            <w:tcW w:w="2120" w:type="dxa"/>
            <w:vAlign w:val="bottom"/>
          </w:tcPr>
          <w:p>
            <w:pPr>
              <w:spacing w:after="0"/>
              <w:rPr>
                <w:sz w:val="24"/>
                <w:szCs w:val="24"/>
                <w:color w:val="auto"/>
              </w:rPr>
            </w:pPr>
          </w:p>
        </w:tc>
        <w:tc>
          <w:tcPr>
            <w:tcW w:w="4220" w:type="dxa"/>
            <w:vAlign w:val="bottom"/>
          </w:tcPr>
          <w:p>
            <w:pPr>
              <w:ind w:left="3760"/>
              <w:spacing w:after="0"/>
              <w:rPr>
                <w:sz w:val="20"/>
                <w:szCs w:val="20"/>
                <w:color w:val="auto"/>
              </w:rPr>
            </w:pPr>
            <w:r>
              <w:rPr>
                <w:rFonts w:ascii="Arial" w:cs="Arial" w:eastAsia="Arial" w:hAnsi="Arial"/>
                <w:sz w:val="20"/>
                <w:szCs w:val="20"/>
                <w:color w:val="auto"/>
              </w:rPr>
              <w:t>(G)</w:t>
            </w:r>
          </w:p>
        </w:tc>
        <w:tc>
          <w:tcPr>
            <w:tcW w:w="4900" w:type="dxa"/>
            <w:vAlign w:val="bottom"/>
            <w:gridSpan w:val="5"/>
          </w:tcPr>
          <w:p>
            <w:pPr>
              <w:ind w:left="940"/>
              <w:spacing w:after="0"/>
              <w:rPr>
                <w:sz w:val="20"/>
                <w:szCs w:val="20"/>
                <w:color w:val="auto"/>
              </w:rPr>
            </w:pPr>
            <w:r>
              <w:rPr>
                <w:rFonts w:ascii="Arial" w:cs="Arial" w:eastAsia="Arial" w:hAnsi="Arial"/>
                <w:sz w:val="20"/>
                <w:szCs w:val="20"/>
                <w:color w:val="auto"/>
                <w:w w:val="94"/>
              </w:rPr>
              <w:t>except as otherwise agreed by the Agent, such</w:t>
            </w:r>
          </w:p>
        </w:tc>
      </w:tr>
      <w:tr>
        <w:trPr>
          <w:trHeight w:val="225"/>
        </w:trPr>
        <w:tc>
          <w:tcPr>
            <w:tcW w:w="2120" w:type="dxa"/>
            <w:vAlign w:val="bottom"/>
          </w:tcPr>
          <w:p>
            <w:pPr>
              <w:spacing w:after="0"/>
              <w:rPr>
                <w:sz w:val="19"/>
                <w:szCs w:val="19"/>
                <w:color w:val="auto"/>
              </w:rPr>
            </w:pPr>
          </w:p>
        </w:tc>
        <w:tc>
          <w:tcPr>
            <w:tcW w:w="9120" w:type="dxa"/>
            <w:vAlign w:val="bottom"/>
            <w:gridSpan w:val="6"/>
          </w:tcPr>
          <w:p>
            <w:pPr>
              <w:ind w:left="980"/>
              <w:spacing w:after="0" w:line="226" w:lineRule="exact"/>
              <w:rPr>
                <w:sz w:val="20"/>
                <w:szCs w:val="20"/>
                <w:color w:val="auto"/>
              </w:rPr>
            </w:pPr>
            <w:r>
              <w:rPr>
                <w:rFonts w:ascii="Arial" w:cs="Arial" w:eastAsia="Arial" w:hAnsi="Arial"/>
                <w:sz w:val="20"/>
                <w:szCs w:val="20"/>
                <w:color w:val="auto"/>
                <w:w w:val="91"/>
              </w:rPr>
              <w:t>Letter of Credit is to be denominated in a currency other than Dollars; provided that if the L/C Issuer,</w:t>
            </w:r>
          </w:p>
        </w:tc>
      </w:tr>
      <w:tr>
        <w:trPr>
          <w:trHeight w:val="20"/>
        </w:trPr>
        <w:tc>
          <w:tcPr>
            <w:tcW w:w="212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95"/>
        </w:trPr>
        <w:tc>
          <w:tcPr>
            <w:tcW w:w="2120" w:type="dxa"/>
            <w:vAlign w:val="bottom"/>
          </w:tcPr>
          <w:p>
            <w:pPr>
              <w:spacing w:after="0"/>
              <w:rPr>
                <w:sz w:val="24"/>
                <w:szCs w:val="24"/>
                <w:color w:val="auto"/>
              </w:rPr>
            </w:pPr>
          </w:p>
        </w:tc>
        <w:tc>
          <w:tcPr>
            <w:tcW w:w="9120" w:type="dxa"/>
            <w:vAlign w:val="bottom"/>
            <w:gridSpan w:val="6"/>
          </w:tcPr>
          <w:p>
            <w:pPr>
              <w:ind w:left="980"/>
              <w:spacing w:after="0"/>
              <w:rPr>
                <w:sz w:val="20"/>
                <w:szCs w:val="20"/>
                <w:color w:val="auto"/>
              </w:rPr>
            </w:pPr>
            <w:r>
              <w:rPr>
                <w:rFonts w:ascii="Arial" w:cs="Arial" w:eastAsia="Arial" w:hAnsi="Arial"/>
                <w:sz w:val="20"/>
                <w:szCs w:val="20"/>
                <w:color w:val="auto"/>
                <w:w w:val="91"/>
              </w:rPr>
              <w:t>with the consent of the Agent, issues a Letter of Credit denominated in a currency other than Dollars,</w:t>
            </w:r>
          </w:p>
        </w:tc>
      </w:tr>
      <w:tr>
        <w:trPr>
          <w:trHeight w:val="270"/>
        </w:trPr>
        <w:tc>
          <w:tcPr>
            <w:tcW w:w="2120" w:type="dxa"/>
            <w:vAlign w:val="bottom"/>
          </w:tcPr>
          <w:p>
            <w:pPr>
              <w:spacing w:after="0"/>
              <w:rPr>
                <w:sz w:val="23"/>
                <w:szCs w:val="23"/>
                <w:color w:val="auto"/>
              </w:rPr>
            </w:pPr>
          </w:p>
        </w:tc>
        <w:tc>
          <w:tcPr>
            <w:tcW w:w="4220" w:type="dxa"/>
            <w:vAlign w:val="bottom"/>
          </w:tcPr>
          <w:p>
            <w:pPr>
              <w:ind w:left="980"/>
              <w:spacing w:after="0"/>
              <w:rPr>
                <w:sz w:val="20"/>
                <w:szCs w:val="20"/>
                <w:color w:val="auto"/>
              </w:rPr>
            </w:pPr>
            <w:r>
              <w:rPr>
                <w:rFonts w:ascii="Arial" w:cs="Arial" w:eastAsia="Arial" w:hAnsi="Arial"/>
                <w:sz w:val="20"/>
                <w:szCs w:val="20"/>
                <w:color w:val="auto"/>
              </w:rPr>
              <w:t>all</w:t>
            </w:r>
          </w:p>
        </w:tc>
        <w:tc>
          <w:tcPr>
            <w:tcW w:w="1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551"/>
        </w:trPr>
        <w:tc>
          <w:tcPr>
            <w:tcW w:w="212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4220" w:type="dxa"/>
            <w:vAlign w:val="bottom"/>
          </w:tcPr>
          <w:p>
            <w:pPr>
              <w:ind w:left="3340"/>
              <w:spacing w:after="0"/>
              <w:rPr>
                <w:sz w:val="20"/>
                <w:szCs w:val="20"/>
                <w:color w:val="auto"/>
              </w:rPr>
            </w:pPr>
            <w:r>
              <w:rPr>
                <w:rFonts w:ascii="Arial" w:cs="Arial" w:eastAsia="Arial" w:hAnsi="Arial"/>
                <w:sz w:val="20"/>
                <w:szCs w:val="20"/>
                <w:color w:val="auto"/>
              </w:rPr>
              <w:t>-67-</w:t>
            </w: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3"/>
        </w:trPr>
        <w:tc>
          <w:tcPr>
            <w:tcW w:w="21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1" w:name="page72"/>
    <w:bookmarkEnd w:id="71"/>
    <w:p>
      <w:pPr>
        <w:ind w:left="3080" w:right="80"/>
        <w:spacing w:after="0" w:line="303" w:lineRule="auto"/>
        <w:rPr>
          <w:sz w:val="20"/>
          <w:szCs w:val="20"/>
          <w:color w:val="auto"/>
        </w:rPr>
      </w:pPr>
      <w:r>
        <w:rPr>
          <w:rFonts w:ascii="Arial" w:cs="Arial" w:eastAsia="Arial" w:hAnsi="Arial"/>
          <w:sz w:val="20"/>
          <w:szCs w:val="20"/>
          <w:color w:val="auto"/>
        </w:rPr>
        <w:t>reimbursements by the Borrowers of the honoring of any drawing under such Letter of Credit shall be paid in the currency in which such Letter of Credit was denominated;</w:t>
      </w:r>
    </w:p>
    <w:p>
      <w:pPr>
        <w:spacing w:after="0" w:line="108" w:lineRule="exact"/>
        <w:rPr>
          <w:sz w:val="20"/>
          <w:szCs w:val="20"/>
          <w:color w:val="auto"/>
        </w:rPr>
      </w:pPr>
    </w:p>
    <w:p>
      <w:pPr>
        <w:ind w:left="3080" w:right="120" w:firstLine="2782"/>
        <w:spacing w:after="0" w:line="303" w:lineRule="auto"/>
        <w:rPr>
          <w:sz w:val="20"/>
          <w:szCs w:val="20"/>
          <w:color w:val="auto"/>
        </w:rPr>
      </w:pPr>
      <w:r>
        <w:rPr>
          <w:rFonts w:ascii="Arial" w:cs="Arial" w:eastAsia="Arial" w:hAnsi="Arial"/>
          <w:sz w:val="20"/>
          <w:szCs w:val="20"/>
          <w:color w:val="auto"/>
        </w:rPr>
        <w:t>(H) such Letter of Credit contains any provisions for automatic reinstatement of the Stated Amount after any drawing thereunder; or</w:t>
      </w:r>
    </w:p>
    <w:p>
      <w:pPr>
        <w:spacing w:after="0" w:line="94" w:lineRule="exact"/>
        <w:rPr>
          <w:sz w:val="20"/>
          <w:szCs w:val="20"/>
          <w:color w:val="auto"/>
        </w:rPr>
      </w:pPr>
    </w:p>
    <w:p>
      <w:pPr>
        <w:ind w:left="5860"/>
        <w:spacing w:after="0"/>
        <w:tabs>
          <w:tab w:leader="none" w:pos="72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any Revolving Lender is at that time a Defaulting</w:t>
      </w:r>
    </w:p>
    <w:p>
      <w:pPr>
        <w:spacing w:after="0" w:line="63" w:lineRule="exact"/>
        <w:rPr>
          <w:sz w:val="20"/>
          <w:szCs w:val="20"/>
          <w:color w:val="auto"/>
        </w:rPr>
      </w:pPr>
    </w:p>
    <w:p>
      <w:pPr>
        <w:ind w:left="3080" w:right="40"/>
        <w:spacing w:after="0" w:line="323" w:lineRule="auto"/>
        <w:rPr>
          <w:sz w:val="20"/>
          <w:szCs w:val="20"/>
          <w:color w:val="auto"/>
        </w:rPr>
      </w:pPr>
      <w:r>
        <w:rPr>
          <w:rFonts w:ascii="Arial" w:cs="Arial" w:eastAsia="Arial" w:hAnsi="Arial"/>
          <w:sz w:val="18"/>
          <w:szCs w:val="18"/>
          <w:color w:val="auto"/>
        </w:rPr>
        <w:t xml:space="preserve">Lender, unless the L/C Issuer has entered into arrangements, including the delivery of Cash Collateral, satisfactory to the L/C Issuer (in its sole discretion) with the Borrowers or such Revolving Lender to eliminate the L/C Issuer’s actual or potential Fronting Exposure (after giving effect to </w:t>
      </w:r>
      <w:r>
        <w:rPr>
          <w:rFonts w:ascii="Arial" w:cs="Arial" w:eastAsia="Arial" w:hAnsi="Arial"/>
          <w:sz w:val="18"/>
          <w:szCs w:val="18"/>
          <w:u w:val="single" w:color="auto"/>
          <w:color w:val="auto"/>
        </w:rPr>
        <w:t>Section 2.16(a)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with respect to the Defaulting Lender arising from either (x) the Letter of Credit then proposed to be issued or (y) that Letter of Credit and all other L/C Obligations as to which the L/C Issuer has actual or potential Fronting Exposure, as it may elect in its sole discretion.</w:t>
      </w:r>
    </w:p>
    <w:p>
      <w:pPr>
        <w:spacing w:after="0" w:line="97" w:lineRule="exact"/>
        <w:rPr>
          <w:sz w:val="20"/>
          <w:szCs w:val="20"/>
          <w:color w:val="auto"/>
        </w:rPr>
      </w:pPr>
    </w:p>
    <w:p>
      <w:pPr>
        <w:ind w:left="2320" w:right="140" w:firstLine="2024"/>
        <w:spacing w:after="0" w:line="288" w:lineRule="auto"/>
        <w:rPr>
          <w:sz w:val="20"/>
          <w:szCs w:val="20"/>
          <w:color w:val="auto"/>
        </w:rPr>
      </w:pPr>
      <w:r>
        <w:rPr>
          <w:rFonts w:ascii="Arial" w:cs="Arial" w:eastAsia="Arial" w:hAnsi="Arial"/>
          <w:sz w:val="20"/>
          <w:szCs w:val="20"/>
          <w:color w:val="auto"/>
        </w:rPr>
        <w:t>(iii) 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spacing w:after="0" w:line="125" w:lineRule="exact"/>
        <w:rPr>
          <w:sz w:val="20"/>
          <w:szCs w:val="20"/>
          <w:color w:val="auto"/>
        </w:rPr>
      </w:pPr>
    </w:p>
    <w:p>
      <w:pPr>
        <w:ind w:left="2320" w:right="120" w:firstLine="2033"/>
        <w:spacing w:after="0" w:line="285" w:lineRule="auto"/>
        <w:rPr>
          <w:sz w:val="20"/>
          <w:szCs w:val="20"/>
          <w:color w:val="auto"/>
        </w:rPr>
      </w:pPr>
      <w:r>
        <w:rPr>
          <w:rFonts w:ascii="Arial" w:cs="Arial" w:eastAsia="Arial" w:hAnsi="Arial"/>
          <w:sz w:val="20"/>
          <w:szCs w:val="20"/>
          <w:color w:val="auto"/>
        </w:rPr>
        <w:t xml:space="preserve">(iv) The L/C Issuer shall act on behalf of the Revolving Lenders with respect to any Letters of Credit issued by it and the documents associated therewith, and the L/C Issuer shall have all of the benefits and immunities (A) provided to the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the L/C Issuer in connection with Letters of Credit issued by it or proposed to be issued by it and Letter of Credit Documents pertaining to such Letters of Credit as fully as if the term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the L/C Issuer with respect to such acts or omissions, and (B) as additionally provided herein with respect to the L/C Issuer.</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189" w:lineRule="exact"/>
        <w:rPr>
          <w:sz w:val="20"/>
          <w:szCs w:val="20"/>
          <w:color w:val="auto"/>
        </w:rPr>
      </w:pPr>
    </w:p>
    <w:p>
      <w:pPr>
        <w:ind w:left="2320" w:firstLine="2106"/>
        <w:spacing w:after="0" w:line="313" w:lineRule="auto"/>
        <w:rPr>
          <w:sz w:val="20"/>
          <w:szCs w:val="20"/>
          <w:color w:val="auto"/>
        </w:rPr>
      </w:pPr>
      <w:r>
        <w:rPr>
          <w:rFonts w:ascii="Arial" w:cs="Arial" w:eastAsia="Arial" w:hAnsi="Arial"/>
          <w:sz w:val="18"/>
          <w:szCs w:val="18"/>
          <w:color w:val="auto"/>
        </w:rPr>
        <w:t>(i) Each Letter of Credit shall be issued or amended, as the case may be, upon the request of the Lead Borrower delivered to the L/C Issuer (with a copy to the Agent) in the form of a Letter of Credit Application, appropriately completed and signed by a Responsible Officer of the Lead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Agent not later than 11:00 a.m. at least two (2) Business Days (or such other date and time as the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w:t>
      </w:r>
    </w:p>
    <w:p>
      <w:pPr>
        <w:spacing w:after="0" w:line="1" w:lineRule="exact"/>
        <w:rPr>
          <w:sz w:val="20"/>
          <w:szCs w:val="20"/>
          <w:color w:val="auto"/>
        </w:rPr>
      </w:pPr>
    </w:p>
    <w:p>
      <w:pPr>
        <w:ind w:left="2320" w:right="60" w:firstLine="9"/>
        <w:spacing w:after="0" w:line="285" w:lineRule="auto"/>
        <w:tabs>
          <w:tab w:leader="none" w:pos="264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w:t>
      </w:r>
    </w:p>
    <w:p>
      <w:pPr>
        <w:spacing w:after="0" w:line="248"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72" w:name="page73"/>
    <w:bookmarkEnd w:id="72"/>
    <w:p>
      <w:pPr>
        <w:ind w:left="2340"/>
        <w:spacing w:after="0" w:line="287" w:lineRule="auto"/>
        <w:rPr>
          <w:sz w:val="20"/>
          <w:szCs w:val="20"/>
          <w:color w:val="auto"/>
        </w:rPr>
      </w:pPr>
      <w:r>
        <w:rPr>
          <w:rFonts w:ascii="Arial" w:cs="Arial" w:eastAsia="Arial" w:hAnsi="Arial"/>
          <w:sz w:val="20"/>
          <w:szCs w:val="20"/>
          <w:color w:val="auto"/>
        </w:rPr>
        <w:t>amended; (B) the proposed date of amendment thereof (which shall be a Business Day); (C) the nature of the proposed amendment; and (D) such other matters as the L/C Issuer may require. Additionally, the Lead Borrower shall furnish to the L/C Issuer and the Agent such other documents and information pertaining to such requested Letter of Credit issuance or amendment, including any Letter of Credit Documents, as the L/C Issuer or the Agent may require.</w:t>
      </w:r>
    </w:p>
    <w:p>
      <w:pPr>
        <w:spacing w:after="0" w:line="99"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3260" w:type="dxa"/>
            <w:vAlign w:val="bottom"/>
          </w:tcPr>
          <w:p>
            <w:pPr>
              <w:ind w:left="2080"/>
              <w:spacing w:after="0"/>
              <w:rPr>
                <w:sz w:val="20"/>
                <w:szCs w:val="20"/>
                <w:color w:val="auto"/>
              </w:rPr>
            </w:pPr>
            <w:r>
              <w:rPr>
                <w:rFonts w:ascii="Arial" w:cs="Arial" w:eastAsia="Arial" w:hAnsi="Arial"/>
                <w:sz w:val="20"/>
                <w:szCs w:val="20"/>
                <w:color w:val="auto"/>
              </w:rPr>
              <w:t>(ii)</w:t>
            </w:r>
          </w:p>
        </w:tc>
        <w:tc>
          <w:tcPr>
            <w:tcW w:w="5080" w:type="dxa"/>
            <w:vAlign w:val="bottom"/>
            <w:gridSpan w:val="3"/>
          </w:tcPr>
          <w:p>
            <w:pPr>
              <w:ind w:left="940"/>
              <w:spacing w:after="0"/>
              <w:rPr>
                <w:sz w:val="20"/>
                <w:szCs w:val="20"/>
                <w:color w:val="auto"/>
              </w:rPr>
            </w:pPr>
            <w:r>
              <w:rPr>
                <w:rFonts w:ascii="Arial" w:cs="Arial" w:eastAsia="Arial" w:hAnsi="Arial"/>
                <w:sz w:val="20"/>
                <w:szCs w:val="20"/>
                <w:color w:val="auto"/>
                <w:w w:val="91"/>
              </w:rPr>
              <w:t>Subject to the provisions of Section 2.02(b) hereof,</w:t>
            </w:r>
          </w:p>
        </w:tc>
      </w:tr>
      <w:tr>
        <w:trPr>
          <w:trHeight w:val="20"/>
        </w:trPr>
        <w:tc>
          <w:tcPr>
            <w:tcW w:w="642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5"/>
        </w:trPr>
        <w:tc>
          <w:tcPr>
            <w:tcW w:w="8340" w:type="dxa"/>
            <w:vAlign w:val="bottom"/>
            <w:gridSpan w:val="4"/>
          </w:tcPr>
          <w:p>
            <w:pPr>
              <w:spacing w:after="0"/>
              <w:rPr>
                <w:sz w:val="20"/>
                <w:szCs w:val="20"/>
                <w:color w:val="auto"/>
              </w:rPr>
            </w:pPr>
            <w:r>
              <w:rPr>
                <w:rFonts w:ascii="Arial" w:cs="Arial" w:eastAsia="Arial" w:hAnsi="Arial"/>
                <w:sz w:val="20"/>
                <w:szCs w:val="20"/>
                <w:color w:val="auto"/>
                <w:w w:val="92"/>
              </w:rPr>
              <w:t>promptly after receipt of any Letter of Credit Application, the L/C Issuer will confirm with the Agent (by</w:t>
            </w:r>
          </w:p>
        </w:tc>
      </w:tr>
    </w:tbl>
    <w:p>
      <w:pPr>
        <w:spacing w:after="0" w:line="20" w:lineRule="exact"/>
        <w:rPr>
          <w:sz w:val="20"/>
          <w:szCs w:val="20"/>
          <w:color w:val="auto"/>
        </w:rPr>
      </w:pPr>
    </w:p>
    <w:p>
      <w:pPr>
        <w:ind w:left="2340" w:right="40"/>
        <w:spacing w:after="0" w:line="316" w:lineRule="auto"/>
        <w:rPr>
          <w:sz w:val="20"/>
          <w:szCs w:val="20"/>
          <w:color w:val="auto"/>
        </w:rPr>
      </w:pPr>
      <w:r>
        <w:rPr>
          <w:rFonts w:ascii="Arial" w:cs="Arial" w:eastAsia="Arial" w:hAnsi="Arial"/>
          <w:sz w:val="18"/>
          <w:szCs w:val="18"/>
          <w:color w:val="auto"/>
        </w:rPr>
        <w:t xml:space="preserve">telephone or in writing) that the Agent has received a copy of such Letter of Credit Application from the Lead Borrower and, if not, the L/C Issuer will provide the Agent with a copy thereof. Unless the L/C Issuer has received written notice from any Revolving Lender, the Agent or any Loan Party, at least one (1)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or unless the L/C Issuer would not be permitted, or would have no obligation, at such time to issue such Letter of Credit under the terms hereof (by reason of the provisions of </w:t>
      </w:r>
      <w:r>
        <w:rPr>
          <w:rFonts w:ascii="Arial" w:cs="Arial" w:eastAsia="Arial" w:hAnsi="Arial"/>
          <w:sz w:val="18"/>
          <w:szCs w:val="18"/>
          <w:u w:val="single" w:color="auto"/>
          <w:color w:val="auto"/>
        </w:rPr>
        <w:t>Section 2.03(a)(ii)</w:t>
      </w:r>
      <w:r>
        <w:rPr>
          <w:rFonts w:ascii="Arial" w:cs="Arial" w:eastAsia="Arial" w:hAnsi="Arial"/>
          <w:sz w:val="18"/>
          <w:szCs w:val="18"/>
          <w:color w:val="auto"/>
        </w:rPr>
        <w:t xml:space="preserve"> or otherwise), then, subject to the terms and conditions hereof, the L/C Issuer shall, on the requested date, issue a Letter of Credit for the account of the applicable Borrower or the applicable Loan Party or enter into the applicable amendment, as the case may be, in each case in accordance with the L/C Issuer’s usual and customary business practices. Immediately upon the issuance or amendment of each Letter of Credit, each Revolving Lender shall be deemed to (without any further action), and hereby irrevocably and unconditionally agrees to, purchase from the L/C Issuer, without recourse or warranty, a risk participation in such Letter of Credit in an amount equal to the product of such Revolving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Stated Amount of such Letter of Credit. Upon any change in the Aggregate Revolving Commitments under this Agreement, it is hereby agreed that with respect to all L/C Obligations, there shall be an automatic adjustment to the participations hereby created to reflect the new Applicable Percentages of the assigning and assignee Revolving Lenders.</w:t>
      </w:r>
    </w:p>
    <w:p>
      <w:pPr>
        <w:spacing w:after="0" w:line="92" w:lineRule="exact"/>
        <w:rPr>
          <w:sz w:val="20"/>
          <w:szCs w:val="20"/>
          <w:color w:val="auto"/>
        </w:rPr>
      </w:pPr>
    </w:p>
    <w:tbl>
      <w:tblPr>
        <w:tblLayout w:type="fixed"/>
        <w:tblInd w:w="2340" w:type="dxa"/>
        <w:tblCellMar>
          <w:top w:w="0" w:type="dxa"/>
          <w:left w:w="0" w:type="dxa"/>
          <w:bottom w:w="0" w:type="dxa"/>
          <w:right w:w="0" w:type="dxa"/>
        </w:tblCellMar>
      </w:tblPr>
      <w:tr>
        <w:trPr>
          <w:trHeight w:val="250"/>
        </w:trPr>
        <w:tc>
          <w:tcPr>
            <w:tcW w:w="3900" w:type="dxa"/>
            <w:vAlign w:val="bottom"/>
          </w:tcPr>
          <w:p>
            <w:pPr>
              <w:ind w:left="2040"/>
              <w:spacing w:after="0"/>
              <w:rPr>
                <w:sz w:val="20"/>
                <w:szCs w:val="20"/>
                <w:color w:val="auto"/>
              </w:rPr>
            </w:pPr>
            <w:r>
              <w:rPr>
                <w:rFonts w:ascii="Arial" w:cs="Arial" w:eastAsia="Arial" w:hAnsi="Arial"/>
                <w:sz w:val="20"/>
                <w:szCs w:val="20"/>
                <w:color w:val="auto"/>
              </w:rPr>
              <w:t>(iii)</w:t>
            </w:r>
          </w:p>
        </w:tc>
        <w:tc>
          <w:tcPr>
            <w:tcW w:w="5000" w:type="dxa"/>
            <w:vAlign w:val="bottom"/>
            <w:gridSpan w:val="8"/>
          </w:tcPr>
          <w:p>
            <w:pPr>
              <w:ind w:left="300"/>
              <w:spacing w:after="0"/>
              <w:rPr>
                <w:sz w:val="20"/>
                <w:szCs w:val="20"/>
                <w:color w:val="auto"/>
              </w:rPr>
            </w:pPr>
            <w:r>
              <w:rPr>
                <w:rFonts w:ascii="Arial" w:cs="Arial" w:eastAsia="Arial" w:hAnsi="Arial"/>
                <w:sz w:val="20"/>
                <w:szCs w:val="20"/>
                <w:color w:val="auto"/>
                <w:w w:val="93"/>
              </w:rPr>
              <w:t>If the Lead Borrower so requests in any applicable Letter</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2"/>
              </w:rPr>
              <w:t>of Credit Application, the L/C Issuer may, in its sole and absolute discretion, agree to issue a Letter of Credit</w:t>
            </w:r>
          </w:p>
        </w:tc>
      </w:tr>
      <w:tr>
        <w:trPr>
          <w:trHeight w:val="225"/>
        </w:trPr>
        <w:tc>
          <w:tcPr>
            <w:tcW w:w="8900" w:type="dxa"/>
            <w:vAlign w:val="bottom"/>
            <w:gridSpan w:val="9"/>
          </w:tcPr>
          <w:p>
            <w:pPr>
              <w:spacing w:after="0" w:line="226" w:lineRule="exact"/>
              <w:rPr>
                <w:sz w:val="20"/>
                <w:szCs w:val="20"/>
                <w:color w:val="auto"/>
              </w:rPr>
            </w:pPr>
            <w:r>
              <w:rPr>
                <w:rFonts w:ascii="Arial" w:cs="Arial" w:eastAsia="Arial" w:hAnsi="Arial"/>
                <w:sz w:val="20"/>
                <w:szCs w:val="20"/>
                <w:color w:val="auto"/>
                <w:w w:val="90"/>
              </w:rPr>
              <w:t>that has automatic renewal provisions (each, an “Auto-Renewal Letter of Credit”); provided that any such Auto-</w:t>
            </w:r>
          </w:p>
        </w:tc>
      </w:tr>
      <w:tr>
        <w:trPr>
          <w:trHeight w:val="20"/>
        </w:trPr>
        <w:tc>
          <w:tcPr>
            <w:tcW w:w="3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5"/>
        </w:trPr>
        <w:tc>
          <w:tcPr>
            <w:tcW w:w="8900" w:type="dxa"/>
            <w:vAlign w:val="bottom"/>
            <w:gridSpan w:val="9"/>
          </w:tcPr>
          <w:p>
            <w:pPr>
              <w:spacing w:after="0"/>
              <w:rPr>
                <w:sz w:val="20"/>
                <w:szCs w:val="20"/>
                <w:color w:val="auto"/>
              </w:rPr>
            </w:pPr>
            <w:r>
              <w:rPr>
                <w:rFonts w:ascii="Arial" w:cs="Arial" w:eastAsia="Arial" w:hAnsi="Arial"/>
                <w:sz w:val="20"/>
                <w:szCs w:val="20"/>
                <w:color w:val="auto"/>
                <w:w w:val="91"/>
              </w:rPr>
              <w:t>Renewal Letter of Credit must permit the L/C Issuer to prevent any such renewal at least once in each twelve-</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4"/>
              </w:rPr>
              <w:t>month period (commencing with the date of issuance of such Auto-Renewal Letter of Credit) by giving prior</w:t>
            </w:r>
          </w:p>
        </w:tc>
      </w:tr>
      <w:tr>
        <w:trPr>
          <w:trHeight w:val="225"/>
        </w:trPr>
        <w:tc>
          <w:tcPr>
            <w:tcW w:w="8900" w:type="dxa"/>
            <w:vAlign w:val="bottom"/>
            <w:gridSpan w:val="9"/>
          </w:tcPr>
          <w:p>
            <w:pPr>
              <w:spacing w:after="0" w:line="226" w:lineRule="exact"/>
              <w:rPr>
                <w:sz w:val="20"/>
                <w:szCs w:val="20"/>
                <w:color w:val="auto"/>
              </w:rPr>
            </w:pPr>
            <w:r>
              <w:rPr>
                <w:rFonts w:ascii="Arial" w:cs="Arial" w:eastAsia="Arial" w:hAnsi="Arial"/>
                <w:sz w:val="20"/>
                <w:szCs w:val="20"/>
                <w:color w:val="auto"/>
                <w:w w:val="90"/>
              </w:rPr>
              <w:t>notice to the beneficiary thereof not later than a day (the “Nonrenewal Notice Date”) in each such twelve-month</w:t>
            </w:r>
          </w:p>
        </w:tc>
      </w:tr>
      <w:tr>
        <w:trPr>
          <w:trHeight w:val="20"/>
        </w:trPr>
        <w:tc>
          <w:tcPr>
            <w:tcW w:w="4600" w:type="dxa"/>
            <w:vAlign w:val="bottom"/>
            <w:gridSpan w:val="2"/>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5"/>
        </w:trPr>
        <w:tc>
          <w:tcPr>
            <w:tcW w:w="8900" w:type="dxa"/>
            <w:vAlign w:val="bottom"/>
            <w:gridSpan w:val="9"/>
          </w:tcPr>
          <w:p>
            <w:pPr>
              <w:spacing w:after="0"/>
              <w:rPr>
                <w:sz w:val="20"/>
                <w:szCs w:val="20"/>
                <w:color w:val="auto"/>
              </w:rPr>
            </w:pPr>
            <w:r>
              <w:rPr>
                <w:rFonts w:ascii="Arial" w:cs="Arial" w:eastAsia="Arial" w:hAnsi="Arial"/>
                <w:sz w:val="20"/>
                <w:szCs w:val="20"/>
                <w:color w:val="auto"/>
                <w:w w:val="95"/>
              </w:rPr>
              <w:t>period to be agreed upon at the time such Letter of Credit is issued. Unless otherwise directed by the L/C</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4"/>
              </w:rPr>
              <w:t>Issuer, Borrowers shall not be required to make a specific request to such L/C Issuer for any such renewal.</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5"/>
              </w:rPr>
              <w:t>Once an Auto-Renewal Letter of Credit has been issued, the Revolving Lenders shall be deemed to have</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3"/>
              </w:rPr>
              <w:t>authorized (but may not require) the L/C Issuer to permit the renewal of such Auto-Renewal Letter of Credit</w:t>
            </w:r>
          </w:p>
        </w:tc>
      </w:tr>
      <w:tr>
        <w:trPr>
          <w:trHeight w:val="225"/>
        </w:trPr>
        <w:tc>
          <w:tcPr>
            <w:tcW w:w="8900" w:type="dxa"/>
            <w:vAlign w:val="bottom"/>
            <w:gridSpan w:val="9"/>
          </w:tcPr>
          <w:p>
            <w:pPr>
              <w:spacing w:after="0" w:line="226" w:lineRule="exact"/>
              <w:rPr>
                <w:sz w:val="20"/>
                <w:szCs w:val="20"/>
                <w:color w:val="auto"/>
              </w:rPr>
            </w:pPr>
            <w:r>
              <w:rPr>
                <w:rFonts w:ascii="Arial" w:cs="Arial" w:eastAsia="Arial" w:hAnsi="Arial"/>
                <w:sz w:val="20"/>
                <w:szCs w:val="20"/>
                <w:color w:val="auto"/>
                <w:w w:val="93"/>
              </w:rPr>
              <w:t>from time to time to an expiry date not later than the Letter of Credit Expiration Date; provided that such L/C</w:t>
            </w:r>
          </w:p>
        </w:tc>
      </w:tr>
      <w:tr>
        <w:trPr>
          <w:trHeight w:val="20"/>
        </w:trPr>
        <w:tc>
          <w:tcPr>
            <w:tcW w:w="6840" w:type="dxa"/>
            <w:vAlign w:val="bottom"/>
            <w:gridSpan w:val="6"/>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95"/>
        </w:trPr>
        <w:tc>
          <w:tcPr>
            <w:tcW w:w="8900" w:type="dxa"/>
            <w:vAlign w:val="bottom"/>
            <w:gridSpan w:val="9"/>
          </w:tcPr>
          <w:p>
            <w:pPr>
              <w:spacing w:after="0"/>
              <w:rPr>
                <w:sz w:val="20"/>
                <w:szCs w:val="20"/>
                <w:color w:val="auto"/>
              </w:rPr>
            </w:pPr>
            <w:r>
              <w:rPr>
                <w:rFonts w:ascii="Arial" w:cs="Arial" w:eastAsia="Arial" w:hAnsi="Arial"/>
                <w:sz w:val="20"/>
                <w:szCs w:val="20"/>
                <w:color w:val="auto"/>
                <w:w w:val="91"/>
              </w:rPr>
              <w:t>Issuer shall not permit any such renewal if (A) such L/C Issuer has determined that it would have no obligation</w:t>
            </w:r>
          </w:p>
        </w:tc>
      </w:tr>
      <w:tr>
        <w:trPr>
          <w:trHeight w:val="270"/>
        </w:trPr>
        <w:tc>
          <w:tcPr>
            <w:tcW w:w="8900" w:type="dxa"/>
            <w:vAlign w:val="bottom"/>
            <w:gridSpan w:val="9"/>
          </w:tcPr>
          <w:p>
            <w:pPr>
              <w:spacing w:after="0"/>
              <w:rPr>
                <w:sz w:val="20"/>
                <w:szCs w:val="20"/>
                <w:color w:val="auto"/>
              </w:rPr>
            </w:pPr>
            <w:r>
              <w:rPr>
                <w:rFonts w:ascii="Arial" w:cs="Arial" w:eastAsia="Arial" w:hAnsi="Arial"/>
                <w:sz w:val="20"/>
                <w:szCs w:val="20"/>
                <w:color w:val="auto"/>
                <w:w w:val="98"/>
              </w:rPr>
              <w:t>at such time to issue such Letter of Credit in its renewed form under the terms hereof (by reason of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40" w:type="dxa"/>
            <w:vAlign w:val="bottom"/>
          </w:tcPr>
          <w:p>
            <w:pPr>
              <w:spacing w:after="0"/>
              <w:rPr>
                <w:sz w:val="19"/>
                <w:szCs w:val="19"/>
                <w:color w:val="auto"/>
              </w:rPr>
            </w:pPr>
          </w:p>
        </w:tc>
        <w:tc>
          <w:tcPr>
            <w:tcW w:w="9500" w:type="dxa"/>
            <w:vAlign w:val="bottom"/>
            <w:gridSpan w:val="5"/>
          </w:tcPr>
          <w:p>
            <w:pPr>
              <w:ind w:left="600"/>
              <w:spacing w:after="0" w:line="226" w:lineRule="exact"/>
              <w:rPr>
                <w:sz w:val="20"/>
                <w:szCs w:val="20"/>
                <w:color w:val="auto"/>
              </w:rPr>
            </w:pPr>
            <w:r>
              <w:rPr>
                <w:rFonts w:ascii="Arial" w:cs="Arial" w:eastAsia="Arial" w:hAnsi="Arial"/>
                <w:sz w:val="20"/>
                <w:szCs w:val="20"/>
                <w:color w:val="auto"/>
                <w:w w:val="97"/>
              </w:rPr>
              <w:t>provisions of Section 2.03(a)(ii) or otherwise), or (B) it has received notice (which may be by telephone,</w:t>
            </w:r>
          </w:p>
        </w:tc>
      </w:tr>
      <w:tr>
        <w:trPr>
          <w:trHeight w:val="20"/>
        </w:trPr>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94"/>
        </w:trPr>
        <w:tc>
          <w:tcPr>
            <w:tcW w:w="1740" w:type="dxa"/>
            <w:vAlign w:val="bottom"/>
          </w:tcPr>
          <w:p>
            <w:pPr>
              <w:spacing w:after="0"/>
              <w:rPr>
                <w:sz w:val="24"/>
                <w:szCs w:val="24"/>
                <w:color w:val="auto"/>
              </w:rPr>
            </w:pPr>
          </w:p>
        </w:tc>
        <w:tc>
          <w:tcPr>
            <w:tcW w:w="9500" w:type="dxa"/>
            <w:vAlign w:val="bottom"/>
            <w:gridSpan w:val="5"/>
          </w:tcPr>
          <w:p>
            <w:pPr>
              <w:ind w:left="600"/>
              <w:spacing w:after="0"/>
              <w:rPr>
                <w:sz w:val="20"/>
                <w:szCs w:val="20"/>
                <w:color w:val="auto"/>
              </w:rPr>
            </w:pPr>
            <w:r>
              <w:rPr>
                <w:rFonts w:ascii="Arial" w:cs="Arial" w:eastAsia="Arial" w:hAnsi="Arial"/>
                <w:sz w:val="20"/>
                <w:szCs w:val="20"/>
                <w:color w:val="auto"/>
              </w:rPr>
              <w:t>followed promptly in writing, or in writing) on or before the day that is five Business Days before the</w:t>
            </w:r>
          </w:p>
        </w:tc>
      </w:tr>
      <w:tr>
        <w:trPr>
          <w:trHeight w:val="270"/>
        </w:trPr>
        <w:tc>
          <w:tcPr>
            <w:tcW w:w="1740" w:type="dxa"/>
            <w:vAlign w:val="bottom"/>
          </w:tcPr>
          <w:p>
            <w:pPr>
              <w:spacing w:after="0"/>
              <w:rPr>
                <w:sz w:val="23"/>
                <w:szCs w:val="23"/>
                <w:color w:val="auto"/>
              </w:rPr>
            </w:pPr>
          </w:p>
        </w:tc>
        <w:tc>
          <w:tcPr>
            <w:tcW w:w="9500" w:type="dxa"/>
            <w:vAlign w:val="bottom"/>
            <w:gridSpan w:val="5"/>
          </w:tcPr>
          <w:p>
            <w:pPr>
              <w:ind w:left="600"/>
              <w:spacing w:after="0"/>
              <w:rPr>
                <w:sz w:val="20"/>
                <w:szCs w:val="20"/>
                <w:color w:val="auto"/>
              </w:rPr>
            </w:pPr>
            <w:r>
              <w:rPr>
                <w:rFonts w:ascii="Arial" w:cs="Arial" w:eastAsia="Arial" w:hAnsi="Arial"/>
                <w:sz w:val="20"/>
                <w:szCs w:val="20"/>
                <w:color w:val="auto"/>
                <w:w w:val="93"/>
              </w:rPr>
              <w:t>applicable Nonrenewal Notice Date from the Agent or any Revolving Lender, as applicable, or any Borrower</w:t>
            </w:r>
          </w:p>
        </w:tc>
      </w:tr>
      <w:tr>
        <w:trPr>
          <w:trHeight w:val="226"/>
        </w:trPr>
        <w:tc>
          <w:tcPr>
            <w:tcW w:w="1740" w:type="dxa"/>
            <w:vAlign w:val="bottom"/>
          </w:tcPr>
          <w:p>
            <w:pPr>
              <w:spacing w:after="0"/>
              <w:rPr>
                <w:sz w:val="19"/>
                <w:szCs w:val="19"/>
                <w:color w:val="auto"/>
              </w:rPr>
            </w:pPr>
          </w:p>
        </w:tc>
        <w:tc>
          <w:tcPr>
            <w:tcW w:w="9500" w:type="dxa"/>
            <w:vAlign w:val="bottom"/>
            <w:gridSpan w:val="5"/>
          </w:tcPr>
          <w:p>
            <w:pPr>
              <w:ind w:left="600"/>
              <w:spacing w:after="0" w:line="226" w:lineRule="exact"/>
              <w:rPr>
                <w:sz w:val="20"/>
                <w:szCs w:val="20"/>
                <w:color w:val="auto"/>
              </w:rPr>
            </w:pPr>
            <w:r>
              <w:rPr>
                <w:rFonts w:ascii="Arial" w:cs="Arial" w:eastAsia="Arial" w:hAnsi="Arial"/>
                <w:sz w:val="20"/>
                <w:szCs w:val="20"/>
                <w:color w:val="auto"/>
              </w:rPr>
              <w:t>that one or more of the applicable conditions specified in Section 4.02 is not then satisfied.</w:t>
            </w:r>
          </w:p>
        </w:tc>
      </w:tr>
      <w:tr>
        <w:trPr>
          <w:trHeight w:val="575"/>
        </w:trPr>
        <w:tc>
          <w:tcPr>
            <w:tcW w:w="17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5160" w:type="dxa"/>
            <w:vAlign w:val="bottom"/>
            <w:gridSpan w:val="3"/>
          </w:tcPr>
          <w:p>
            <w:pPr>
              <w:ind w:left="3720"/>
              <w:spacing w:after="0"/>
              <w:rPr>
                <w:sz w:val="20"/>
                <w:szCs w:val="20"/>
                <w:color w:val="auto"/>
              </w:rPr>
            </w:pPr>
            <w:r>
              <w:rPr>
                <w:rFonts w:ascii="Arial" w:cs="Arial" w:eastAsia="Arial" w:hAnsi="Arial"/>
                <w:sz w:val="20"/>
                <w:szCs w:val="20"/>
                <w:color w:val="auto"/>
              </w:rPr>
              <w:t>-69-</w:t>
            </w:r>
          </w:p>
        </w:tc>
        <w:tc>
          <w:tcPr>
            <w:tcW w:w="100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383"/>
        </w:trPr>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3" w:name="page74"/>
    <w:bookmarkEnd w:id="73"/>
    <w:tbl>
      <w:tblPr>
        <w:tblLayout w:type="fixed"/>
        <w:tblInd w:w="100" w:type="dxa"/>
        <w:tblCellMar>
          <w:top w:w="0" w:type="dxa"/>
          <w:left w:w="0" w:type="dxa"/>
          <w:bottom w:w="0" w:type="dxa"/>
          <w:right w:w="0" w:type="dxa"/>
        </w:tblCellMar>
      </w:tblPr>
      <w:tr>
        <w:trPr>
          <w:trHeight w:val="250"/>
        </w:trPr>
        <w:tc>
          <w:tcPr>
            <w:tcW w:w="2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620" w:type="dxa"/>
            <w:vAlign w:val="bottom"/>
            <w:gridSpan w:val="3"/>
          </w:tcPr>
          <w:p>
            <w:pPr>
              <w:jc w:val="center"/>
              <w:ind w:left="441"/>
              <w:spacing w:after="0"/>
              <w:rPr>
                <w:sz w:val="20"/>
                <w:szCs w:val="20"/>
                <w:color w:val="auto"/>
              </w:rPr>
            </w:pPr>
            <w:r>
              <w:rPr>
                <w:rFonts w:ascii="Arial" w:cs="Arial" w:eastAsia="Arial" w:hAnsi="Arial"/>
                <w:sz w:val="20"/>
                <w:szCs w:val="20"/>
                <w:color w:val="auto"/>
              </w:rPr>
              <w:t>(iv)</w:t>
            </w:r>
          </w:p>
        </w:tc>
        <w:tc>
          <w:tcPr>
            <w:tcW w:w="700" w:type="dxa"/>
            <w:vAlign w:val="bottom"/>
          </w:tcPr>
          <w:p>
            <w:pPr>
              <w:spacing w:after="0"/>
              <w:rPr>
                <w:sz w:val="21"/>
                <w:szCs w:val="21"/>
                <w:color w:val="auto"/>
              </w:rPr>
            </w:pPr>
          </w:p>
        </w:tc>
        <w:tc>
          <w:tcPr>
            <w:tcW w:w="5480" w:type="dxa"/>
            <w:vAlign w:val="bottom"/>
          </w:tcPr>
          <w:p>
            <w:pPr>
              <w:ind w:left="780"/>
              <w:spacing w:after="0"/>
              <w:rPr>
                <w:sz w:val="20"/>
                <w:szCs w:val="20"/>
                <w:color w:val="auto"/>
              </w:rPr>
            </w:pPr>
            <w:r>
              <w:rPr>
                <w:rFonts w:ascii="Arial" w:cs="Arial" w:eastAsia="Arial" w:hAnsi="Arial"/>
                <w:sz w:val="20"/>
                <w:szCs w:val="20"/>
                <w:color w:val="auto"/>
                <w:w w:val="99"/>
              </w:rPr>
              <w:t>Any L/C Issuer (other than Citizens Bank or any of its</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5"/>
              </w:rPr>
              <w:t>Affiliates) shall notify the Agent in writing on each Business Day of all Letters of Credit issued on the prior</w:t>
            </w:r>
          </w:p>
        </w:tc>
      </w:tr>
      <w:tr>
        <w:trPr>
          <w:trHeight w:val="225"/>
        </w:trPr>
        <w:tc>
          <w:tcPr>
            <w:tcW w:w="220" w:type="dxa"/>
            <w:vAlign w:val="bottom"/>
          </w:tcPr>
          <w:p>
            <w:pPr>
              <w:spacing w:after="0"/>
              <w:rPr>
                <w:sz w:val="19"/>
                <w:szCs w:val="19"/>
                <w:color w:val="auto"/>
              </w:rPr>
            </w:pPr>
          </w:p>
        </w:tc>
        <w:tc>
          <w:tcPr>
            <w:tcW w:w="10920" w:type="dxa"/>
            <w:vAlign w:val="bottom"/>
            <w:gridSpan w:val="6"/>
          </w:tcPr>
          <w:p>
            <w:pPr>
              <w:ind w:left="2020"/>
              <w:spacing w:after="0" w:line="226" w:lineRule="exact"/>
              <w:rPr>
                <w:sz w:val="20"/>
                <w:szCs w:val="20"/>
                <w:color w:val="auto"/>
              </w:rPr>
            </w:pPr>
            <w:r>
              <w:rPr>
                <w:rFonts w:ascii="Arial" w:cs="Arial" w:eastAsia="Arial" w:hAnsi="Arial"/>
                <w:sz w:val="20"/>
                <w:szCs w:val="20"/>
                <w:color w:val="auto"/>
                <w:w w:val="97"/>
              </w:rPr>
              <w:t>Business Day by such L/C Issuer, provided that (A) until the Agent advises any such L/C Issuer that the</w:t>
            </w:r>
          </w:p>
        </w:tc>
      </w:tr>
      <w:tr>
        <w:trPr>
          <w:trHeight w:val="20"/>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2"/>
              </w:rPr>
              <w:t>provisions of Section 4.02 are not satisfied, or (B) the aggregate amount of the Letters of Credit issued in any</w:t>
            </w:r>
          </w:p>
        </w:tc>
      </w:tr>
      <w:tr>
        <w:trPr>
          <w:trHeight w:val="20"/>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r>
      <w:tr>
        <w:trPr>
          <w:trHeight w:val="295"/>
        </w:trPr>
        <w:tc>
          <w:tcPr>
            <w:tcW w:w="220" w:type="dxa"/>
            <w:vAlign w:val="bottom"/>
          </w:tcPr>
          <w:p>
            <w:pPr>
              <w:spacing w:after="0"/>
              <w:rPr>
                <w:sz w:val="24"/>
                <w:szCs w:val="24"/>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1"/>
              </w:rPr>
              <w:t>such week exceeds such amount as shall be agreed by the Agent and the L/C Issuer, such L/C Issuer shall be</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6"/>
              </w:rPr>
              <w:t>required to so notify the Agent in writing only once each week of the Letters of Credit issued by such L/C</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1"/>
              </w:rPr>
              <w:t>Issuer during the immediately preceding week as well as the daily amounts outstanding for all Letters of Credit</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1"/>
              </w:rPr>
              <w:t>issued by it for the prior week, such notice to be furnished on such day of the week as the Agent and such L/C</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1"/>
              </w:rPr>
              <w:t>Issuer may agree. The L/C Issuer will also deliver (contemporaneously with the notification set forth in the first</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5"/>
              </w:rPr>
              <w:t>sentence hereof) to the Lead Borrower and the Agent a true and complete copy of such Letter of Credit or</w:t>
            </w:r>
          </w:p>
        </w:tc>
      </w:tr>
      <w:tr>
        <w:trPr>
          <w:trHeight w:val="270"/>
        </w:trPr>
        <w:tc>
          <w:tcPr>
            <w:tcW w:w="220" w:type="dxa"/>
            <w:vAlign w:val="bottom"/>
          </w:tcPr>
          <w:p>
            <w:pPr>
              <w:spacing w:after="0"/>
              <w:rPr>
                <w:sz w:val="23"/>
                <w:szCs w:val="23"/>
                <w:color w:val="auto"/>
              </w:rPr>
            </w:pPr>
          </w:p>
        </w:tc>
        <w:tc>
          <w:tcPr>
            <w:tcW w:w="4740" w:type="dxa"/>
            <w:vAlign w:val="bottom"/>
            <w:gridSpan w:val="4"/>
          </w:tcPr>
          <w:p>
            <w:pPr>
              <w:ind w:left="2020"/>
              <w:spacing w:after="0"/>
              <w:rPr>
                <w:sz w:val="20"/>
                <w:szCs w:val="20"/>
                <w:color w:val="auto"/>
              </w:rPr>
            </w:pPr>
            <w:r>
              <w:rPr>
                <w:rFonts w:ascii="Arial" w:cs="Arial" w:eastAsia="Arial" w:hAnsi="Arial"/>
                <w:sz w:val="20"/>
                <w:szCs w:val="20"/>
                <w:color w:val="auto"/>
              </w:rPr>
              <w:t>amendment.</w:t>
            </w:r>
          </w:p>
        </w:tc>
        <w:tc>
          <w:tcPr>
            <w:tcW w:w="70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418"/>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20" w:type="dxa"/>
            <w:vAlign w:val="bottom"/>
            <w:gridSpan w:val="3"/>
          </w:tcPr>
          <w:p>
            <w:pPr>
              <w:jc w:val="center"/>
              <w:ind w:left="481"/>
              <w:spacing w:after="0"/>
              <w:rPr>
                <w:sz w:val="20"/>
                <w:szCs w:val="20"/>
                <w:color w:val="auto"/>
              </w:rPr>
            </w:pPr>
            <w:r>
              <w:rPr>
                <w:rFonts w:ascii="Arial" w:cs="Arial" w:eastAsia="Arial" w:hAnsi="Arial"/>
                <w:sz w:val="20"/>
                <w:szCs w:val="20"/>
                <w:color w:val="auto"/>
              </w:rPr>
              <w:t>(v)</w:t>
            </w:r>
          </w:p>
        </w:tc>
        <w:tc>
          <w:tcPr>
            <w:tcW w:w="700" w:type="dxa"/>
            <w:vAlign w:val="bottom"/>
          </w:tcPr>
          <w:p>
            <w:pPr>
              <w:spacing w:after="0"/>
              <w:rPr>
                <w:sz w:val="24"/>
                <w:szCs w:val="24"/>
                <w:color w:val="auto"/>
              </w:rPr>
            </w:pPr>
          </w:p>
        </w:tc>
        <w:tc>
          <w:tcPr>
            <w:tcW w:w="5480" w:type="dxa"/>
            <w:vAlign w:val="bottom"/>
          </w:tcPr>
          <w:p>
            <w:pPr>
              <w:ind w:left="780"/>
              <w:spacing w:after="0"/>
              <w:rPr>
                <w:sz w:val="20"/>
                <w:szCs w:val="20"/>
                <w:color w:val="auto"/>
              </w:rPr>
            </w:pPr>
            <w:r>
              <w:rPr>
                <w:rFonts w:ascii="Arial" w:cs="Arial" w:eastAsia="Arial" w:hAnsi="Arial"/>
                <w:sz w:val="20"/>
                <w:szCs w:val="20"/>
                <w:color w:val="auto"/>
                <w:w w:val="96"/>
              </w:rPr>
              <w:t>Promptly after its delivery of any Letter of Credit or any</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2"/>
              </w:rPr>
              <w:t>amendment to a Letter of Credit to an advising bank with respect thereto or to the beneficiary thereof, the L/C</w:t>
            </w:r>
          </w:p>
        </w:tc>
      </w:tr>
      <w:tr>
        <w:trPr>
          <w:trHeight w:val="270"/>
        </w:trPr>
        <w:tc>
          <w:tcPr>
            <w:tcW w:w="220" w:type="dxa"/>
            <w:vAlign w:val="bottom"/>
          </w:tcPr>
          <w:p>
            <w:pPr>
              <w:spacing w:after="0"/>
              <w:rPr>
                <w:sz w:val="23"/>
                <w:szCs w:val="23"/>
                <w:color w:val="auto"/>
              </w:rPr>
            </w:pPr>
          </w:p>
        </w:tc>
        <w:tc>
          <w:tcPr>
            <w:tcW w:w="10920" w:type="dxa"/>
            <w:vAlign w:val="bottom"/>
            <w:gridSpan w:val="6"/>
          </w:tcPr>
          <w:p>
            <w:pPr>
              <w:ind w:left="2020"/>
              <w:spacing w:after="0"/>
              <w:rPr>
                <w:sz w:val="20"/>
                <w:szCs w:val="20"/>
                <w:color w:val="auto"/>
              </w:rPr>
            </w:pPr>
            <w:r>
              <w:rPr>
                <w:rFonts w:ascii="Arial" w:cs="Arial" w:eastAsia="Arial" w:hAnsi="Arial"/>
                <w:sz w:val="20"/>
                <w:szCs w:val="20"/>
                <w:color w:val="auto"/>
                <w:w w:val="90"/>
              </w:rPr>
              <w:t>Issuer will also deliver to the Lead Borrower and the Agent a true and complete copy of such Letter of Credit or</w:t>
            </w:r>
          </w:p>
        </w:tc>
      </w:tr>
      <w:tr>
        <w:trPr>
          <w:trHeight w:val="270"/>
        </w:trPr>
        <w:tc>
          <w:tcPr>
            <w:tcW w:w="220" w:type="dxa"/>
            <w:vAlign w:val="bottom"/>
          </w:tcPr>
          <w:p>
            <w:pPr>
              <w:spacing w:after="0"/>
              <w:rPr>
                <w:sz w:val="23"/>
                <w:szCs w:val="23"/>
                <w:color w:val="auto"/>
              </w:rPr>
            </w:pPr>
          </w:p>
        </w:tc>
        <w:tc>
          <w:tcPr>
            <w:tcW w:w="4740" w:type="dxa"/>
            <w:vAlign w:val="bottom"/>
            <w:gridSpan w:val="4"/>
          </w:tcPr>
          <w:p>
            <w:pPr>
              <w:ind w:left="2020"/>
              <w:spacing w:after="0"/>
              <w:rPr>
                <w:sz w:val="20"/>
                <w:szCs w:val="20"/>
                <w:color w:val="auto"/>
              </w:rPr>
            </w:pPr>
            <w:r>
              <w:rPr>
                <w:rFonts w:ascii="Arial" w:cs="Arial" w:eastAsia="Arial" w:hAnsi="Arial"/>
                <w:sz w:val="20"/>
                <w:szCs w:val="20"/>
                <w:color w:val="auto"/>
              </w:rPr>
              <w:t>amendment.</w:t>
            </w:r>
          </w:p>
        </w:tc>
        <w:tc>
          <w:tcPr>
            <w:tcW w:w="70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360"/>
        </w:trPr>
        <w:tc>
          <w:tcPr>
            <w:tcW w:w="4960" w:type="dxa"/>
            <w:vAlign w:val="bottom"/>
            <w:gridSpan w:val="5"/>
          </w:tcPr>
          <w:p>
            <w:pPr>
              <w:spacing w:after="0"/>
              <w:rPr>
                <w:sz w:val="20"/>
                <w:szCs w:val="20"/>
                <w:color w:val="auto"/>
              </w:rPr>
            </w:pPr>
            <w:r>
              <w:rPr>
                <w:rFonts w:ascii="Arial" w:cs="Arial" w:eastAsia="Arial" w:hAnsi="Arial"/>
                <w:sz w:val="20"/>
                <w:szCs w:val="20"/>
                <w:color w:val="auto"/>
                <w:w w:val="91"/>
              </w:rPr>
              <w:t>(c)Drawings and Reimbursements; Funding of Participations.</w:t>
            </w:r>
          </w:p>
        </w:tc>
        <w:tc>
          <w:tcPr>
            <w:tcW w:w="7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43"/>
        </w:trPr>
        <w:tc>
          <w:tcPr>
            <w:tcW w:w="22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(i)</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80" w:type="dxa"/>
            <w:vAlign w:val="bottom"/>
          </w:tcPr>
          <w:p>
            <w:pPr>
              <w:ind w:left="780"/>
              <w:spacing w:after="0"/>
              <w:rPr>
                <w:sz w:val="20"/>
                <w:szCs w:val="20"/>
                <w:color w:val="auto"/>
              </w:rPr>
            </w:pPr>
            <w:r>
              <w:rPr>
                <w:rFonts w:ascii="Arial" w:cs="Arial" w:eastAsia="Arial" w:hAnsi="Arial"/>
                <w:sz w:val="20"/>
                <w:szCs w:val="20"/>
                <w:color w:val="auto"/>
                <w:w w:val="95"/>
              </w:rPr>
              <w:t>Upon receipt from the beneficiary of any Letter of Credit</w:t>
            </w:r>
          </w:p>
        </w:tc>
      </w:tr>
    </w:tbl>
    <w:p>
      <w:pPr>
        <w:spacing w:after="0" w:line="20" w:lineRule="exact"/>
        <w:rPr>
          <w:sz w:val="20"/>
          <w:szCs w:val="20"/>
          <w:color w:val="auto"/>
        </w:rPr>
      </w:pPr>
    </w:p>
    <w:p>
      <w:pPr>
        <w:ind w:left="2340" w:right="20"/>
        <w:spacing w:after="0" w:line="299" w:lineRule="auto"/>
        <w:rPr>
          <w:sz w:val="20"/>
          <w:szCs w:val="20"/>
          <w:color w:val="auto"/>
        </w:rPr>
      </w:pPr>
      <w:r>
        <w:rPr>
          <w:rFonts w:ascii="Arial" w:cs="Arial" w:eastAsia="Arial" w:hAnsi="Arial"/>
          <w:sz w:val="19"/>
          <w:szCs w:val="19"/>
          <w:color w:val="auto"/>
        </w:rPr>
        <w:t>of any notice of a drawing under such Letter of Credit, the L/C Issuer shall notify the Lead Borrower and the Agent thereof. Not later than 11:00 a.m. on the date of any payment by the L/C Issuer under a Letter of Credit (each such date, an “</w:t>
      </w:r>
      <w:r>
        <w:rPr>
          <w:rFonts w:ascii="Arial" w:cs="Arial" w:eastAsia="Arial" w:hAnsi="Arial"/>
          <w:sz w:val="19"/>
          <w:szCs w:val="19"/>
          <w:u w:val="single" w:color="auto"/>
          <w:color w:val="auto"/>
        </w:rPr>
        <w:t>L/C Honor Date</w:t>
      </w:r>
      <w:r>
        <w:rPr>
          <w:rFonts w:ascii="Arial" w:cs="Arial" w:eastAsia="Arial" w:hAnsi="Arial"/>
          <w:sz w:val="19"/>
          <w:szCs w:val="19"/>
          <w:color w:val="auto"/>
        </w:rPr>
        <w:t>”), the Borrowers shall reimburse the L/C Issuer through the Agent in an amount equal to the amount of such drawing. If the Borrowers fail to so reimburse the L/C Issuer by such time, the Agent shall promptly notify each Revolving Lender of the L/C Honor Date, the amount of the unreimbursed drawing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Revolving Lender’s Applicable Percentage thereof. In such event, the Borrowers shall be deemed to have requested a Committed Borrowing of Base Rate Loans to be disbursed on the L/C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Revolving Loan Cap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Any notice given by the L/C Issuer or the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provided that the lack of such an immediate confirmation shall not affect the conclusiveness or binding effect of such notice.</w:t>
      </w:r>
    </w:p>
    <w:p>
      <w:pPr>
        <w:spacing w:after="0" w:line="118" w:lineRule="exact"/>
        <w:rPr>
          <w:sz w:val="20"/>
          <w:szCs w:val="20"/>
          <w:color w:val="auto"/>
        </w:rPr>
      </w:pPr>
    </w:p>
    <w:tbl>
      <w:tblPr>
        <w:tblLayout w:type="fixed"/>
        <w:tblInd w:w="2340" w:type="dxa"/>
        <w:tblCellMar>
          <w:top w:w="0" w:type="dxa"/>
          <w:left w:w="0" w:type="dxa"/>
          <w:bottom w:w="0" w:type="dxa"/>
          <w:right w:w="0" w:type="dxa"/>
        </w:tblCellMar>
      </w:tblPr>
      <w:tr>
        <w:trPr>
          <w:trHeight w:val="250"/>
        </w:trPr>
        <w:tc>
          <w:tcPr>
            <w:tcW w:w="1480" w:type="dxa"/>
            <w:vAlign w:val="bottom"/>
          </w:tcPr>
          <w:p>
            <w:pPr>
              <w:spacing w:after="0"/>
              <w:rPr>
                <w:sz w:val="21"/>
                <w:szCs w:val="21"/>
                <w:color w:val="auto"/>
              </w:rPr>
            </w:pPr>
          </w:p>
        </w:tc>
        <w:tc>
          <w:tcPr>
            <w:tcW w:w="1400" w:type="dxa"/>
            <w:vAlign w:val="bottom"/>
          </w:tcPr>
          <w:p>
            <w:pPr>
              <w:ind w:left="600"/>
              <w:spacing w:after="0"/>
              <w:rPr>
                <w:sz w:val="20"/>
                <w:szCs w:val="20"/>
                <w:color w:val="auto"/>
              </w:rPr>
            </w:pPr>
            <w:r>
              <w:rPr>
                <w:rFonts w:ascii="Arial" w:cs="Arial" w:eastAsia="Arial" w:hAnsi="Arial"/>
                <w:sz w:val="20"/>
                <w:szCs w:val="20"/>
                <w:color w:val="auto"/>
              </w:rPr>
              <w:t>(ii)</w:t>
            </w:r>
          </w:p>
        </w:tc>
        <w:tc>
          <w:tcPr>
            <w:tcW w:w="5660" w:type="dxa"/>
            <w:vAlign w:val="bottom"/>
          </w:tcPr>
          <w:p>
            <w:pPr>
              <w:ind w:left="1320"/>
              <w:spacing w:after="0"/>
              <w:rPr>
                <w:sz w:val="20"/>
                <w:szCs w:val="20"/>
                <w:color w:val="auto"/>
              </w:rPr>
            </w:pPr>
            <w:r>
              <w:rPr>
                <w:rFonts w:ascii="Arial" w:cs="Arial" w:eastAsia="Arial" w:hAnsi="Arial"/>
                <w:sz w:val="20"/>
                <w:szCs w:val="20"/>
                <w:color w:val="auto"/>
                <w:w w:val="90"/>
              </w:rPr>
              <w:t>Each Revolving Lender shall upon any notice from the</w:t>
            </w:r>
          </w:p>
        </w:tc>
      </w:tr>
      <w:tr>
        <w:trPr>
          <w:trHeight w:val="225"/>
        </w:trPr>
        <w:tc>
          <w:tcPr>
            <w:tcW w:w="8540" w:type="dxa"/>
            <w:vAlign w:val="bottom"/>
            <w:gridSpan w:val="3"/>
          </w:tcPr>
          <w:p>
            <w:pPr>
              <w:spacing w:after="0" w:line="226" w:lineRule="exact"/>
              <w:rPr>
                <w:sz w:val="20"/>
                <w:szCs w:val="20"/>
                <w:color w:val="auto"/>
              </w:rPr>
            </w:pPr>
            <w:r>
              <w:rPr>
                <w:rFonts w:ascii="Arial" w:cs="Arial" w:eastAsia="Arial" w:hAnsi="Arial"/>
                <w:sz w:val="20"/>
                <w:szCs w:val="20"/>
                <w:color w:val="auto"/>
                <w:w w:val="93"/>
              </w:rPr>
              <w:t>Agent pursuant to Section 2.03(c)(i) make funds available to the Agent (and the Agent may apply Cash</w:t>
            </w:r>
          </w:p>
        </w:tc>
      </w:tr>
      <w:tr>
        <w:trPr>
          <w:trHeight w:val="20"/>
        </w:trPr>
        <w:tc>
          <w:tcPr>
            <w:tcW w:w="1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51" w:lineRule="exact"/>
        <w:rPr>
          <w:sz w:val="20"/>
          <w:szCs w:val="20"/>
          <w:color w:val="auto"/>
        </w:rPr>
      </w:pPr>
    </w:p>
    <w:p>
      <w:pPr>
        <w:ind w:left="2340" w:right="120"/>
        <w:spacing w:after="0" w:line="305" w:lineRule="auto"/>
        <w:rPr>
          <w:sz w:val="20"/>
          <w:szCs w:val="20"/>
          <w:color w:val="auto"/>
        </w:rPr>
      </w:pPr>
      <w:r>
        <w:rPr>
          <w:rFonts w:ascii="Arial" w:cs="Arial" w:eastAsia="Arial" w:hAnsi="Arial"/>
          <w:sz w:val="19"/>
          <w:szCs w:val="19"/>
          <w:color w:val="auto"/>
        </w:rPr>
        <w:t xml:space="preserve">Collateral provided for this purpose) for the account of the L/C Issuer at the Agent’s Office in an amount equal to its Applicable Percentage of the Unreimbursed Amount not later than 1:00 p.m. on the Business Day specified in such notice by the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Revolving Lender that so makes funds available shall be deemed to have made a Base Rate Loan to the Borrowers in such amount. The Agent shall remit the funds so received to the L/C Issuer.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tcPr>
          <w:p>
            <w:pPr>
              <w:ind w:left="4380"/>
              <w:spacing w:after="0"/>
              <w:rPr>
                <w:sz w:val="20"/>
                <w:szCs w:val="20"/>
                <w:color w:val="auto"/>
              </w:rPr>
            </w:pPr>
            <w:r>
              <w:rPr>
                <w:rFonts w:ascii="Arial" w:cs="Arial" w:eastAsia="Arial" w:hAnsi="Arial"/>
                <w:sz w:val="20"/>
                <w:szCs w:val="20"/>
                <w:color w:val="auto"/>
              </w:rPr>
              <w:t>(iii)</w:t>
            </w:r>
          </w:p>
        </w:tc>
        <w:tc>
          <w:tcPr>
            <w:tcW w:w="6180" w:type="dxa"/>
            <w:vAlign w:val="bottom"/>
            <w:gridSpan w:val="3"/>
          </w:tcPr>
          <w:p>
            <w:pPr>
              <w:ind w:left="1480"/>
              <w:spacing w:after="0"/>
              <w:rPr>
                <w:sz w:val="20"/>
                <w:szCs w:val="20"/>
                <w:color w:val="auto"/>
              </w:rPr>
            </w:pPr>
            <w:r>
              <w:rPr>
                <w:rFonts w:ascii="Arial" w:cs="Arial" w:eastAsia="Arial" w:hAnsi="Arial"/>
                <w:sz w:val="20"/>
                <w:szCs w:val="20"/>
                <w:color w:val="auto"/>
                <w:w w:val="91"/>
              </w:rPr>
              <w:t>With respect to any Unreimbursed Amount that is not fully</w:t>
            </w:r>
          </w:p>
        </w:tc>
      </w:tr>
      <w:tr>
        <w:trPr>
          <w:trHeight w:val="226"/>
        </w:trPr>
        <w:tc>
          <w:tcPr>
            <w:tcW w:w="11240" w:type="dxa"/>
            <w:vAlign w:val="bottom"/>
            <w:gridSpan w:val="4"/>
          </w:tcPr>
          <w:p>
            <w:pPr>
              <w:ind w:left="2340"/>
              <w:spacing w:after="0" w:line="226" w:lineRule="exact"/>
              <w:rPr>
                <w:sz w:val="20"/>
                <w:szCs w:val="20"/>
                <w:color w:val="auto"/>
              </w:rPr>
            </w:pPr>
            <w:r>
              <w:rPr>
                <w:rFonts w:ascii="Arial" w:cs="Arial" w:eastAsia="Arial" w:hAnsi="Arial"/>
                <w:sz w:val="20"/>
                <w:szCs w:val="20"/>
                <w:color w:val="auto"/>
                <w:w w:val="94"/>
              </w:rPr>
              <w:t>refinanced by a Committed Borrowing of Base Rate Loans because the conditions set forth in Section 4.02</w:t>
            </w:r>
          </w:p>
        </w:tc>
      </w:tr>
      <w:tr>
        <w:trPr>
          <w:trHeight w:val="20"/>
        </w:trPr>
        <w:tc>
          <w:tcPr>
            <w:tcW w:w="980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4"/>
        </w:trPr>
        <w:tc>
          <w:tcPr>
            <w:tcW w:w="11240" w:type="dxa"/>
            <w:vAlign w:val="bottom"/>
            <w:gridSpan w:val="4"/>
          </w:tcPr>
          <w:p>
            <w:pPr>
              <w:ind w:left="2340"/>
              <w:spacing w:after="0"/>
              <w:rPr>
                <w:sz w:val="20"/>
                <w:szCs w:val="20"/>
                <w:color w:val="auto"/>
              </w:rPr>
            </w:pPr>
            <w:r>
              <w:rPr>
                <w:rFonts w:ascii="Arial" w:cs="Arial" w:eastAsia="Arial" w:hAnsi="Arial"/>
                <w:sz w:val="20"/>
                <w:szCs w:val="20"/>
                <w:color w:val="auto"/>
                <w:w w:val="89"/>
              </w:rPr>
              <w:t>cannot be satisfied or for any other reason, the Borrowers shall be deemed to have incurred from the L/C Issuer</w:t>
            </w:r>
          </w:p>
        </w:tc>
      </w:tr>
      <w:tr>
        <w:trPr>
          <w:trHeight w:val="551"/>
        </w:trPr>
        <w:tc>
          <w:tcPr>
            <w:tcW w:w="506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4740" w:type="dxa"/>
            <w:vAlign w:val="bottom"/>
          </w:tcPr>
          <w:p>
            <w:pPr>
              <w:jc w:val="right"/>
              <w:ind w:right="3901"/>
              <w:spacing w:after="0"/>
              <w:rPr>
                <w:sz w:val="20"/>
                <w:szCs w:val="20"/>
                <w:color w:val="auto"/>
              </w:rPr>
            </w:pPr>
            <w:r>
              <w:rPr>
                <w:rFonts w:ascii="Arial" w:cs="Arial" w:eastAsia="Arial" w:hAnsi="Arial"/>
                <w:sz w:val="20"/>
                <w:szCs w:val="20"/>
                <w:color w:val="auto"/>
              </w:rPr>
              <w:t>-70-</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3"/>
        </w:trPr>
        <w:tc>
          <w:tcPr>
            <w:tcW w:w="50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4" w:name="page75"/>
    <w:bookmarkEnd w:id="74"/>
    <w:p>
      <w:pPr>
        <w:ind w:left="2340" w:right="120"/>
        <w:spacing w:after="0" w:line="286" w:lineRule="auto"/>
        <w:rPr>
          <w:sz w:val="20"/>
          <w:szCs w:val="20"/>
          <w:color w:val="auto"/>
        </w:rPr>
      </w:pPr>
      <w:r>
        <w:rPr>
          <w:rFonts w:ascii="Arial" w:cs="Arial" w:eastAsia="Arial" w:hAnsi="Arial"/>
          <w:sz w:val="20"/>
          <w:szCs w:val="20"/>
          <w:color w:val="auto"/>
        </w:rPr>
        <w:t xml:space="preserve">an L/C Borrowing in the amount of the Unreimbursed Amount that is not so refinanced, which L/C Borrowing shall be due and payable on demand (together with interest) and shall bear interest at the Default Rate for Base Rate Loans. In such event, each Revolving Lender’s payment to the Agent for the account of the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Revolving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24" w:lineRule="exact"/>
        <w:rPr>
          <w:sz w:val="20"/>
          <w:szCs w:val="20"/>
          <w:color w:val="auto"/>
        </w:rPr>
      </w:pPr>
    </w:p>
    <w:p>
      <w:pPr>
        <w:ind w:left="2340" w:right="60" w:firstLine="2033"/>
        <w:spacing w:after="0" w:line="288" w:lineRule="auto"/>
        <w:rPr>
          <w:sz w:val="20"/>
          <w:szCs w:val="20"/>
          <w:color w:val="auto"/>
        </w:rPr>
      </w:pPr>
      <w:r>
        <w:rPr>
          <w:rFonts w:ascii="Arial" w:cs="Arial" w:eastAsia="Arial" w:hAnsi="Arial"/>
          <w:sz w:val="20"/>
          <w:szCs w:val="20"/>
          <w:color w:val="auto"/>
        </w:rPr>
        <w:t xml:space="preserve">(iv) Until each Revolving Lender funds its Committed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Revolving Lender’s Applicable Percentage of such amount shall be solely for the account of the L/C Issuer.</w:t>
      </w:r>
    </w:p>
    <w:p>
      <w:pPr>
        <w:spacing w:after="0" w:line="111" w:lineRule="exact"/>
        <w:rPr>
          <w:sz w:val="20"/>
          <w:szCs w:val="20"/>
          <w:color w:val="auto"/>
        </w:rPr>
      </w:pPr>
    </w:p>
    <w:p>
      <w:pPr>
        <w:ind w:left="2340" w:right="20" w:firstLine="2074"/>
        <w:spacing w:after="0" w:line="318" w:lineRule="auto"/>
        <w:rPr>
          <w:sz w:val="20"/>
          <w:szCs w:val="20"/>
          <w:color w:val="auto"/>
        </w:rPr>
      </w:pPr>
      <w:r>
        <w:rPr>
          <w:rFonts w:ascii="Arial" w:cs="Arial" w:eastAsia="Arial" w:hAnsi="Arial"/>
          <w:sz w:val="18"/>
          <w:szCs w:val="18"/>
          <w:color w:val="auto"/>
        </w:rPr>
        <w:t xml:space="preserve">(v) Each Revolving Lender’s obligation to make Committed Loans or L/C Advances to reimburse the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Lender may have against the L/C Issuer, any Borrower or any other Person for any reason whatsoever; (B) the occurrence or continuance of a Default or Event of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Lender’s obligation to make Committed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Lead Borrower of a Committed Loan Notice). No such making of an L/C Advance shall relieve or otherwise impair the obligation of the Borrowers to reimburse the L/C Issuer for the amount of any payment made by the L/C Issuer under any Letter of Credit, together with interest as provided herein.</w:t>
      </w:r>
    </w:p>
    <w:p>
      <w:pPr>
        <w:spacing w:after="0" w:line="102" w:lineRule="exact"/>
        <w:rPr>
          <w:sz w:val="20"/>
          <w:szCs w:val="20"/>
          <w:color w:val="auto"/>
        </w:rPr>
      </w:pPr>
    </w:p>
    <w:p>
      <w:pPr>
        <w:ind w:left="2340" w:right="20" w:firstLine="2033"/>
        <w:spacing w:after="0" w:line="317" w:lineRule="auto"/>
        <w:rPr>
          <w:sz w:val="20"/>
          <w:szCs w:val="20"/>
          <w:color w:val="auto"/>
        </w:rPr>
      </w:pPr>
      <w:r>
        <w:rPr>
          <w:rFonts w:ascii="Arial" w:cs="Arial" w:eastAsia="Arial" w:hAnsi="Arial"/>
          <w:sz w:val="18"/>
          <w:szCs w:val="18"/>
          <w:color w:val="auto"/>
        </w:rPr>
        <w:t xml:space="preserve">(vi) If any Revolving Lender fails to make available to the Agent for the account of the L/C Issuer any amount required to be paid by such Revolving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 without limiting the other provisions of this Agreement, the L/C Issuer shall be entitled to recover from such Revolving Lender (acting through the Agent), on demand, such amount with interest thereon for the period from the date such payment is required to the date on which such payment is immediately available to the L/C Issuer at a rate per annum equal to the greater of the Federal Funds Effective Rate and a rate determined by the L/C Issuer in accordance with banking industry rules on interbank compensation plus any administrative, processing or similar fees customarily charged by the L/C Issuer in connection with the foregoing. If such Revolving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Revolving Lender (through the Agent) with respect to any amounts owing under this clause (vi) shall be conclusive absent manifest error.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4"/>
          </w:tcPr>
          <w:p>
            <w:pPr>
              <w:ind w:left="100"/>
              <w:spacing w:after="0"/>
              <w:rPr>
                <w:sz w:val="20"/>
                <w:szCs w:val="20"/>
                <w:color w:val="auto"/>
              </w:rPr>
            </w:pPr>
            <w:r>
              <w:rPr>
                <w:rFonts w:ascii="Arial" w:cs="Arial" w:eastAsia="Arial" w:hAnsi="Arial"/>
                <w:sz w:val="20"/>
                <w:szCs w:val="20"/>
                <w:color w:val="auto"/>
              </w:rPr>
              <w:t>(d)Repayment of Participations.</w:t>
            </w:r>
          </w:p>
        </w:tc>
        <w:tc>
          <w:tcPr>
            <w:tcW w:w="6140" w:type="dxa"/>
            <w:vAlign w:val="bottom"/>
          </w:tcPr>
          <w:p>
            <w:pPr>
              <w:spacing w:after="0"/>
              <w:rPr>
                <w:sz w:val="19"/>
                <w:szCs w:val="19"/>
                <w:color w:val="auto"/>
              </w:rPr>
            </w:pPr>
          </w:p>
        </w:tc>
      </w:tr>
      <w:tr>
        <w:trPr>
          <w:trHeight w:val="429"/>
        </w:trPr>
        <w:tc>
          <w:tcPr>
            <w:tcW w:w="34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Arial" w:cs="Arial" w:eastAsia="Arial" w:hAnsi="Arial"/>
                <w:sz w:val="20"/>
                <w:szCs w:val="20"/>
                <w:color w:val="auto"/>
              </w:rPr>
              <w:t>(i)</w:t>
            </w:r>
          </w:p>
        </w:tc>
        <w:tc>
          <w:tcPr>
            <w:tcW w:w="6140" w:type="dxa"/>
            <w:vAlign w:val="bottom"/>
          </w:tcPr>
          <w:p>
            <w:pPr>
              <w:jc w:val="right"/>
              <w:spacing w:after="0"/>
              <w:rPr>
                <w:sz w:val="20"/>
                <w:szCs w:val="20"/>
                <w:color w:val="auto"/>
              </w:rPr>
            </w:pPr>
            <w:r>
              <w:rPr>
                <w:rFonts w:ascii="Arial" w:cs="Arial" w:eastAsia="Arial" w:hAnsi="Arial"/>
                <w:sz w:val="20"/>
                <w:szCs w:val="20"/>
                <w:color w:val="auto"/>
              </w:rPr>
              <w:t>At any time after the L/C Issuer has made a payment under</w:t>
            </w:r>
          </w:p>
        </w:tc>
      </w:tr>
      <w:tr>
        <w:trPr>
          <w:trHeight w:val="270"/>
        </w:trPr>
        <w:tc>
          <w:tcPr>
            <w:tcW w:w="340" w:type="dxa"/>
            <w:vAlign w:val="bottom"/>
          </w:tcPr>
          <w:p>
            <w:pPr>
              <w:spacing w:after="0"/>
              <w:rPr>
                <w:sz w:val="23"/>
                <w:szCs w:val="23"/>
                <w:color w:val="auto"/>
              </w:rPr>
            </w:pPr>
          </w:p>
        </w:tc>
        <w:tc>
          <w:tcPr>
            <w:tcW w:w="10900" w:type="dxa"/>
            <w:vAlign w:val="bottom"/>
            <w:gridSpan w:val="4"/>
          </w:tcPr>
          <w:p>
            <w:pPr>
              <w:ind w:left="2000"/>
              <w:spacing w:after="0"/>
              <w:rPr>
                <w:sz w:val="20"/>
                <w:szCs w:val="20"/>
                <w:color w:val="auto"/>
              </w:rPr>
            </w:pPr>
            <w:r>
              <w:rPr>
                <w:rFonts w:ascii="Arial" w:cs="Arial" w:eastAsia="Arial" w:hAnsi="Arial"/>
                <w:sz w:val="20"/>
                <w:szCs w:val="20"/>
                <w:color w:val="auto"/>
                <w:w w:val="92"/>
              </w:rPr>
              <w:t>any Letter of Credit and has received from any Revolving Lender its L/C Advance in respect of such payment</w:t>
            </w:r>
          </w:p>
        </w:tc>
      </w:tr>
      <w:tr>
        <w:trPr>
          <w:trHeight w:val="226"/>
        </w:trPr>
        <w:tc>
          <w:tcPr>
            <w:tcW w:w="340" w:type="dxa"/>
            <w:vAlign w:val="bottom"/>
          </w:tcPr>
          <w:p>
            <w:pPr>
              <w:spacing w:after="0"/>
              <w:rPr>
                <w:sz w:val="19"/>
                <w:szCs w:val="19"/>
                <w:color w:val="auto"/>
              </w:rPr>
            </w:pPr>
          </w:p>
        </w:tc>
        <w:tc>
          <w:tcPr>
            <w:tcW w:w="10900" w:type="dxa"/>
            <w:vAlign w:val="bottom"/>
            <w:gridSpan w:val="4"/>
          </w:tcPr>
          <w:p>
            <w:pPr>
              <w:ind w:left="2000"/>
              <w:spacing w:after="0" w:line="226" w:lineRule="exact"/>
              <w:rPr>
                <w:sz w:val="20"/>
                <w:szCs w:val="20"/>
                <w:color w:val="auto"/>
              </w:rPr>
            </w:pPr>
            <w:r>
              <w:rPr>
                <w:rFonts w:ascii="Arial" w:cs="Arial" w:eastAsia="Arial" w:hAnsi="Arial"/>
                <w:sz w:val="20"/>
                <w:szCs w:val="20"/>
                <w:color w:val="auto"/>
                <w:w w:val="93"/>
              </w:rPr>
              <w:t>in accordance with Section 2.03(c), if the L/C Issuer, or the Agent for the account of the L/C Issuer, receives</w:t>
            </w:r>
          </w:p>
        </w:tc>
      </w:tr>
      <w:tr>
        <w:trPr>
          <w:trHeight w:val="20"/>
        </w:trPr>
        <w:tc>
          <w:tcPr>
            <w:tcW w:w="34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94"/>
        </w:trPr>
        <w:tc>
          <w:tcPr>
            <w:tcW w:w="340" w:type="dxa"/>
            <w:vAlign w:val="bottom"/>
          </w:tcPr>
          <w:p>
            <w:pPr>
              <w:spacing w:after="0"/>
              <w:rPr>
                <w:sz w:val="24"/>
                <w:szCs w:val="24"/>
                <w:color w:val="auto"/>
              </w:rPr>
            </w:pPr>
          </w:p>
        </w:tc>
        <w:tc>
          <w:tcPr>
            <w:tcW w:w="10900" w:type="dxa"/>
            <w:vAlign w:val="bottom"/>
            <w:gridSpan w:val="4"/>
          </w:tcPr>
          <w:p>
            <w:pPr>
              <w:ind w:left="2000"/>
              <w:spacing w:after="0"/>
              <w:rPr>
                <w:sz w:val="20"/>
                <w:szCs w:val="20"/>
                <w:color w:val="auto"/>
              </w:rPr>
            </w:pPr>
            <w:r>
              <w:rPr>
                <w:rFonts w:ascii="Arial" w:cs="Arial" w:eastAsia="Arial" w:hAnsi="Arial"/>
                <w:sz w:val="20"/>
                <w:szCs w:val="20"/>
                <w:color w:val="auto"/>
                <w:w w:val="95"/>
              </w:rPr>
              <w:t>any payment in respect of the related Unreimbursed Amount or interest thereon (whether directly from the</w:t>
            </w:r>
          </w:p>
        </w:tc>
      </w:tr>
      <w:tr>
        <w:trPr>
          <w:trHeight w:val="270"/>
        </w:trPr>
        <w:tc>
          <w:tcPr>
            <w:tcW w:w="340" w:type="dxa"/>
            <w:vAlign w:val="bottom"/>
          </w:tcPr>
          <w:p>
            <w:pPr>
              <w:spacing w:after="0"/>
              <w:rPr>
                <w:sz w:val="23"/>
                <w:szCs w:val="23"/>
                <w:color w:val="auto"/>
              </w:rPr>
            </w:pPr>
          </w:p>
        </w:tc>
        <w:tc>
          <w:tcPr>
            <w:tcW w:w="10900" w:type="dxa"/>
            <w:vAlign w:val="bottom"/>
            <w:gridSpan w:val="4"/>
          </w:tcPr>
          <w:p>
            <w:pPr>
              <w:ind w:left="2000"/>
              <w:spacing w:after="0"/>
              <w:rPr>
                <w:sz w:val="20"/>
                <w:szCs w:val="20"/>
                <w:color w:val="auto"/>
              </w:rPr>
            </w:pPr>
            <w:r>
              <w:rPr>
                <w:rFonts w:ascii="Arial" w:cs="Arial" w:eastAsia="Arial" w:hAnsi="Arial"/>
                <w:sz w:val="20"/>
                <w:szCs w:val="20"/>
                <w:color w:val="auto"/>
              </w:rPr>
              <w:t>Borrowers or otherwise, including proceeds of Cash Collateral applied thereto by the</w:t>
            </w:r>
          </w:p>
        </w:tc>
      </w:tr>
      <w:tr>
        <w:trPr>
          <w:trHeight w:val="551"/>
        </w:trPr>
        <w:tc>
          <w:tcPr>
            <w:tcW w:w="5100" w:type="dxa"/>
            <w:vAlign w:val="bottom"/>
            <w:gridSpan w:val="4"/>
          </w:tcPr>
          <w:p>
            <w:pPr>
              <w:ind w:left="20"/>
              <w:spacing w:after="0"/>
              <w:rPr>
                <w:sz w:val="20"/>
                <w:szCs w:val="20"/>
                <w:color w:val="auto"/>
              </w:rPr>
            </w:pPr>
            <w:r>
              <w:rPr>
                <w:rFonts w:ascii="Arial" w:cs="Arial" w:eastAsia="Arial" w:hAnsi="Arial"/>
                <w:sz w:val="14"/>
                <w:szCs w:val="14"/>
                <w:color w:val="auto"/>
              </w:rPr>
              <w:t>DB1/ 124773100.6</w:t>
            </w:r>
          </w:p>
        </w:tc>
        <w:tc>
          <w:tcPr>
            <w:tcW w:w="6140" w:type="dxa"/>
            <w:vAlign w:val="bottom"/>
          </w:tcPr>
          <w:p>
            <w:pPr>
              <w:jc w:val="right"/>
              <w:ind w:right="5341"/>
              <w:spacing w:after="0"/>
              <w:rPr>
                <w:sz w:val="20"/>
                <w:szCs w:val="20"/>
                <w:color w:val="auto"/>
              </w:rPr>
            </w:pPr>
            <w:r>
              <w:rPr>
                <w:rFonts w:ascii="Arial" w:cs="Arial" w:eastAsia="Arial" w:hAnsi="Arial"/>
                <w:sz w:val="20"/>
                <w:szCs w:val="20"/>
                <w:color w:val="auto"/>
              </w:rPr>
              <w:t>-71-</w:t>
            </w:r>
          </w:p>
        </w:tc>
      </w:tr>
      <w:tr>
        <w:trPr>
          <w:trHeight w:val="383"/>
        </w:trPr>
        <w:tc>
          <w:tcPr>
            <w:tcW w:w="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5" w:name="page76"/>
    <w:bookmarkEnd w:id="75"/>
    <w:p>
      <w:pPr>
        <w:jc w:val="both"/>
        <w:ind w:left="2320"/>
        <w:spacing w:after="0" w:line="308" w:lineRule="auto"/>
        <w:rPr>
          <w:sz w:val="20"/>
          <w:szCs w:val="20"/>
          <w:color w:val="auto"/>
        </w:rPr>
      </w:pPr>
      <w:r>
        <w:rPr>
          <w:rFonts w:ascii="Arial" w:cs="Arial" w:eastAsia="Arial" w:hAnsi="Arial"/>
          <w:sz w:val="19"/>
          <w:szCs w:val="19"/>
          <w:color w:val="auto"/>
        </w:rPr>
        <w:t xml:space="preserve">Agent pursuant to </w:t>
      </w:r>
      <w:r>
        <w:rPr>
          <w:rFonts w:ascii="Arial" w:cs="Arial" w:eastAsia="Arial" w:hAnsi="Arial"/>
          <w:sz w:val="19"/>
          <w:szCs w:val="19"/>
          <w:u w:val="single" w:color="auto"/>
          <w:color w:val="auto"/>
        </w:rPr>
        <w:t>Section 2.03(g)</w:t>
      </w:r>
      <w:r>
        <w:rPr>
          <w:rFonts w:ascii="Arial" w:cs="Arial" w:eastAsia="Arial" w:hAnsi="Arial"/>
          <w:sz w:val="19"/>
          <w:szCs w:val="19"/>
          <w:color w:val="auto"/>
        </w:rPr>
        <w:t>), the L/C Issuer shall distribute any payment it receives to the Agent and the Agent will distribute to such Revolving Lender its Applicable Percentage thereof (appropriately adjusted, in the case of interest payments, to reflect the period of time during which such Revolving Lender’s L/C Advance was outstanding) in the same funds as those received by the Agent.</w:t>
      </w:r>
    </w:p>
    <w:p>
      <w:pPr>
        <w:spacing w:after="0" w:line="107" w:lineRule="exact"/>
        <w:rPr>
          <w:sz w:val="20"/>
          <w:szCs w:val="20"/>
          <w:color w:val="auto"/>
        </w:rPr>
      </w:pPr>
    </w:p>
    <w:p>
      <w:pPr>
        <w:ind w:left="2320" w:firstLine="2065"/>
        <w:spacing w:after="0" w:line="301" w:lineRule="auto"/>
        <w:rPr>
          <w:sz w:val="20"/>
          <w:szCs w:val="20"/>
          <w:color w:val="auto"/>
        </w:rPr>
      </w:pPr>
      <w:r>
        <w:rPr>
          <w:rFonts w:ascii="Arial" w:cs="Arial" w:eastAsia="Arial" w:hAnsi="Arial"/>
          <w:sz w:val="19"/>
          <w:szCs w:val="19"/>
          <w:color w:val="auto"/>
        </w:rPr>
        <w:t xml:space="preserve">(ii) If any payment received by the L/C Issuer or by Agent for the account of the L/C Issuer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is required to be returned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the L/C Issuer in its discretion), each Revolving Lender shall pay to the Agent for the account of the L/C Issuer its Applicable Percentage thereof on demand of the Agent, plus interest thereon from the date of such demand to the date such amount is returned by such Revolving Lender, at a rate per annum equal to the Federal Funds Effective Rate from time to time in effect. The obligations of the Revolving Lenders under this clause shall survive the payment in full of the Obligations and the termination of this Agreement.</w:t>
      </w:r>
    </w:p>
    <w:p>
      <w:pPr>
        <w:spacing w:after="0" w:line="103" w:lineRule="exact"/>
        <w:rPr>
          <w:sz w:val="20"/>
          <w:szCs w:val="20"/>
          <w:color w:val="auto"/>
        </w:rPr>
      </w:pPr>
    </w:p>
    <w:p>
      <w:pPr>
        <w:ind w:left="300" w:right="40" w:hanging="219"/>
        <w:spacing w:after="0" w:line="292" w:lineRule="auto"/>
        <w:rPr>
          <w:sz w:val="20"/>
          <w:szCs w:val="20"/>
          <w:color w:val="auto"/>
        </w:rPr>
      </w:pPr>
      <w:r>
        <w:rPr>
          <w:rFonts w:ascii="Arial" w:cs="Arial" w:eastAsia="Arial" w:hAnsi="Arial"/>
          <w:sz w:val="20"/>
          <w:szCs w:val="20"/>
          <w:color w:val="auto"/>
        </w:rPr>
        <w:t>(e)</w:t>
      </w: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19" w:lineRule="exact"/>
        <w:rPr>
          <w:sz w:val="20"/>
          <w:szCs w:val="20"/>
          <w:color w:val="auto"/>
        </w:rPr>
      </w:pPr>
    </w:p>
    <w:p>
      <w:pPr>
        <w:ind w:left="2320" w:right="900" w:firstLine="1351"/>
        <w:spacing w:after="0" w:line="303" w:lineRule="auto"/>
        <w:tabs>
          <w:tab w:leader="none" w:pos="5114"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Loan Document;</w:t>
      </w:r>
    </w:p>
    <w:p>
      <w:pPr>
        <w:spacing w:after="0" w:line="107" w:lineRule="exact"/>
        <w:rPr>
          <w:rFonts w:ascii="Arial" w:cs="Arial" w:eastAsia="Arial" w:hAnsi="Arial"/>
          <w:sz w:val="20"/>
          <w:szCs w:val="20"/>
          <w:color w:val="auto"/>
        </w:rPr>
      </w:pPr>
    </w:p>
    <w:p>
      <w:pPr>
        <w:ind w:left="2320" w:firstLine="1305"/>
        <w:spacing w:after="0" w:line="325" w:lineRule="auto"/>
        <w:tabs>
          <w:tab w:leader="none" w:pos="51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83" w:lineRule="exact"/>
        <w:rPr>
          <w:rFonts w:ascii="Arial" w:cs="Arial" w:eastAsia="Arial" w:hAnsi="Arial"/>
          <w:sz w:val="18"/>
          <w:szCs w:val="18"/>
          <w:color w:val="auto"/>
        </w:rPr>
      </w:pPr>
    </w:p>
    <w:p>
      <w:pPr>
        <w:ind w:left="2320" w:right="20" w:firstLine="1259"/>
        <w:spacing w:after="0" w:line="288" w:lineRule="auto"/>
        <w:tabs>
          <w:tab w:leader="none" w:pos="5114"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24" w:lineRule="exact"/>
        <w:rPr>
          <w:rFonts w:ascii="Arial" w:cs="Arial" w:eastAsia="Arial" w:hAnsi="Arial"/>
          <w:sz w:val="20"/>
          <w:szCs w:val="20"/>
          <w:color w:val="auto"/>
        </w:rPr>
      </w:pPr>
    </w:p>
    <w:p>
      <w:pPr>
        <w:ind w:left="2320" w:right="140" w:firstLine="1268"/>
        <w:spacing w:after="0" w:line="292" w:lineRule="auto"/>
        <w:tabs>
          <w:tab w:leader="none" w:pos="5114" w:val="left"/>
        </w:tabs>
        <w:numPr>
          <w:ilvl w:val="1"/>
          <w:numId w:val="58"/>
        </w:numPr>
        <w:rPr>
          <w:rFonts w:ascii="Arial" w:cs="Arial" w:eastAsia="Arial" w:hAnsi="Arial"/>
          <w:sz w:val="20"/>
          <w:szCs w:val="20"/>
          <w:color w:val="auto"/>
        </w:rPr>
      </w:pPr>
      <w:r>
        <w:rPr>
          <w:rFonts w:ascii="Arial" w:cs="Arial" w:eastAsia="Arial" w:hAnsi="Arial"/>
          <w:sz w:val="20"/>
          <w:szCs w:val="20"/>
          <w:color w:val="auto"/>
        </w:rPr>
        <w:t>waiver by the L/C Issuer of any requirement that exists for the L/C Issuer’s protection and not the protection of the Borrowers or any waiver by the L/C Issuer which does not in fact materially prejudice the Borrowers;</w:t>
      </w:r>
    </w:p>
    <w:p>
      <w:pPr>
        <w:spacing w:after="0" w:line="119" w:lineRule="exact"/>
        <w:rPr>
          <w:sz w:val="20"/>
          <w:szCs w:val="20"/>
          <w:color w:val="auto"/>
        </w:rPr>
      </w:pPr>
    </w:p>
    <w:p>
      <w:pPr>
        <w:ind w:left="2320" w:right="300" w:firstLine="1314"/>
        <w:spacing w:after="0" w:line="303" w:lineRule="auto"/>
        <w:tabs>
          <w:tab w:leader="none" w:pos="5114"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honor of a demand for payment presented electronically even if such Letter of Credit requires that demand be in the form of a draft;</w:t>
      </w:r>
    </w:p>
    <w:p>
      <w:pPr>
        <w:spacing w:after="0" w:line="94" w:lineRule="exact"/>
        <w:rPr>
          <w:rFonts w:ascii="Arial" w:cs="Arial" w:eastAsia="Arial" w:hAnsi="Arial"/>
          <w:sz w:val="20"/>
          <w:szCs w:val="20"/>
          <w:color w:val="auto"/>
        </w:rPr>
      </w:pPr>
    </w:p>
    <w:p>
      <w:pPr>
        <w:ind w:left="2320" w:right="180" w:firstLine="1268"/>
        <w:spacing w:after="0" w:line="288" w:lineRule="auto"/>
        <w:tabs>
          <w:tab w:leader="none" w:pos="5114"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46"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76" w:name="page77"/>
    <w:bookmarkEnd w:id="76"/>
    <w:p>
      <w:pPr>
        <w:ind w:left="2340" w:right="20" w:firstLine="1223"/>
        <w:spacing w:after="0" w:line="286" w:lineRule="auto"/>
        <w:tabs>
          <w:tab w:leader="none" w:pos="51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24" w:lineRule="exact"/>
        <w:rPr>
          <w:rFonts w:ascii="Arial" w:cs="Arial" w:eastAsia="Arial" w:hAnsi="Arial"/>
          <w:sz w:val="20"/>
          <w:szCs w:val="20"/>
          <w:color w:val="auto"/>
        </w:rPr>
      </w:pPr>
    </w:p>
    <w:p>
      <w:pPr>
        <w:ind w:left="2340" w:right="40" w:firstLine="1177"/>
        <w:spacing w:after="0" w:line="292" w:lineRule="auto"/>
        <w:tabs>
          <w:tab w:leader="none" w:pos="51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the Borrowers or any of their Subsidiaries; or</w:t>
      </w:r>
    </w:p>
    <w:p>
      <w:pPr>
        <w:spacing w:after="0" w:line="105" w:lineRule="exact"/>
        <w:rPr>
          <w:rFonts w:ascii="Arial" w:cs="Arial" w:eastAsia="Arial" w:hAnsi="Arial"/>
          <w:sz w:val="20"/>
          <w:szCs w:val="20"/>
          <w:color w:val="auto"/>
        </w:rPr>
      </w:pPr>
    </w:p>
    <w:p>
      <w:pPr>
        <w:ind w:left="5140" w:hanging="1532"/>
        <w:spacing w:after="0"/>
        <w:tabs>
          <w:tab w:leader="none" w:pos="51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fact that any Default or Event of Default shall have occurred and be</w:t>
      </w:r>
    </w:p>
    <w:p>
      <w:pPr>
        <w:spacing w:after="0" w:line="51"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89"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The Lead Borrower shall promptly examine a copy of each Letter of Credit and each amendment thereto that is delivered to it and, in the event of any claim of non-compliance with the Lead Borrower’s instructions or other irregularity, the Lead Borrower will immediately notify the L/C Issuer. The Borrowers shall be conclusively deemed to have waived any such claim against the L/C Issuer and its correspondents unless such notice is given as aforesaid.</w:t>
      </w:r>
    </w:p>
    <w:p>
      <w:pPr>
        <w:spacing w:after="0" w:line="125" w:lineRule="exact"/>
        <w:rPr>
          <w:sz w:val="20"/>
          <w:szCs w:val="20"/>
          <w:color w:val="auto"/>
        </w:rPr>
      </w:pPr>
    </w:p>
    <w:p>
      <w:pPr>
        <w:ind w:left="300" w:hanging="197"/>
        <w:spacing w:after="0" w:line="315" w:lineRule="auto"/>
        <w:rPr>
          <w:sz w:val="20"/>
          <w:szCs w:val="20"/>
          <w:color w:val="auto"/>
        </w:rPr>
      </w:pPr>
      <w:r>
        <w:rPr>
          <w:rFonts w:ascii="Arial" w:cs="Arial" w:eastAsia="Arial" w:hAnsi="Arial"/>
          <w:sz w:val="18"/>
          <w:szCs w:val="18"/>
          <w:color w:val="auto"/>
        </w:rPr>
        <w:t>(f)</w:t>
      </w: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Revolving Lender and the Borrowers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Agent, any of their respective Related Parties nor any correspondent, participant or assignee of the L/C Issuer shall be liable to any Loan Party or to any Revolving Lender for (i) any action taken or omitted in connection herewith at the request or with the approval of the Revolving Lenders or the Required Lenders, as applicable; (ii) any action taken or omitted in the absence of gross negligence or willful misconduct; (iii) any error, omission, interruption, loss or delay in transmission or delivery of any draft, notice or other communication under or relating to any Letter of Credit or any error in interpretation of technical terms; (iv) the due execution, effectiveness, validity or enforceability of any document or instrument related to any Letter of Credit or Letter of Credit Document, or (v) for any action, neglect or omission under or in connection with any Letter of Credit or Letter of Credit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and the Revolving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have a claim against the L/C Issuer, and the L/C Issuer may be liable to the Borrowers, to the extent, but only to the extent, of any direct, as opposed to punitive, consequential or exemplary, damages suffered by the Borrowers which the Borrowers pursuant to a final and non-appealable judgment of a court of competent jurisdiction were caused by the L/C Issuer's willful misconduct or gross negligence. The Borrowers hereby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assumption is not intended to, and shall not, preclude the Borrowers’ pursuing such rights and remedies as it may have against the beneficiary or transferee at law or under any other agreement. In furtherance and not in</w:t>
      </w:r>
    </w:p>
    <w:p>
      <w:pPr>
        <w:spacing w:after="0" w:line="22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77" w:name="page78"/>
    <w:bookmarkEnd w:id="77"/>
    <w:p>
      <w:pPr>
        <w:ind w:left="80" w:right="80"/>
        <w:spacing w:after="0" w:line="285" w:lineRule="auto"/>
        <w:rPr>
          <w:sz w:val="20"/>
          <w:szCs w:val="20"/>
          <w:color w:val="auto"/>
        </w:rPr>
      </w:pPr>
      <w:r>
        <w:rPr>
          <w:rFonts w:ascii="Arial" w:cs="Arial" w:eastAsia="Arial" w:hAnsi="Arial"/>
          <w:sz w:val="20"/>
          <w:szCs w:val="20"/>
          <w:color w:val="auto"/>
        </w:rPr>
        <w:t>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27" w:lineRule="exact"/>
        <w:rPr>
          <w:sz w:val="20"/>
          <w:szCs w:val="20"/>
          <w:color w:val="auto"/>
        </w:rPr>
      </w:pPr>
    </w:p>
    <w:p>
      <w:pPr>
        <w:ind w:left="320" w:right="100" w:hanging="230"/>
        <w:spacing w:after="0" w:line="317" w:lineRule="auto"/>
        <w:rPr>
          <w:sz w:val="20"/>
          <w:szCs w:val="20"/>
          <w:color w:val="auto"/>
        </w:rPr>
      </w:pPr>
      <w:r>
        <w:rPr>
          <w:rFonts w:ascii="Arial" w:cs="Arial" w:eastAsia="Arial" w:hAnsi="Arial"/>
          <w:sz w:val="18"/>
          <w:szCs w:val="18"/>
          <w:color w:val="auto"/>
        </w:rPr>
        <w:t>(g)</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as of the Letter of Credit Expiration Date, any L/C Obligation for any reason remains outstanding, the Borrowers shall, in each case, immediately Cash Collateralize the then Outstanding Amount of all L/C Obligations in an amount equal to 105% of the Outstanding Amount of all L/C Obligations, pursuant to documentation in form and substance satisfactory to the Agent and the L/C Issuer (which documents are hereby Consented to by the Lenders). </w:t>
      </w:r>
      <w:r>
        <w:rPr>
          <w:rFonts w:ascii="Arial" w:cs="Arial" w:eastAsia="Arial" w:hAnsi="Arial"/>
          <w:sz w:val="18"/>
          <w:szCs w:val="18"/>
          <w:u w:val="single" w:color="auto"/>
          <w:color w:val="auto"/>
        </w:rPr>
        <w:t>Sections 2.05, 2.06(c)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8.02(iii)</w:t>
      </w:r>
      <w:r>
        <w:rPr>
          <w:rFonts w:ascii="Arial" w:cs="Arial" w:eastAsia="Arial" w:hAnsi="Arial"/>
          <w:sz w:val="18"/>
          <w:szCs w:val="18"/>
          <w:color w:val="auto"/>
        </w:rPr>
        <w:t xml:space="preserve"> set forth certain additional requirements to deliver Cash Collateral hereunder. The Borrowers hereby grant to the Agent a security interest in all such cash, deposit accounts and all balances therein and all proceeds of the foregoing to secure all Obligations. Such cash collateral shall be maintained in blocked, non-interest bearing deposit accounts at Citizens Bank. If at any time the Agent determines that any funds held as cash collateral are subject to any right or claim of any Person other than the Agent or that the total amount of such funds is less than the aggregate Outstanding Amount of all L/C Obligations, the Borrowers will, forthwith upon demand by the Agent, pay to the Agent, as additional funds to be deposited as cash collateral, an amount equal to the excess of (x) such aggregate Outstanding Amount over (y) the total amount of funds, if any, then held as cash collateral that the Agent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Obligations.</w:t>
      </w:r>
    </w:p>
    <w:p>
      <w:pPr>
        <w:spacing w:after="0" w:line="91" w:lineRule="exact"/>
        <w:rPr>
          <w:sz w:val="20"/>
          <w:szCs w:val="20"/>
          <w:color w:val="auto"/>
        </w:rPr>
      </w:pPr>
    </w:p>
    <w:p>
      <w:pPr>
        <w:ind w:left="320" w:hanging="230"/>
        <w:spacing w:after="0" w:line="300" w:lineRule="auto"/>
        <w:rPr>
          <w:sz w:val="20"/>
          <w:szCs w:val="20"/>
          <w:color w:val="auto"/>
        </w:rPr>
      </w:pPr>
      <w:r>
        <w:rPr>
          <w:rFonts w:ascii="Arial" w:cs="Arial" w:eastAsia="Arial" w:hAnsi="Arial"/>
          <w:sz w:val="19"/>
          <w:szCs w:val="19"/>
          <w:color w:val="auto"/>
        </w:rPr>
        <w:t>(h)</w:t>
      </w:r>
      <w:r>
        <w:rPr>
          <w:rFonts w:ascii="Arial" w:cs="Arial" w:eastAsia="Arial" w:hAnsi="Arial"/>
          <w:sz w:val="19"/>
          <w:szCs w:val="19"/>
          <w:u w:val="single" w:color="auto"/>
          <w:color w:val="auto"/>
        </w:rPr>
        <w:t>Applicability of ISP and UCP; Limitation of Liability</w:t>
      </w:r>
      <w:r>
        <w:rPr>
          <w:rFonts w:ascii="Arial" w:cs="Arial" w:eastAsia="Arial" w:hAnsi="Arial"/>
          <w:sz w:val="19"/>
          <w:szCs w:val="19"/>
          <w:color w:val="auto"/>
        </w:rPr>
        <w:t>. Unless otherwise expressly agreed by the L/C Issuer and the Lead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Borrowers for, and the L/C Issuer’s rights and remedies against the Borrowers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17" w:lineRule="exact"/>
        <w:rPr>
          <w:sz w:val="20"/>
          <w:szCs w:val="20"/>
          <w:color w:val="auto"/>
        </w:rPr>
      </w:pPr>
    </w:p>
    <w:p>
      <w:pPr>
        <w:ind w:left="260" w:right="140" w:hanging="186"/>
        <w:spacing w:after="0" w:line="308"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Borrowers shall pay to the Agent for the account of each Revolving Lender in accordance with its Applicable Percentage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Margin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Stated Amount under each such Letter of Credit (whether or not such maximum amount is then in effect under such Letter of Credit). Letter of Credit Fees shall be due and payable quarterly in arrears on the first day of each March, June,</w:t>
      </w:r>
    </w:p>
    <w:p>
      <w:pPr>
        <w:spacing w:after="0" w:line="228"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78" w:name="page79"/>
    <w:bookmarkEnd w:id="78"/>
    <w:p>
      <w:pPr>
        <w:ind w:left="80"/>
        <w:spacing w:after="0" w:line="325" w:lineRule="auto"/>
        <w:rPr>
          <w:sz w:val="20"/>
          <w:szCs w:val="20"/>
          <w:color w:val="auto"/>
        </w:rPr>
      </w:pPr>
      <w:r>
        <w:rPr>
          <w:rFonts w:ascii="Arial" w:cs="Arial" w:eastAsia="Arial" w:hAnsi="Arial"/>
          <w:sz w:val="18"/>
          <w:szCs w:val="18"/>
          <w:color w:val="auto"/>
        </w:rPr>
        <w:t xml:space="preserve">September and December, commencing with the first such date to occur after the issuance of such Letter of Credit, on the Letter of Credit Expiration Date and thereafter on demand. If there is any change in the Applicable Margin during any quarter, the daily amount available to be drawn under of each Letter of Credit shall be computed and multiplied by the Applicable Margin separately for each period during such quarter that such Applicable Margin was in effect. Notwithstanding anything to the contrary contained herein, while any Event of Default exists, all Letter of Credit Fees shall accrue at the Default Rate as provided in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hereof.</w:t>
      </w:r>
    </w:p>
    <w:p>
      <w:pPr>
        <w:spacing w:after="0" w:line="97" w:lineRule="exact"/>
        <w:rPr>
          <w:sz w:val="20"/>
          <w:szCs w:val="20"/>
          <w:color w:val="auto"/>
        </w:rPr>
      </w:pPr>
    </w:p>
    <w:p>
      <w:pPr>
        <w:ind w:left="260" w:right="20" w:hanging="186"/>
        <w:spacing w:after="0" w:line="301" w:lineRule="auto"/>
        <w:rPr>
          <w:sz w:val="20"/>
          <w:szCs w:val="20"/>
          <w:color w:val="auto"/>
        </w:rPr>
      </w:pPr>
      <w:r>
        <w:rPr>
          <w:rFonts w:ascii="Arial" w:cs="Arial" w:eastAsia="Arial" w:hAnsi="Arial"/>
          <w:sz w:val="19"/>
          <w:szCs w:val="19"/>
          <w:color w:val="auto"/>
        </w:rPr>
        <w:t>(j)</w:t>
      </w:r>
      <w:r>
        <w:rPr>
          <w:rFonts w:ascii="Arial" w:cs="Arial" w:eastAsia="Arial" w:hAnsi="Arial"/>
          <w:sz w:val="19"/>
          <w:szCs w:val="19"/>
          <w:u w:val="single" w:color="auto"/>
          <w:color w:val="auto"/>
        </w:rPr>
        <w:t>Fronting Fee and Documentary and Processing Charges Payable to L/C Issuer</w:t>
      </w:r>
      <w:r>
        <w:rPr>
          <w:rFonts w:ascii="Arial" w:cs="Arial" w:eastAsia="Arial" w:hAnsi="Arial"/>
          <w:sz w:val="19"/>
          <w:szCs w:val="19"/>
          <w:color w:val="auto"/>
        </w:rPr>
        <w:t>. The Borrowers shall pay directly to the L/C Issuer for its own account a fronting fee with respect to each Letter of Credit, at a rate equal to 0.125% per annum, computed on the daily amount available to be drawn under such Letter of Credit and on a quarterly basis in arrears. Such fronting fees shall be due and payable quarterly in arrears on the first day of each March, June, September and December, commencing with the first such date to occur after the issuance of such Letter of Credit, on the Letter of Credit Expiration Date and thereafter on demand. In addition, the Borrowers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03" w:lineRule="exact"/>
        <w:rPr>
          <w:sz w:val="20"/>
          <w:szCs w:val="20"/>
          <w:color w:val="auto"/>
        </w:rPr>
      </w:pPr>
    </w:p>
    <w:p>
      <w:pPr>
        <w:ind w:left="320" w:right="340" w:hanging="230"/>
        <w:spacing w:after="0" w:line="303" w:lineRule="auto"/>
        <w:rPr>
          <w:sz w:val="20"/>
          <w:szCs w:val="20"/>
          <w:color w:val="auto"/>
        </w:rPr>
      </w:pPr>
      <w:r>
        <w:rPr>
          <w:rFonts w:ascii="Arial" w:cs="Arial" w:eastAsia="Arial" w:hAnsi="Arial"/>
          <w:sz w:val="20"/>
          <w:szCs w:val="20"/>
          <w:color w:val="auto"/>
        </w:rPr>
        <w:t>(k)</w:t>
      </w:r>
      <w:r>
        <w:rPr>
          <w:rFonts w:ascii="Arial" w:cs="Arial" w:eastAsia="Arial" w:hAnsi="Arial"/>
          <w:sz w:val="20"/>
          <w:szCs w:val="20"/>
          <w:u w:val="single" w:color="auto"/>
          <w:color w:val="auto"/>
        </w:rPr>
        <w:t>Conflict with Letter of Credit Documents</w:t>
      </w:r>
      <w:r>
        <w:rPr>
          <w:rFonts w:ascii="Arial" w:cs="Arial" w:eastAsia="Arial" w:hAnsi="Arial"/>
          <w:sz w:val="20"/>
          <w:szCs w:val="20"/>
          <w:color w:val="auto"/>
        </w:rPr>
        <w:t>. In the event of any conflict between the terms hereof and the terms of any Letter of Credit Document, the terms hereof shall control.</w:t>
      </w:r>
    </w:p>
    <w:p>
      <w:pPr>
        <w:spacing w:after="0" w:line="1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2.04 Swing Line Loans</w:t>
      </w:r>
      <w:r>
        <w:rPr>
          <w:rFonts w:ascii="Arial" w:cs="Arial" w:eastAsia="Arial" w:hAnsi="Arial"/>
          <w:sz w:val="20"/>
          <w:szCs w:val="20"/>
          <w:color w:val="auto"/>
        </w:rPr>
        <w:t>.</w:t>
      </w:r>
    </w:p>
    <w:p>
      <w:pPr>
        <w:spacing w:after="0" w:line="195" w:lineRule="exact"/>
        <w:rPr>
          <w:sz w:val="20"/>
          <w:szCs w:val="20"/>
          <w:color w:val="auto"/>
        </w:rPr>
      </w:pPr>
    </w:p>
    <w:p>
      <w:pPr>
        <w:ind w:left="300" w:hanging="219"/>
        <w:spacing w:after="0" w:line="316"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may, in its sole discretion, in reliance upon the agreements of the other Revolving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make loans (each such loan, a “Swing Line Loan”) to the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Committed Loans and L/C Obligations of the Revolving Lender acting as Swing Line Lender, may exceed the amount of such Revolving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Swing Line Loan, (i) the Total Outstandings shall not exceed the Revolving Loan Cap, and (ii) the aggregate Outstanding Amount of the Committed Loans of any Revolving Lender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L/C Obligations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Percentage of the Outstanding Amount of all Swing Line Loans at such time shall not exceed such Revolving Lender’s Revolving Commitment,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Borrowers shall not use the proceeds of any Swing Line Loan to refinance any outstanding Swing Line Loan,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the Swing Line Lender shall not be obligated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 Loan shall bear interest only at the Base Rate. Immediately upon the making of a Swing Line Loan, each Revolving Lender shall be deemed to, and hereby irrevocably and unconditionally agrees to,</w:t>
      </w:r>
    </w:p>
    <w:p>
      <w:pPr>
        <w:spacing w:after="0" w:line="216"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79" w:name="page80"/>
    <w:bookmarkEnd w:id="79"/>
    <w:p>
      <w:pPr>
        <w:ind w:left="100" w:right="100"/>
        <w:spacing w:after="0" w:line="325" w:lineRule="auto"/>
        <w:rPr>
          <w:sz w:val="20"/>
          <w:szCs w:val="20"/>
          <w:color w:val="auto"/>
        </w:rPr>
      </w:pPr>
      <w:r>
        <w:rPr>
          <w:rFonts w:ascii="Arial" w:cs="Arial" w:eastAsia="Arial" w:hAnsi="Arial"/>
          <w:sz w:val="18"/>
          <w:szCs w:val="18"/>
          <w:color w:val="auto"/>
        </w:rPr>
        <w:t xml:space="preserve">purchase from the Swing Line Lender a risk participation in such Swing Line Loan in an amount equal to the product of such Revolving Lender’s Applicable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amount of such Swing Line Loan. The Swing Line Lender shall have all of the benefits and immunities (A) provided to the Agent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the Swing Line Lender in connection with Swing Line Loans made by it or proposed to be made by it as if the term “Agent” as used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included the Swing Line Lender with respect to such acts or omissions, and (B) as additionally provided herein with respect to the Swing Line Lender.</w:t>
      </w:r>
    </w:p>
    <w:p>
      <w:pPr>
        <w:spacing w:after="0" w:line="97" w:lineRule="exact"/>
        <w:rPr>
          <w:sz w:val="20"/>
          <w:szCs w:val="20"/>
          <w:color w:val="auto"/>
        </w:rPr>
      </w:pPr>
    </w:p>
    <w:p>
      <w:pPr>
        <w:ind w:left="340" w:right="20" w:hanging="230"/>
        <w:spacing w:after="0" w:line="313"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Lead Borrower’s irrevocable notice to the Swing Line Lender and the Agent, which may be given by telephone. Each such notice must be received by the Swing Line Lender and the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Agent of a written Swing Line Loan Notice, appropriately completed and signed by a Responsible Officer of the Lead Borrower. Promptly after receipt by the Swing Line Lender of any telephonic Swing Line Loan Notice, the Swing Line Lender will confirm with the Agent (by telephone or in writing) that the Agent has also received such Swing Line Loan Notice and, if not, the Swing Line Lender will notify the Agent (by telephone or in writing) of the contents thereof. Unless the Swing Line Lender has received notice (by telephone or in writing) from the Agent at the request of the Required Lenders prior to 2:00 p.m. on the date of the proposed Swing Line Borrowing (A) directing the Swing Line Lender not to make such Swing Line Loan as a result of the limitations set forth in the provisos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may, not later than 4:00 p.m. on the borrowing date specified in such Swing Line Loan Notice, make the amount of its Swing Line Loan available to the Borrowers either by (i) crediting the account of the Lead Borrower on the books of Citizens Bank with the amount of such funds or</w:t>
      </w:r>
    </w:p>
    <w:p>
      <w:pPr>
        <w:spacing w:after="0" w:line="1" w:lineRule="exact"/>
        <w:rPr>
          <w:sz w:val="20"/>
          <w:szCs w:val="20"/>
          <w:color w:val="auto"/>
        </w:rPr>
      </w:pPr>
    </w:p>
    <w:p>
      <w:pPr>
        <w:ind w:left="340" w:right="120" w:hanging="7"/>
        <w:spacing w:after="0" w:line="288" w:lineRule="auto"/>
        <w:tabs>
          <w:tab w:leader="none" w:pos="631"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wire transferring such funds, in each case in accordance with instructions provided to (and reasonably acceptable to) the Swing Line Lender by the Lead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on the date of the proposed Swing Line Loan, there are L/C Borrowings outstanding, then the proceeds of such Borrowing,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shall be applied to the payment in full of any such L/C Borrowings, and </w:t>
      </w:r>
      <w:r>
        <w:rPr>
          <w:rFonts w:ascii="Arial" w:cs="Arial" w:eastAsia="Arial" w:hAnsi="Arial"/>
          <w:sz w:val="20"/>
          <w:szCs w:val="20"/>
          <w:u w:val="single" w:color="auto"/>
          <w:color w:val="auto"/>
        </w:rPr>
        <w:t>second</w:t>
      </w:r>
      <w:r>
        <w:rPr>
          <w:rFonts w:ascii="Arial" w:cs="Arial" w:eastAsia="Arial" w:hAnsi="Arial"/>
          <w:sz w:val="20"/>
          <w:szCs w:val="20"/>
          <w:color w:val="auto"/>
        </w:rPr>
        <w:t>, shall be made available to the Borrowers as provided above.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7"/>
          </w:tcPr>
          <w:p>
            <w:pPr>
              <w:ind w:left="100"/>
              <w:spacing w:after="0"/>
              <w:rPr>
                <w:sz w:val="20"/>
                <w:szCs w:val="20"/>
                <w:color w:val="auto"/>
              </w:rPr>
            </w:pPr>
            <w:r>
              <w:rPr>
                <w:rFonts w:ascii="Arial" w:cs="Arial" w:eastAsia="Arial" w:hAnsi="Arial"/>
                <w:sz w:val="20"/>
                <w:szCs w:val="20"/>
                <w:color w:val="auto"/>
              </w:rPr>
              <w:t>(c)Refinancing of Swing Line Loans.</w:t>
            </w:r>
          </w:p>
        </w:tc>
        <w:tc>
          <w:tcPr>
            <w:tcW w:w="4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98"/>
        </w:trPr>
        <w:tc>
          <w:tcPr>
            <w:tcW w:w="320" w:type="dxa"/>
            <w:vAlign w:val="bottom"/>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20"/>
                <w:szCs w:val="20"/>
                <w:color w:val="auto"/>
              </w:rPr>
              <w:t>(i)</w:t>
            </w:r>
          </w:p>
        </w:tc>
        <w:tc>
          <w:tcPr>
            <w:tcW w:w="6180" w:type="dxa"/>
            <w:vAlign w:val="bottom"/>
            <w:gridSpan w:val="3"/>
          </w:tcPr>
          <w:p>
            <w:pPr>
              <w:ind w:left="1480"/>
              <w:spacing w:after="0"/>
              <w:rPr>
                <w:sz w:val="20"/>
                <w:szCs w:val="20"/>
                <w:color w:val="auto"/>
              </w:rPr>
            </w:pPr>
            <w:r>
              <w:rPr>
                <w:rFonts w:ascii="Arial" w:cs="Arial" w:eastAsia="Arial" w:hAnsi="Arial"/>
                <w:sz w:val="20"/>
                <w:szCs w:val="20"/>
                <w:color w:val="auto"/>
                <w:w w:val="98"/>
              </w:rPr>
              <w:t>In addition to settlements required under Section 2.14</w:t>
            </w:r>
          </w:p>
        </w:tc>
      </w:tr>
      <w:tr>
        <w:trPr>
          <w:trHeight w:val="20"/>
        </w:trPr>
        <w:tc>
          <w:tcPr>
            <w:tcW w:w="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5"/>
        </w:trPr>
        <w:tc>
          <w:tcPr>
            <w:tcW w:w="320" w:type="dxa"/>
            <w:vAlign w:val="bottom"/>
          </w:tcPr>
          <w:p>
            <w:pPr>
              <w:spacing w:after="0"/>
              <w:rPr>
                <w:sz w:val="24"/>
                <w:szCs w:val="24"/>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4"/>
              </w:rPr>
              <w:t>hereof, the Swing Line Lender at any time in its sole and absolute discretion may request, on behalf of the</w:t>
            </w:r>
          </w:p>
        </w:tc>
      </w:tr>
      <w:tr>
        <w:trPr>
          <w:trHeight w:val="270"/>
        </w:trPr>
        <w:tc>
          <w:tcPr>
            <w:tcW w:w="320" w:type="dxa"/>
            <w:vAlign w:val="bottom"/>
          </w:tcPr>
          <w:p>
            <w:pPr>
              <w:spacing w:after="0"/>
              <w:rPr>
                <w:sz w:val="23"/>
                <w:szCs w:val="23"/>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1"/>
              </w:rPr>
              <w:t>Borrowers (which hereby irrevocably authorize the Swing Line Lender to so request on their behalf), that each</w:t>
            </w:r>
          </w:p>
        </w:tc>
      </w:tr>
      <w:tr>
        <w:trPr>
          <w:trHeight w:val="270"/>
        </w:trPr>
        <w:tc>
          <w:tcPr>
            <w:tcW w:w="320" w:type="dxa"/>
            <w:vAlign w:val="bottom"/>
          </w:tcPr>
          <w:p>
            <w:pPr>
              <w:spacing w:after="0"/>
              <w:rPr>
                <w:sz w:val="23"/>
                <w:szCs w:val="23"/>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9"/>
              </w:rPr>
              <w:t>Revolving Lender make a Base Rate Loan in an amount equal to such Revolving Lender's Applicable</w:t>
            </w:r>
          </w:p>
        </w:tc>
      </w:tr>
      <w:tr>
        <w:trPr>
          <w:trHeight w:val="270"/>
        </w:trPr>
        <w:tc>
          <w:tcPr>
            <w:tcW w:w="320" w:type="dxa"/>
            <w:vAlign w:val="bottom"/>
          </w:tcPr>
          <w:p>
            <w:pPr>
              <w:spacing w:after="0"/>
              <w:rPr>
                <w:sz w:val="23"/>
                <w:szCs w:val="23"/>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0"/>
              </w:rPr>
              <w:t>Percentage of the amount of Swing Line Loans then outstanding. Such request shall be made in writing (which</w:t>
            </w:r>
          </w:p>
        </w:tc>
      </w:tr>
      <w:tr>
        <w:trPr>
          <w:trHeight w:val="270"/>
        </w:trPr>
        <w:tc>
          <w:tcPr>
            <w:tcW w:w="320" w:type="dxa"/>
            <w:vAlign w:val="bottom"/>
          </w:tcPr>
          <w:p>
            <w:pPr>
              <w:spacing w:after="0"/>
              <w:rPr>
                <w:sz w:val="23"/>
                <w:szCs w:val="23"/>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89"/>
              </w:rPr>
              <w:t>written request shall be deemed to be a Committed Loan Notice for purposes hereof) and in accordance with the</w:t>
            </w:r>
          </w:p>
        </w:tc>
      </w:tr>
      <w:tr>
        <w:trPr>
          <w:trHeight w:val="225"/>
        </w:trPr>
        <w:tc>
          <w:tcPr>
            <w:tcW w:w="320" w:type="dxa"/>
            <w:vAlign w:val="bottom"/>
          </w:tcPr>
          <w:p>
            <w:pPr>
              <w:spacing w:after="0"/>
              <w:rPr>
                <w:sz w:val="19"/>
                <w:szCs w:val="19"/>
                <w:color w:val="auto"/>
              </w:rPr>
            </w:pPr>
          </w:p>
        </w:tc>
        <w:tc>
          <w:tcPr>
            <w:tcW w:w="10920" w:type="dxa"/>
            <w:vAlign w:val="bottom"/>
            <w:gridSpan w:val="9"/>
          </w:tcPr>
          <w:p>
            <w:pPr>
              <w:ind w:left="2020"/>
              <w:spacing w:after="0" w:line="226" w:lineRule="exact"/>
              <w:rPr>
                <w:sz w:val="20"/>
                <w:szCs w:val="20"/>
                <w:color w:val="auto"/>
              </w:rPr>
            </w:pPr>
            <w:r>
              <w:rPr>
                <w:rFonts w:ascii="Arial" w:cs="Arial" w:eastAsia="Arial" w:hAnsi="Arial"/>
                <w:sz w:val="20"/>
                <w:szCs w:val="20"/>
                <w:color w:val="auto"/>
                <w:w w:val="93"/>
              </w:rPr>
              <w:t>requirements of Section 2.02, without regard to the minimum and multiples specified therein for the principal</w:t>
            </w:r>
          </w:p>
        </w:tc>
      </w:tr>
      <w:tr>
        <w:trPr>
          <w:trHeight w:val="20"/>
        </w:trPr>
        <w:tc>
          <w:tcPr>
            <w:tcW w:w="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r>
      <w:tr>
        <w:trPr>
          <w:trHeight w:val="295"/>
        </w:trPr>
        <w:tc>
          <w:tcPr>
            <w:tcW w:w="320" w:type="dxa"/>
            <w:vAlign w:val="bottom"/>
          </w:tcPr>
          <w:p>
            <w:pPr>
              <w:spacing w:after="0"/>
              <w:rPr>
                <w:sz w:val="24"/>
                <w:szCs w:val="24"/>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0"/>
              </w:rPr>
              <w:t>amount of Base Rate Loans, but subject to the unutilized portion of the Revolving Loan Cap and the conditions</w:t>
            </w:r>
          </w:p>
        </w:tc>
      </w:tr>
      <w:tr>
        <w:trPr>
          <w:trHeight w:val="225"/>
        </w:trPr>
        <w:tc>
          <w:tcPr>
            <w:tcW w:w="320" w:type="dxa"/>
            <w:vAlign w:val="bottom"/>
          </w:tcPr>
          <w:p>
            <w:pPr>
              <w:spacing w:after="0"/>
              <w:rPr>
                <w:sz w:val="19"/>
                <w:szCs w:val="19"/>
                <w:color w:val="auto"/>
              </w:rPr>
            </w:pPr>
          </w:p>
        </w:tc>
        <w:tc>
          <w:tcPr>
            <w:tcW w:w="10920" w:type="dxa"/>
            <w:vAlign w:val="bottom"/>
            <w:gridSpan w:val="9"/>
          </w:tcPr>
          <w:p>
            <w:pPr>
              <w:ind w:left="2020"/>
              <w:spacing w:after="0" w:line="226" w:lineRule="exact"/>
              <w:rPr>
                <w:sz w:val="20"/>
                <w:szCs w:val="20"/>
                <w:color w:val="auto"/>
              </w:rPr>
            </w:pPr>
            <w:r>
              <w:rPr>
                <w:rFonts w:ascii="Arial" w:cs="Arial" w:eastAsia="Arial" w:hAnsi="Arial"/>
                <w:sz w:val="20"/>
                <w:szCs w:val="20"/>
                <w:color w:val="auto"/>
                <w:w w:val="91"/>
              </w:rPr>
              <w:t>set forth in Section 4.02. The Swing Line Lender shall furnish the Lead Borrower with a copy of the applicable</w:t>
            </w:r>
          </w:p>
        </w:tc>
      </w:tr>
      <w:tr>
        <w:trPr>
          <w:trHeight w:val="20"/>
        </w:trPr>
        <w:tc>
          <w:tcPr>
            <w:tcW w:w="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r>
      <w:tr>
        <w:trPr>
          <w:trHeight w:val="295"/>
        </w:trPr>
        <w:tc>
          <w:tcPr>
            <w:tcW w:w="320" w:type="dxa"/>
            <w:vAlign w:val="bottom"/>
          </w:tcPr>
          <w:p>
            <w:pPr>
              <w:spacing w:after="0"/>
              <w:rPr>
                <w:sz w:val="24"/>
                <w:szCs w:val="24"/>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w w:val="91"/>
              </w:rPr>
              <w:t>Committed Loan Notice promptly after delivering such notice to the Agent. Each Revolving Lender shall make</w:t>
            </w:r>
          </w:p>
        </w:tc>
      </w:tr>
      <w:tr>
        <w:trPr>
          <w:trHeight w:val="270"/>
        </w:trPr>
        <w:tc>
          <w:tcPr>
            <w:tcW w:w="320" w:type="dxa"/>
            <w:vAlign w:val="bottom"/>
          </w:tcPr>
          <w:p>
            <w:pPr>
              <w:spacing w:after="0"/>
              <w:rPr>
                <w:sz w:val="23"/>
                <w:szCs w:val="23"/>
                <w:color w:val="auto"/>
              </w:rPr>
            </w:pPr>
          </w:p>
        </w:tc>
        <w:tc>
          <w:tcPr>
            <w:tcW w:w="10920" w:type="dxa"/>
            <w:vAlign w:val="bottom"/>
            <w:gridSpan w:val="9"/>
          </w:tcPr>
          <w:p>
            <w:pPr>
              <w:ind w:left="2020"/>
              <w:spacing w:after="0"/>
              <w:rPr>
                <w:sz w:val="20"/>
                <w:szCs w:val="20"/>
                <w:color w:val="auto"/>
              </w:rPr>
            </w:pPr>
            <w:r>
              <w:rPr>
                <w:rFonts w:ascii="Arial" w:cs="Arial" w:eastAsia="Arial" w:hAnsi="Arial"/>
                <w:sz w:val="20"/>
                <w:szCs w:val="20"/>
                <w:color w:val="auto"/>
              </w:rPr>
              <w:t>an amount equal to its Applicable Percentage of</w:t>
            </w:r>
          </w:p>
        </w:tc>
      </w:tr>
      <w:tr>
        <w:trPr>
          <w:trHeight w:val="551"/>
        </w:trPr>
        <w:tc>
          <w:tcPr>
            <w:tcW w:w="5060" w:type="dxa"/>
            <w:vAlign w:val="bottom"/>
            <w:gridSpan w:val="7"/>
          </w:tcPr>
          <w:p>
            <w:pPr>
              <w:ind w:left="20"/>
              <w:spacing w:after="0"/>
              <w:rPr>
                <w:sz w:val="20"/>
                <w:szCs w:val="20"/>
                <w:color w:val="auto"/>
              </w:rPr>
            </w:pPr>
            <w:r>
              <w:rPr>
                <w:rFonts w:ascii="Arial" w:cs="Arial" w:eastAsia="Arial" w:hAnsi="Arial"/>
                <w:sz w:val="14"/>
                <w:szCs w:val="14"/>
                <w:color w:val="auto"/>
              </w:rPr>
              <w:t>DB1/ 124773100.6</w:t>
            </w:r>
          </w:p>
        </w:tc>
        <w:tc>
          <w:tcPr>
            <w:tcW w:w="4740" w:type="dxa"/>
            <w:vAlign w:val="bottom"/>
          </w:tcPr>
          <w:p>
            <w:pPr>
              <w:jc w:val="right"/>
              <w:ind w:right="3901"/>
              <w:spacing w:after="0"/>
              <w:rPr>
                <w:sz w:val="20"/>
                <w:szCs w:val="20"/>
                <w:color w:val="auto"/>
              </w:rPr>
            </w:pPr>
            <w:r>
              <w:rPr>
                <w:rFonts w:ascii="Arial" w:cs="Arial" w:eastAsia="Arial" w:hAnsi="Arial"/>
                <w:sz w:val="20"/>
                <w:szCs w:val="20"/>
                <w:color w:val="auto"/>
              </w:rPr>
              <w:t>-76-</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3"/>
        </w:trPr>
        <w:tc>
          <w:tcPr>
            <w:tcW w:w="3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0" w:name="page81"/>
    <w:bookmarkEnd w:id="80"/>
    <w:p>
      <w:pPr>
        <w:ind w:left="2340" w:right="60"/>
        <w:spacing w:after="0" w:line="305" w:lineRule="auto"/>
        <w:rPr>
          <w:sz w:val="20"/>
          <w:szCs w:val="20"/>
          <w:color w:val="auto"/>
        </w:rPr>
      </w:pPr>
      <w:r>
        <w:rPr>
          <w:rFonts w:ascii="Arial" w:cs="Arial" w:eastAsia="Arial" w:hAnsi="Arial"/>
          <w:sz w:val="19"/>
          <w:szCs w:val="19"/>
          <w:color w:val="auto"/>
        </w:rPr>
        <w:t xml:space="preserve">the amount specified in such Committed Loan Notice available to the Agent in immediately available funds for the account of the Swing Line Lender at the Agent’s Office not later than 1:00 p.m. on the day specified in such Committed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Lender that so makes funds available shall be deemed to have made a Base Rate Loan to the Borrowers in such amount. The Agent shall remit the funds so received to the Swing Line Lender.</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5"/>
          </w:tcPr>
          <w:p>
            <w:pPr>
              <w:jc w:val="center"/>
              <w:ind w:right="800"/>
              <w:spacing w:after="0"/>
              <w:rPr>
                <w:sz w:val="20"/>
                <w:szCs w:val="20"/>
                <w:color w:val="auto"/>
              </w:rPr>
            </w:pPr>
            <w:r>
              <w:rPr>
                <w:rFonts w:ascii="Arial" w:cs="Arial" w:eastAsia="Arial" w:hAnsi="Arial"/>
                <w:sz w:val="20"/>
                <w:szCs w:val="20"/>
                <w:color w:val="auto"/>
              </w:rPr>
              <w:t>(ii)</w:t>
            </w:r>
          </w:p>
        </w:tc>
        <w:tc>
          <w:tcPr>
            <w:tcW w:w="5400" w:type="dxa"/>
            <w:vAlign w:val="bottom"/>
            <w:gridSpan w:val="12"/>
          </w:tcPr>
          <w:p>
            <w:pPr>
              <w:ind w:left="720"/>
              <w:spacing w:after="0"/>
              <w:rPr>
                <w:sz w:val="20"/>
                <w:szCs w:val="20"/>
                <w:color w:val="auto"/>
              </w:rPr>
            </w:pPr>
            <w:r>
              <w:rPr>
                <w:rFonts w:ascii="Arial" w:cs="Arial" w:eastAsia="Arial" w:hAnsi="Arial"/>
                <w:sz w:val="20"/>
                <w:szCs w:val="20"/>
                <w:color w:val="auto"/>
              </w:rPr>
              <w:t>If for any reason any Swing Line Loan cannot be</w:t>
            </w:r>
          </w:p>
        </w:tc>
      </w:tr>
      <w:tr>
        <w:trPr>
          <w:trHeight w:val="226"/>
        </w:trPr>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80" w:type="dxa"/>
            <w:vAlign w:val="bottom"/>
            <w:gridSpan w:val="21"/>
          </w:tcPr>
          <w:p>
            <w:pPr>
              <w:spacing w:after="0" w:line="226" w:lineRule="exact"/>
              <w:rPr>
                <w:sz w:val="20"/>
                <w:szCs w:val="20"/>
                <w:color w:val="auto"/>
              </w:rPr>
            </w:pPr>
            <w:r>
              <w:rPr>
                <w:rFonts w:ascii="Arial" w:cs="Arial" w:eastAsia="Arial" w:hAnsi="Arial"/>
                <w:sz w:val="20"/>
                <w:szCs w:val="20"/>
                <w:color w:val="auto"/>
                <w:w w:val="93"/>
              </w:rPr>
              <w:t>refinanced by such a Committed Borrowing in accordance with Section 2.04(c)(i), the request for Base Rate</w:t>
            </w:r>
          </w:p>
        </w:tc>
      </w:tr>
      <w:tr>
        <w:trPr>
          <w:trHeight w:val="20"/>
        </w:trPr>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4"/>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2"/>
              </w:rPr>
              <w:t>Loans submitted by the Swing Line Lender as set forth herein shall be deemed to be a request by the Swing</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1"/>
              </w:rPr>
              <w:t>Line Lender that each of the Revolving Lenders fund its risk participation in the relevant Swing Line Loan and</w:t>
            </w:r>
          </w:p>
        </w:tc>
      </w:tr>
      <w:tr>
        <w:trPr>
          <w:trHeight w:val="225"/>
        </w:trPr>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80" w:type="dxa"/>
            <w:vAlign w:val="bottom"/>
            <w:gridSpan w:val="21"/>
          </w:tcPr>
          <w:p>
            <w:pPr>
              <w:spacing w:after="0" w:line="226" w:lineRule="exact"/>
              <w:rPr>
                <w:sz w:val="20"/>
                <w:szCs w:val="20"/>
                <w:color w:val="auto"/>
              </w:rPr>
            </w:pPr>
            <w:r>
              <w:rPr>
                <w:rFonts w:ascii="Arial" w:cs="Arial" w:eastAsia="Arial" w:hAnsi="Arial"/>
                <w:sz w:val="20"/>
                <w:szCs w:val="20"/>
                <w:color w:val="auto"/>
                <w:w w:val="92"/>
              </w:rPr>
              <w:t>each Revolving Lender’s payment to the Agent for the account of the Swing Line Lender pursuant to Section</w:t>
            </w:r>
          </w:p>
        </w:tc>
      </w:tr>
      <w:tr>
        <w:trPr>
          <w:trHeight w:val="250"/>
        </w:trPr>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60" w:type="dxa"/>
            <w:vAlign w:val="bottom"/>
            <w:gridSpan w:val="18"/>
          </w:tcPr>
          <w:p>
            <w:pPr>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04(c)(i)</w:t>
            </w:r>
            <w:r>
              <w:rPr>
                <w:rFonts w:ascii="Arial" w:cs="Arial" w:eastAsia="Arial" w:hAnsi="Arial"/>
                <w:sz w:val="20"/>
                <w:szCs w:val="20"/>
                <w:color w:val="auto"/>
              </w:rPr>
              <w:t xml:space="preserve"> shall be deemed payment in respect of such participation.</w:t>
            </w:r>
          </w:p>
        </w:tc>
        <w:tc>
          <w:tcPr>
            <w:tcW w:w="640" w:type="dxa"/>
            <w:vAlign w:val="bottom"/>
            <w:tcBorders>
              <w:top w:val="single" w:sz="8" w:color="auto"/>
            </w:tcBorders>
            <w:gridSpan w:val="2"/>
          </w:tcPr>
          <w:p>
            <w:pPr>
              <w:spacing w:after="0"/>
              <w:rPr>
                <w:sz w:val="21"/>
                <w:szCs w:val="21"/>
                <w:color w:val="auto"/>
              </w:rPr>
            </w:pPr>
          </w:p>
        </w:tc>
        <w:tc>
          <w:tcPr>
            <w:tcW w:w="180" w:type="dxa"/>
            <w:vAlign w:val="bottom"/>
          </w:tcPr>
          <w:p>
            <w:pPr>
              <w:spacing w:after="0"/>
              <w:rPr>
                <w:sz w:val="21"/>
                <w:szCs w:val="21"/>
                <w:color w:val="auto"/>
              </w:rPr>
            </w:pPr>
          </w:p>
        </w:tc>
      </w:tr>
      <w:tr>
        <w:trPr>
          <w:trHeight w:val="430"/>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5"/>
          </w:tcPr>
          <w:p>
            <w:pPr>
              <w:jc w:val="center"/>
              <w:ind w:right="840"/>
              <w:spacing w:after="0"/>
              <w:rPr>
                <w:sz w:val="20"/>
                <w:szCs w:val="20"/>
                <w:color w:val="auto"/>
              </w:rPr>
            </w:pPr>
            <w:r>
              <w:rPr>
                <w:rFonts w:ascii="Arial" w:cs="Arial" w:eastAsia="Arial" w:hAnsi="Arial"/>
                <w:sz w:val="20"/>
                <w:szCs w:val="20"/>
                <w:color w:val="auto"/>
              </w:rPr>
              <w:t>(iii)</w:t>
            </w:r>
          </w:p>
        </w:tc>
        <w:tc>
          <w:tcPr>
            <w:tcW w:w="5400" w:type="dxa"/>
            <w:vAlign w:val="bottom"/>
            <w:gridSpan w:val="12"/>
          </w:tcPr>
          <w:p>
            <w:pPr>
              <w:ind w:left="720"/>
              <w:spacing w:after="0"/>
              <w:rPr>
                <w:sz w:val="20"/>
                <w:szCs w:val="20"/>
                <w:color w:val="auto"/>
              </w:rPr>
            </w:pPr>
            <w:r>
              <w:rPr>
                <w:rFonts w:ascii="Arial" w:cs="Arial" w:eastAsia="Arial" w:hAnsi="Arial"/>
                <w:sz w:val="20"/>
                <w:szCs w:val="20"/>
                <w:color w:val="auto"/>
                <w:w w:val="99"/>
              </w:rPr>
              <w:t>If any Revolving Lender fails to make available to the</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4"/>
              </w:rPr>
              <w:t>Agent for the account of the Swing Line Lender any amount required to be paid by such Revolving Lender</w:t>
            </w:r>
          </w:p>
        </w:tc>
      </w:tr>
      <w:tr>
        <w:trPr>
          <w:trHeight w:val="225"/>
        </w:trPr>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80" w:type="dxa"/>
            <w:vAlign w:val="bottom"/>
            <w:gridSpan w:val="21"/>
          </w:tcPr>
          <w:p>
            <w:pPr>
              <w:spacing w:after="0" w:line="226" w:lineRule="exact"/>
              <w:rPr>
                <w:sz w:val="20"/>
                <w:szCs w:val="20"/>
                <w:color w:val="auto"/>
              </w:rPr>
            </w:pPr>
            <w:r>
              <w:rPr>
                <w:rFonts w:ascii="Arial" w:cs="Arial" w:eastAsia="Arial" w:hAnsi="Arial"/>
                <w:sz w:val="20"/>
                <w:szCs w:val="20"/>
                <w:color w:val="auto"/>
                <w:w w:val="96"/>
              </w:rPr>
              <w:t>pursuant to the foregoing provisions of this Section 2.04(c) by the time specified in Section 2.04(c)(i), the</w:t>
            </w:r>
          </w:p>
        </w:tc>
      </w:tr>
      <w:tr>
        <w:trPr>
          <w:trHeight w:val="20"/>
        </w:trPr>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95"/>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5"/>
              </w:rPr>
              <w:t>Swing Line Lender shall be entitled to recover from such Revolving Lender (acting through the Agent), on</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89"/>
              </w:rPr>
              <w:t>demand, such amount with interest thereon for the period from the date such payment is required to the date on</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0"/>
              </w:rPr>
              <w:t>which such payment is immediately available to the Swing Line Lender at a rate per annum equal to the greater</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6"/>
              </w:rPr>
              <w:t>of the Federal Funds Effective Rate and a rate determined by the Swing Line Lender in accordance with</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9"/>
              </w:rPr>
              <w:t>banking industry rules on interbank compensation plus any administrative, processing or similar fees</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5"/>
              </w:rPr>
              <w:t>customarily charged by the Swing Line Lender in connection with the foregoing. If such Revolving Lender</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3"/>
              </w:rPr>
              <w:t>pays such amount (with interest and fees as aforesaid), the amount so paid shall constitute such Revolving</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8"/>
              </w:rPr>
              <w:t>Lender’s Committed Loan included in the relevant Committed Borrowing or funded participation in the</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8"/>
              </w:rPr>
              <w:t>relevant Swing Line Loan, as the case may be. A certificate of the Swing Line Lender submitted to any</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7"/>
              </w:rPr>
              <w:t>Revolving Lender (through the Agent) with respect to any amounts owing under this clause (iii) shall be</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80" w:type="dxa"/>
            <w:vAlign w:val="bottom"/>
            <w:gridSpan w:val="9"/>
          </w:tcPr>
          <w:p>
            <w:pPr>
              <w:spacing w:after="0"/>
              <w:rPr>
                <w:sz w:val="20"/>
                <w:szCs w:val="20"/>
                <w:color w:val="auto"/>
              </w:rPr>
            </w:pPr>
            <w:r>
              <w:rPr>
                <w:rFonts w:ascii="Arial" w:cs="Arial" w:eastAsia="Arial" w:hAnsi="Arial"/>
                <w:sz w:val="20"/>
                <w:szCs w:val="20"/>
                <w:color w:val="auto"/>
              </w:rPr>
              <w:t>conclusive absent manifest error.</w:t>
            </w: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18"/>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5"/>
          </w:tcPr>
          <w:p>
            <w:pPr>
              <w:jc w:val="center"/>
              <w:ind w:right="840"/>
              <w:spacing w:after="0"/>
              <w:rPr>
                <w:sz w:val="20"/>
                <w:szCs w:val="20"/>
                <w:color w:val="auto"/>
              </w:rPr>
            </w:pPr>
            <w:r>
              <w:rPr>
                <w:rFonts w:ascii="Arial" w:cs="Arial" w:eastAsia="Arial" w:hAnsi="Arial"/>
                <w:sz w:val="20"/>
                <w:szCs w:val="20"/>
                <w:color w:val="auto"/>
              </w:rPr>
              <w:t>(iv)</w:t>
            </w:r>
          </w:p>
        </w:tc>
        <w:tc>
          <w:tcPr>
            <w:tcW w:w="5400" w:type="dxa"/>
            <w:vAlign w:val="bottom"/>
            <w:gridSpan w:val="12"/>
          </w:tcPr>
          <w:p>
            <w:pPr>
              <w:ind w:left="720"/>
              <w:spacing w:after="0"/>
              <w:rPr>
                <w:sz w:val="20"/>
                <w:szCs w:val="20"/>
                <w:color w:val="auto"/>
              </w:rPr>
            </w:pPr>
            <w:r>
              <w:rPr>
                <w:rFonts w:ascii="Arial" w:cs="Arial" w:eastAsia="Arial" w:hAnsi="Arial"/>
                <w:sz w:val="20"/>
                <w:szCs w:val="20"/>
                <w:color w:val="auto"/>
                <w:w w:val="94"/>
              </w:rPr>
              <w:t>Each Revolving Lender’s obligation to make Committed</w:t>
            </w:r>
          </w:p>
        </w:tc>
      </w:tr>
      <w:tr>
        <w:trPr>
          <w:trHeight w:val="225"/>
        </w:trPr>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80" w:type="dxa"/>
            <w:vAlign w:val="bottom"/>
            <w:gridSpan w:val="21"/>
          </w:tcPr>
          <w:p>
            <w:pPr>
              <w:spacing w:after="0" w:line="226" w:lineRule="exact"/>
              <w:rPr>
                <w:sz w:val="20"/>
                <w:szCs w:val="20"/>
                <w:color w:val="auto"/>
              </w:rPr>
            </w:pPr>
            <w:r>
              <w:rPr>
                <w:rFonts w:ascii="Arial" w:cs="Arial" w:eastAsia="Arial" w:hAnsi="Arial"/>
                <w:sz w:val="20"/>
                <w:szCs w:val="20"/>
                <w:color w:val="auto"/>
                <w:w w:val="91"/>
              </w:rPr>
              <w:t>Loans or to purchase and fund risk participations in Swing Line Loans pursuant to this Section 2.04(c) shall be</w:t>
            </w:r>
          </w:p>
        </w:tc>
      </w:tr>
      <w:tr>
        <w:trPr>
          <w:trHeight w:val="20"/>
        </w:trPr>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95"/>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rPr>
              <w:t>absolute and unconditional and shall not be affected by any circumstance, including (A) any setoff,</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3"/>
              </w:rPr>
              <w:t>counterclaim, recoupment, defense or other right which such Revolving Lender may have against the Swing</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0"/>
              </w:rPr>
              <w:t>Line Lender, the Borrowers or any other Person for any reason whatsoever, (B) the occurrence or continuance</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3"/>
              </w:rPr>
              <w:t>of a Default or an Event of Default, or (C) any other occurrence, event or condition, whether or not similar to</w:t>
            </w:r>
          </w:p>
        </w:tc>
      </w:tr>
      <w:tr>
        <w:trPr>
          <w:trHeight w:val="225"/>
        </w:trPr>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880" w:type="dxa"/>
            <w:vAlign w:val="bottom"/>
            <w:gridSpan w:val="21"/>
          </w:tcPr>
          <w:p>
            <w:pPr>
              <w:spacing w:after="0" w:line="226" w:lineRule="exact"/>
              <w:rPr>
                <w:sz w:val="20"/>
                <w:szCs w:val="20"/>
                <w:color w:val="auto"/>
              </w:rPr>
            </w:pPr>
            <w:r>
              <w:rPr>
                <w:rFonts w:ascii="Arial" w:cs="Arial" w:eastAsia="Arial" w:hAnsi="Arial"/>
                <w:sz w:val="20"/>
                <w:szCs w:val="20"/>
                <w:color w:val="auto"/>
                <w:w w:val="93"/>
              </w:rPr>
              <w:t>any of the foregoing; provided, however, that each Revolving Lender’s obligation to make Committed Loans</w:t>
            </w:r>
          </w:p>
        </w:tc>
      </w:tr>
      <w:tr>
        <w:trPr>
          <w:trHeight w:val="20"/>
        </w:trPr>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3"/>
              </w:rPr>
              <w:t>pursuant to this Section 2.04(c) is subject to the conditions set forth in Section 4.02. No such funding of risk</w:t>
            </w:r>
          </w:p>
        </w:tc>
      </w:tr>
      <w:tr>
        <w:trPr>
          <w:trHeight w:val="20"/>
        </w:trPr>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r>
      <w:tr>
        <w:trPr>
          <w:trHeight w:val="295"/>
        </w:trPr>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5"/>
              </w:rPr>
              <w:t>participations shall relieve or otherwise impair the obligation of the Borrowers to repay Swing Line Loans,</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80" w:type="dxa"/>
            <w:vAlign w:val="bottom"/>
            <w:gridSpan w:val="9"/>
          </w:tcPr>
          <w:p>
            <w:pPr>
              <w:spacing w:after="0"/>
              <w:rPr>
                <w:sz w:val="20"/>
                <w:szCs w:val="20"/>
                <w:color w:val="auto"/>
              </w:rPr>
            </w:pPr>
            <w:r>
              <w:rPr>
                <w:rFonts w:ascii="Arial" w:cs="Arial" w:eastAsia="Arial" w:hAnsi="Arial"/>
                <w:sz w:val="20"/>
                <w:szCs w:val="20"/>
                <w:color w:val="auto"/>
                <w:w w:val="95"/>
              </w:rPr>
              <w:t>together with interest as provided herein.</w:t>
            </w: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374"/>
        </w:trPr>
        <w:tc>
          <w:tcPr>
            <w:tcW w:w="5720" w:type="dxa"/>
            <w:vAlign w:val="bottom"/>
            <w:gridSpan w:val="11"/>
          </w:tcPr>
          <w:p>
            <w:pPr>
              <w:spacing w:after="0"/>
              <w:rPr>
                <w:sz w:val="20"/>
                <w:szCs w:val="20"/>
                <w:color w:val="auto"/>
              </w:rPr>
            </w:pPr>
            <w:r>
              <w:rPr>
                <w:rFonts w:ascii="Arial" w:cs="Arial" w:eastAsia="Arial" w:hAnsi="Arial"/>
                <w:sz w:val="20"/>
                <w:szCs w:val="20"/>
                <w:color w:val="auto"/>
              </w:rPr>
              <w:t>(d)Repayment of Participations.</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2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5"/>
          </w:tcPr>
          <w:p>
            <w:pPr>
              <w:jc w:val="center"/>
              <w:ind w:right="780"/>
              <w:spacing w:after="0"/>
              <w:rPr>
                <w:sz w:val="20"/>
                <w:szCs w:val="20"/>
                <w:color w:val="auto"/>
              </w:rPr>
            </w:pPr>
            <w:r>
              <w:rPr>
                <w:rFonts w:ascii="Arial" w:cs="Arial" w:eastAsia="Arial" w:hAnsi="Arial"/>
                <w:sz w:val="20"/>
                <w:szCs w:val="20"/>
                <w:color w:val="auto"/>
              </w:rPr>
              <w:t>(i)</w:t>
            </w:r>
          </w:p>
        </w:tc>
        <w:tc>
          <w:tcPr>
            <w:tcW w:w="5400" w:type="dxa"/>
            <w:vAlign w:val="bottom"/>
            <w:gridSpan w:val="12"/>
          </w:tcPr>
          <w:p>
            <w:pPr>
              <w:ind w:left="720"/>
              <w:spacing w:after="0"/>
              <w:rPr>
                <w:sz w:val="20"/>
                <w:szCs w:val="20"/>
                <w:color w:val="auto"/>
              </w:rPr>
            </w:pPr>
            <w:r>
              <w:rPr>
                <w:rFonts w:ascii="Arial" w:cs="Arial" w:eastAsia="Arial" w:hAnsi="Arial"/>
                <w:sz w:val="20"/>
                <w:szCs w:val="20"/>
                <w:color w:val="auto"/>
                <w:w w:val="89"/>
              </w:rPr>
              <w:t>At any time after any Revolving Lender has purchased and</w:t>
            </w:r>
          </w:p>
        </w:tc>
      </w:tr>
      <w:tr>
        <w:trPr>
          <w:trHeight w:val="270"/>
        </w:trPr>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8880" w:type="dxa"/>
            <w:vAlign w:val="bottom"/>
            <w:gridSpan w:val="21"/>
          </w:tcPr>
          <w:p>
            <w:pPr>
              <w:spacing w:after="0"/>
              <w:rPr>
                <w:sz w:val="20"/>
                <w:szCs w:val="20"/>
                <w:color w:val="auto"/>
              </w:rPr>
            </w:pPr>
            <w:r>
              <w:rPr>
                <w:rFonts w:ascii="Arial" w:cs="Arial" w:eastAsia="Arial" w:hAnsi="Arial"/>
                <w:sz w:val="20"/>
                <w:szCs w:val="20"/>
                <w:color w:val="auto"/>
                <w:w w:val="91"/>
              </w:rPr>
              <w:t>funded a risk participation in a Swing Line Loan, if the Swing Line Lender, or the Agent on behalf of the Swing</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1"/>
              </w:rPr>
              <w:t>Line Lender, receives any payment on account of such Swing Line Loan, the Swing Line Lender will distribute</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8"/>
              </w:rPr>
              <w:t>such payment to the Agent and the Agent shall distribute to each such Revolving Lender its Applicable</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rPr>
              <w:t>Percentage of such payment (appropriately adjusted, in the case of interest payments, to reflect the</w:t>
            </w:r>
          </w:p>
        </w:tc>
      </w:tr>
      <w:tr>
        <w:trPr>
          <w:trHeight w:val="551"/>
        </w:trPr>
        <w:tc>
          <w:tcPr>
            <w:tcW w:w="17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9500" w:type="dxa"/>
            <w:vAlign w:val="bottom"/>
          </w:tcPr>
          <w:p>
            <w:pPr>
              <w:jc w:val="right"/>
              <w:ind w:right="5341"/>
              <w:spacing w:after="0"/>
              <w:rPr>
                <w:sz w:val="20"/>
                <w:szCs w:val="20"/>
                <w:color w:val="auto"/>
              </w:rPr>
            </w:pPr>
            <w:r>
              <w:rPr>
                <w:rFonts w:ascii="Arial" w:cs="Arial" w:eastAsia="Arial" w:hAnsi="Arial"/>
                <w:sz w:val="20"/>
                <w:szCs w:val="20"/>
                <w:color w:val="auto"/>
              </w:rPr>
              <w:t>-77-</w:t>
            </w:r>
          </w:p>
        </w:tc>
      </w:tr>
      <w:tr>
        <w:trPr>
          <w:trHeight w:val="383"/>
        </w:trPr>
        <w:tc>
          <w:tcPr>
            <w:tcW w:w="17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1" w:name="page82"/>
    <w:bookmarkEnd w:id="81"/>
    <w:p>
      <w:pPr>
        <w:ind w:left="2320" w:right="60"/>
        <w:spacing w:after="0" w:line="303" w:lineRule="auto"/>
        <w:rPr>
          <w:sz w:val="20"/>
          <w:szCs w:val="20"/>
          <w:color w:val="auto"/>
        </w:rPr>
      </w:pPr>
      <w:r>
        <w:rPr>
          <w:rFonts w:ascii="Arial" w:cs="Arial" w:eastAsia="Arial" w:hAnsi="Arial"/>
          <w:sz w:val="20"/>
          <w:szCs w:val="20"/>
          <w:color w:val="auto"/>
        </w:rPr>
        <w:t>period of time during which such Revolving Lender’s risk participation was funded) in the same funds as those received by the Swing Line Lender.</w:t>
      </w:r>
    </w:p>
    <w:p>
      <w:pPr>
        <w:spacing w:after="0" w:line="108" w:lineRule="exact"/>
        <w:rPr>
          <w:sz w:val="20"/>
          <w:szCs w:val="20"/>
          <w:color w:val="auto"/>
        </w:rPr>
      </w:pPr>
    </w:p>
    <w:p>
      <w:pPr>
        <w:ind w:left="2320" w:right="80" w:firstLine="2065"/>
        <w:spacing w:after="0" w:line="300" w:lineRule="auto"/>
        <w:rPr>
          <w:sz w:val="20"/>
          <w:szCs w:val="20"/>
          <w:color w:val="auto"/>
        </w:rPr>
      </w:pPr>
      <w:r>
        <w:rPr>
          <w:rFonts w:ascii="Arial" w:cs="Arial" w:eastAsia="Arial" w:hAnsi="Arial"/>
          <w:sz w:val="19"/>
          <w:szCs w:val="19"/>
          <w:color w:val="auto"/>
        </w:rPr>
        <w:t xml:space="preserve">(ii) If any payment received by the Swing Line Lender, or the Agent on behalf of the Swing Line Lender, in respect of principal or interest on any Swing Line Loan is required to be returned by the Swing Line Lender under any of the circumstances described in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(including pursuant to any settlement entered into by the Swing Line Lender in its discretion), each Revolving Lender shall pay to the Swing Line Lender its Applicable Percentage thereof on demand of the Agent, plus interest thereon from the date of such demand to the date such amount is returned, at a rate per annum equal to the Federal Funds Effective Rate. The Agent will make such demand upon the request of the Swing Line Lender. The obligations of the Revolving Lenders under this clause shall survive the payment in full of the Obligations and the termination of this Agreement.</w:t>
      </w:r>
    </w:p>
    <w:p>
      <w:pPr>
        <w:spacing w:after="0" w:line="107" w:lineRule="exact"/>
        <w:rPr>
          <w:sz w:val="20"/>
          <w:szCs w:val="20"/>
          <w:color w:val="auto"/>
        </w:rPr>
      </w:pPr>
    </w:p>
    <w:p>
      <w:pPr>
        <w:ind w:left="300" w:right="40" w:hanging="219"/>
        <w:spacing w:after="0" w:line="288" w:lineRule="auto"/>
        <w:rPr>
          <w:sz w:val="20"/>
          <w:szCs w:val="20"/>
          <w:color w:val="auto"/>
        </w:rPr>
      </w:pPr>
      <w:r>
        <w:rPr>
          <w:rFonts w:ascii="Arial" w:cs="Arial" w:eastAsia="Arial" w:hAnsi="Arial"/>
          <w:sz w:val="20"/>
          <w:szCs w:val="20"/>
          <w:color w:val="auto"/>
        </w:rPr>
        <w:t>(e)</w:t>
      </w: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Revolving Lender funds its Base Rate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Revolving Lender’s Applicable Percentage of any Swing Line Loan, interest in respect of such Applicable Percentage shall be solely for the account of the Swing Line Lender.</w:t>
      </w:r>
    </w:p>
    <w:p>
      <w:pPr>
        <w:spacing w:after="0" w:line="125" w:lineRule="exact"/>
        <w:rPr>
          <w:sz w:val="20"/>
          <w:szCs w:val="20"/>
          <w:color w:val="auto"/>
        </w:rPr>
      </w:pPr>
    </w:p>
    <w:p>
      <w:pPr>
        <w:ind w:left="280" w:right="140" w:hanging="197"/>
        <w:spacing w:after="0" w:line="303" w:lineRule="auto"/>
        <w:rPr>
          <w:sz w:val="20"/>
          <w:szCs w:val="20"/>
          <w:color w:val="auto"/>
        </w:rPr>
      </w:pPr>
      <w:r>
        <w:rPr>
          <w:rFonts w:ascii="Arial" w:cs="Arial" w:eastAsia="Arial" w:hAnsi="Arial"/>
          <w:sz w:val="20"/>
          <w:szCs w:val="20"/>
          <w:color w:val="auto"/>
        </w:rPr>
        <w:t>(f)</w:t>
      </w: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2.05 Prepayments</w:t>
      </w:r>
      <w:r>
        <w:rPr>
          <w:rFonts w:ascii="Arial" w:cs="Arial" w:eastAsia="Arial" w:hAnsi="Arial"/>
          <w:sz w:val="20"/>
          <w:szCs w:val="20"/>
          <w:color w:val="auto"/>
        </w:rPr>
        <w:t>.</w:t>
      </w:r>
    </w:p>
    <w:p>
      <w:pPr>
        <w:spacing w:after="0" w:line="181" w:lineRule="exact"/>
        <w:rPr>
          <w:sz w:val="20"/>
          <w:szCs w:val="20"/>
          <w:color w:val="auto"/>
        </w:rPr>
      </w:pPr>
    </w:p>
    <w:p>
      <w:pPr>
        <w:ind w:left="300" w:hanging="219"/>
        <w:spacing w:after="0" w:line="317" w:lineRule="auto"/>
        <w:rPr>
          <w:sz w:val="20"/>
          <w:szCs w:val="20"/>
          <w:color w:val="auto"/>
        </w:rPr>
      </w:pPr>
      <w:r>
        <w:rPr>
          <w:rFonts w:ascii="Arial" w:cs="Arial" w:eastAsia="Arial" w:hAnsi="Arial"/>
          <w:sz w:val="18"/>
          <w:szCs w:val="18"/>
          <w:color w:val="auto"/>
        </w:rPr>
        <w:t xml:space="preserve">(a)The Borrowers may, upon irrevocable notice from the Lead Borrower to the Agent, at any time or from time to time voluntarily prepay Committed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Agent not later than 1:00 p.m. (A) three (3) Business Days prior to any date of prepayment of LIBOR Rate Loans and (B) on the date of prepayment of Base Rate Loans; and (ii) any prepayment of LIBOR Rate Loans shall be in a principal amount of $1,000,000 or a whole multiple of $100,000 in excess thereof or, if less, the entire principal amount thereof then outstanding. Each such notice shall specify the date and amount of such prepayment and the Type(s) of Loans to be prepaid and, if LIBOR Rate Loans, the Interest Period(s) of such Loans. The Agent will promptly notify each Revolving Lender of its receipt of each such notice, and of the amount of such Revolving Lender’s Applicable Percentage of such prepayment. If such notice is given by the Lead Borrower, the Borrowers shall make such prepayment and the payment amount specified in such notice shall be due and payable on the date specified therein. Any prepayment of a LIBOR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applied to the Committed Loans of the Revolving Lenders in accordance with their respective Applicable Percentages.</w:t>
      </w:r>
    </w:p>
    <w:p>
      <w:pPr>
        <w:spacing w:after="0" w:line="108" w:lineRule="exact"/>
        <w:rPr>
          <w:sz w:val="20"/>
          <w:szCs w:val="20"/>
          <w:color w:val="auto"/>
        </w:rPr>
      </w:pPr>
    </w:p>
    <w:p>
      <w:pPr>
        <w:ind w:left="320" w:right="100" w:hanging="230"/>
        <w:spacing w:after="0" w:line="287" w:lineRule="auto"/>
        <w:rPr>
          <w:sz w:val="20"/>
          <w:szCs w:val="20"/>
          <w:color w:val="auto"/>
        </w:rPr>
      </w:pPr>
      <w:r>
        <w:rPr>
          <w:rFonts w:ascii="Arial" w:cs="Arial" w:eastAsia="Arial" w:hAnsi="Arial"/>
          <w:sz w:val="20"/>
          <w:szCs w:val="20"/>
          <w:color w:val="auto"/>
        </w:rPr>
        <w:t xml:space="preserve">(b)The Borrowers may, upon irrevocable notice from the Lead Borrower to the Swing Line Lender (with a copy to the Agent), at any time or from time to time, voluntarily prepay Swing Line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notice must be received by the Swing Line Lender and the Agent not later than 1:00 p.m. on the date of the prepayment, and (ii) any such prepayment shall be in a minimum principal amount of $100,000. Each such notice shall specify the date and amount of such prepayment. If such notice is given by the Lead Borrower, the Borrowers</w:t>
      </w:r>
    </w:p>
    <w:p>
      <w:pPr>
        <w:spacing w:after="0" w:line="245"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406" w:right="379" w:bottom="1440" w:gutter="0" w:footer="0" w:header="0"/>
        </w:sectPr>
      </w:pPr>
    </w:p>
    <w:bookmarkStart w:id="82" w:name="page83"/>
    <w:bookmarkEnd w:id="82"/>
    <w:p>
      <w:pPr>
        <w:ind w:left="80"/>
        <w:spacing w:after="0"/>
        <w:rPr>
          <w:sz w:val="20"/>
          <w:szCs w:val="20"/>
          <w:color w:val="auto"/>
        </w:rPr>
      </w:pPr>
      <w:r>
        <w:rPr>
          <w:rFonts w:ascii="Arial" w:cs="Arial" w:eastAsia="Arial" w:hAnsi="Arial"/>
          <w:sz w:val="18"/>
          <w:szCs w:val="18"/>
          <w:color w:val="auto"/>
        </w:rPr>
        <w:t>shall make such prepayment and the payment amount specified in such notice shall be due and payable on the date specified therein.</w:t>
      </w:r>
    </w:p>
    <w:p>
      <w:pPr>
        <w:spacing w:after="0" w:line="212" w:lineRule="exact"/>
        <w:rPr>
          <w:sz w:val="20"/>
          <w:szCs w:val="20"/>
          <w:color w:val="auto"/>
        </w:rPr>
      </w:pPr>
    </w:p>
    <w:p>
      <w:pPr>
        <w:ind w:left="300" w:right="160" w:hanging="219"/>
        <w:spacing w:after="0" w:line="305" w:lineRule="auto"/>
        <w:rPr>
          <w:sz w:val="20"/>
          <w:szCs w:val="20"/>
          <w:color w:val="auto"/>
        </w:rPr>
      </w:pPr>
      <w:r>
        <w:rPr>
          <w:rFonts w:ascii="Arial" w:cs="Arial" w:eastAsia="Arial" w:hAnsi="Arial"/>
          <w:sz w:val="19"/>
          <w:szCs w:val="19"/>
          <w:color w:val="auto"/>
        </w:rPr>
        <w:t xml:space="preserve">(c)If for any reason the Total Outstandings at any time exceed the Revolving Loan Cap as then in effect, the Borrowers shall immediately prepay the Revolving Loans and L/C Borrowings and Cash Collateralize the L/C Obligations (other than L/C Borrowings)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Borrowers shall not be required to Cash Collateralize the L/C Obligations (other than L/C Borrowings) pursuant to this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unless after the prepayment in full of the Revolving Loans the Total Outstandings exceed the Revolving Loan Cap as then in effect.</w:t>
      </w:r>
    </w:p>
    <w:p>
      <w:pPr>
        <w:spacing w:after="0" w:line="97" w:lineRule="exact"/>
        <w:rPr>
          <w:sz w:val="20"/>
          <w:szCs w:val="20"/>
          <w:color w:val="auto"/>
        </w:rPr>
      </w:pPr>
    </w:p>
    <w:p>
      <w:pPr>
        <w:ind w:left="320" w:right="120" w:hanging="230"/>
        <w:spacing w:after="0" w:line="292" w:lineRule="auto"/>
        <w:rPr>
          <w:sz w:val="20"/>
          <w:szCs w:val="20"/>
          <w:color w:val="auto"/>
        </w:rPr>
      </w:pPr>
      <w:r>
        <w:rPr>
          <w:rFonts w:ascii="Arial" w:cs="Arial" w:eastAsia="Arial" w:hAnsi="Arial"/>
          <w:sz w:val="20"/>
          <w:szCs w:val="20"/>
          <w:color w:val="auto"/>
        </w:rPr>
        <w:t xml:space="preserve">(d)The Borrowers shall prepay the Loans and, after the occurrence and during the continuance of an Event of Default or to the extent required by the provisions of </w:t>
      </w:r>
      <w:r>
        <w:rPr>
          <w:rFonts w:ascii="Arial" w:cs="Arial" w:eastAsia="Arial" w:hAnsi="Arial"/>
          <w:sz w:val="20"/>
          <w:szCs w:val="20"/>
          <w:u w:val="single" w:color="auto"/>
          <w:color w:val="auto"/>
        </w:rPr>
        <w:t>Section 2.06(c)</w:t>
      </w:r>
      <w:r>
        <w:rPr>
          <w:rFonts w:ascii="Arial" w:cs="Arial" w:eastAsia="Arial" w:hAnsi="Arial"/>
          <w:sz w:val="20"/>
          <w:szCs w:val="20"/>
          <w:color w:val="auto"/>
        </w:rPr>
        <w:t xml:space="preserve">, Cash Collateralize the L/C Obligations to the extent required pursuant to the provisions of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hereof.</w:t>
      </w:r>
    </w:p>
    <w:p>
      <w:pPr>
        <w:spacing w:after="0" w:line="119" w:lineRule="exact"/>
        <w:rPr>
          <w:sz w:val="20"/>
          <w:szCs w:val="20"/>
          <w:color w:val="auto"/>
        </w:rPr>
      </w:pPr>
    </w:p>
    <w:p>
      <w:pPr>
        <w:ind w:left="300" w:right="80" w:hanging="219"/>
        <w:spacing w:after="0" w:line="319" w:lineRule="auto"/>
        <w:rPr>
          <w:sz w:val="20"/>
          <w:szCs w:val="20"/>
          <w:color w:val="auto"/>
        </w:rPr>
      </w:pPr>
      <w:r>
        <w:rPr>
          <w:rFonts w:ascii="Arial" w:cs="Arial" w:eastAsia="Arial" w:hAnsi="Arial"/>
          <w:sz w:val="18"/>
          <w:szCs w:val="18"/>
          <w:color w:val="auto"/>
        </w:rPr>
        <w:t xml:space="preserve">(e)Prepayments made pursuant to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ratably to the L/C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shall be applied ratably to the outstanding Committed Loans,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after the occurrence and during the continuance of an Event of Default, shall be used to Cash Collateralize the remaining L/C Obligations; and </w:t>
      </w:r>
      <w:r>
        <w:rPr>
          <w:rFonts w:ascii="Arial" w:cs="Arial" w:eastAsia="Arial" w:hAnsi="Arial"/>
          <w:sz w:val="18"/>
          <w:szCs w:val="18"/>
          <w:u w:val="single" w:color="auto"/>
          <w:color w:val="auto"/>
        </w:rPr>
        <w:t>fourth</w:t>
      </w:r>
      <w:r>
        <w:rPr>
          <w:rFonts w:ascii="Arial" w:cs="Arial" w:eastAsia="Arial" w:hAnsi="Arial"/>
          <w:sz w:val="18"/>
          <w:szCs w:val="18"/>
          <w:color w:val="auto"/>
        </w:rPr>
        <w:t>, the amount remaining, if any, after the prepayment in full of all L/C Borrowings, Swing Line Loans, and Committed Loans outstanding at such time and the Cash Collateralization of the remaining L/C Obligations (to the extent required hereunder) in full shall be deposited by the Agent in a deposit account of the Lead Borrower and may be utilized by the Borrowers in the ordinary course of its business to the extent otherwise permitted hereunder. Upon the drawing of any Letter of Credit that has been Cash Collateralized, the funds held as Cash Collateral shall be applied (without any further action by or notice to or from the Borrowers or any other Loan Party) to reimburse the L/C Issuer or the Revolving Lenders, as applicable, and, to the extent not so applied, shall thereafter be applied to satisfy other Obligations.</w:t>
      </w:r>
    </w:p>
    <w:p>
      <w:pPr>
        <w:spacing w:after="0" w:line="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2.06 Termination or Reduction of Revolving Commitments.</w:t>
      </w:r>
    </w:p>
    <w:p>
      <w:pPr>
        <w:spacing w:after="0" w:line="181" w:lineRule="exact"/>
        <w:rPr>
          <w:sz w:val="20"/>
          <w:szCs w:val="20"/>
          <w:color w:val="auto"/>
        </w:rPr>
      </w:pPr>
    </w:p>
    <w:p>
      <w:pPr>
        <w:ind w:left="300" w:hanging="219"/>
        <w:spacing w:after="0" w:line="303" w:lineRule="auto"/>
        <w:rPr>
          <w:sz w:val="20"/>
          <w:szCs w:val="20"/>
          <w:color w:val="auto"/>
        </w:rPr>
      </w:pPr>
      <w:r>
        <w:rPr>
          <w:rFonts w:ascii="Arial" w:cs="Arial" w:eastAsia="Arial" w:hAnsi="Arial"/>
          <w:sz w:val="19"/>
          <w:szCs w:val="19"/>
          <w:color w:val="auto"/>
        </w:rPr>
        <w:t xml:space="preserve">(a)The Borrowers may, upon irrevocable notice from the Lead Borrower to the Agent, terminate the Aggregate Revolving Commitments or from time to time permanently reduce the Aggregate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Agent not later than 11:00 a.m. five (5) Business Days prior to the date of termination or reduction, (ii) any such partial reduction shall be in an aggregate amount of $10,000,000 or any whole multiple of $1,000,000 in excess thereof, (iii) the Borrowers shall not terminate or reduce the Aggregate Revolving Commitments if, after giving effect thereto and to any concurrent prepayments hereunder, the Total Outstandings would exceed the Aggregate Revolving Commitments.</w:t>
      </w:r>
    </w:p>
    <w:p>
      <w:pPr>
        <w:spacing w:after="0" w:line="113" w:lineRule="exact"/>
        <w:rPr>
          <w:sz w:val="20"/>
          <w:szCs w:val="20"/>
          <w:color w:val="auto"/>
        </w:rPr>
      </w:pPr>
    </w:p>
    <w:p>
      <w:pPr>
        <w:ind w:left="320" w:right="120" w:hanging="230"/>
        <w:spacing w:after="0" w:line="292" w:lineRule="auto"/>
        <w:rPr>
          <w:sz w:val="20"/>
          <w:szCs w:val="20"/>
          <w:color w:val="auto"/>
        </w:rPr>
      </w:pPr>
      <w:r>
        <w:rPr>
          <w:rFonts w:ascii="Arial" w:cs="Arial" w:eastAsia="Arial" w:hAnsi="Arial"/>
          <w:sz w:val="20"/>
          <w:szCs w:val="20"/>
          <w:color w:val="auto"/>
        </w:rPr>
        <w:t>(b)If, after giving effect to any reduction of the Aggregate Revolving Commitments, the Letter of Credit Sublimit or the Swing Line Sublimit exceeds the amount of the Aggregate Revolving Commitments, such Letter of Credit Sublimit or Swing Line Sublimit shall be automatically reduced by the amount of such excess.</w:t>
      </w:r>
    </w:p>
    <w:p>
      <w:pPr>
        <w:spacing w:after="0" w:line="119" w:lineRule="exact"/>
        <w:rPr>
          <w:sz w:val="20"/>
          <w:szCs w:val="20"/>
          <w:color w:val="auto"/>
        </w:rPr>
      </w:pPr>
    </w:p>
    <w:p>
      <w:pPr>
        <w:ind w:left="300" w:right="500" w:hanging="219"/>
        <w:spacing w:after="0" w:line="288" w:lineRule="auto"/>
        <w:rPr>
          <w:sz w:val="20"/>
          <w:szCs w:val="20"/>
          <w:color w:val="auto"/>
        </w:rPr>
      </w:pPr>
      <w:r>
        <w:rPr>
          <w:rFonts w:ascii="Arial" w:cs="Arial" w:eastAsia="Arial" w:hAnsi="Arial"/>
          <w:sz w:val="20"/>
          <w:szCs w:val="20"/>
          <w:color w:val="auto"/>
        </w:rPr>
        <w:t xml:space="preserve">(c)The Agent will promptly notify the Revolving Lenders of any termination or reduction of the Letter of Credit Sublimit, Swing Line Sublimit or the Aggregate Revolving Commitments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Upon any reduction of the Aggregate Revolving Commitments, the Revolving Commitment of each Revolving Lender shall be reduced by such Revolving Lender’s Applicable Percentage of such</w:t>
      </w:r>
    </w:p>
    <w:p>
      <w:pPr>
        <w:spacing w:after="0" w:line="233"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83" w:name="page84"/>
    <w:bookmarkEnd w:id="83"/>
    <w:p>
      <w:pPr>
        <w:ind w:left="80" w:right="60"/>
        <w:spacing w:after="0" w:line="287" w:lineRule="auto"/>
        <w:rPr>
          <w:sz w:val="20"/>
          <w:szCs w:val="20"/>
          <w:color w:val="auto"/>
        </w:rPr>
      </w:pPr>
      <w:r>
        <w:rPr>
          <w:rFonts w:ascii="Arial" w:cs="Arial" w:eastAsia="Arial" w:hAnsi="Arial"/>
          <w:sz w:val="20"/>
          <w:szCs w:val="20"/>
          <w:color w:val="auto"/>
        </w:rPr>
        <w:t>reduction amount. If, as a result of such termination or reduction, (i) the Outstanding Amount of L/C Obligations not fully Cash Collateralized hereunder would exceed the Letter of Credit Sublimit, the Borrowers shall contemporaneously with such reduction or termination, Cash Collateral such excess amount, and (ii) the Committed Loans or the Swing Line Loans hereunder would exceed the Aggregate Revolving Commitments or the Swing Line Sublimit, as applicable, the Borrowers shall contemporaneously with such reduction or termination, pay the Agent an amount equal to such excess.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2.07 Repayment of Obligations</w:t>
      </w:r>
      <w:r>
        <w:rPr>
          <w:rFonts w:ascii="Arial" w:cs="Arial" w:eastAsia="Arial" w:hAnsi="Arial"/>
          <w:sz w:val="20"/>
          <w:szCs w:val="20"/>
          <w:color w:val="auto"/>
        </w:rPr>
        <w:t>.</w:t>
      </w:r>
    </w:p>
    <w:p>
      <w:pPr>
        <w:spacing w:after="0" w:line="181" w:lineRule="exact"/>
        <w:rPr>
          <w:sz w:val="20"/>
          <w:szCs w:val="20"/>
          <w:color w:val="auto"/>
        </w:rPr>
      </w:pPr>
    </w:p>
    <w:p>
      <w:pPr>
        <w:jc w:val="both"/>
        <w:ind w:left="300" w:right="40" w:hanging="219"/>
        <w:spacing w:after="0" w:line="287" w:lineRule="auto"/>
        <w:rPr>
          <w:sz w:val="20"/>
          <w:szCs w:val="20"/>
          <w:color w:val="auto"/>
        </w:rPr>
      </w:pPr>
      <w:r>
        <w:rPr>
          <w:rFonts w:ascii="Arial" w:cs="Arial" w:eastAsia="Arial" w:hAnsi="Arial"/>
          <w:sz w:val="20"/>
          <w:szCs w:val="20"/>
          <w:color w:val="auto"/>
        </w:rPr>
        <w:t xml:space="preserve">(a)Except as provided in </w:t>
      </w:r>
      <w:r>
        <w:rPr>
          <w:rFonts w:ascii="Arial" w:cs="Arial" w:eastAsia="Arial" w:hAnsi="Arial"/>
          <w:sz w:val="20"/>
          <w:szCs w:val="20"/>
          <w:u w:val="single" w:color="auto"/>
          <w:color w:val="auto"/>
        </w:rPr>
        <w:t>Section 10.11</w:t>
      </w:r>
      <w:r>
        <w:rPr>
          <w:rFonts w:ascii="Arial" w:cs="Arial" w:eastAsia="Arial" w:hAnsi="Arial"/>
          <w:sz w:val="20"/>
          <w:szCs w:val="20"/>
          <w:color w:val="auto"/>
        </w:rPr>
        <w:t xml:space="preserve"> with respect to the collateralization of the Other Liabilities, the Borrowers shall repay to the Lenders on the Termination Date all Obligations (including, without limitation, the Committed Loans, and the Swing Line Loans)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2.08 Interest</w:t>
      </w:r>
      <w:r>
        <w:rPr>
          <w:rFonts w:ascii="Arial" w:cs="Arial" w:eastAsia="Arial" w:hAnsi="Arial"/>
          <w:sz w:val="20"/>
          <w:szCs w:val="20"/>
          <w:color w:val="auto"/>
        </w:rPr>
        <w:t>.</w:t>
      </w:r>
    </w:p>
    <w:p>
      <w:pPr>
        <w:spacing w:after="0" w:line="195" w:lineRule="exact"/>
        <w:rPr>
          <w:sz w:val="20"/>
          <w:szCs w:val="20"/>
          <w:color w:val="auto"/>
        </w:rPr>
      </w:pPr>
    </w:p>
    <w:p>
      <w:pPr>
        <w:ind w:left="300" w:right="160" w:hanging="219"/>
        <w:spacing w:after="0" w:line="321" w:lineRule="auto"/>
        <w:rPr>
          <w:sz w:val="20"/>
          <w:szCs w:val="20"/>
          <w:color w:val="auto"/>
        </w:rPr>
      </w:pPr>
      <w:r>
        <w:rPr>
          <w:rFonts w:ascii="Arial" w:cs="Arial" w:eastAsia="Arial" w:hAnsi="Arial"/>
          <w:sz w:val="18"/>
          <w:szCs w:val="18"/>
          <w:color w:val="auto"/>
        </w:rPr>
        <w:t xml:space="preserve">(a)Subject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below and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(i) each Revolving Loan that is a LIBOR Rate Loan shall bear interest on the outstanding principal amount thereof for each Interest Period at a rate per annum equal to the Adjusted LIBOR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the Revolving Loans that are LIBOR Rate Loans; (ii) each Revolving Loan that is a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the Revolving Loans that are Base Rate Loans; and (iii) each Swing 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Revolving Loans that are Base Rate Loans.</w:t>
      </w:r>
    </w:p>
    <w:p>
      <w:pPr>
        <w:spacing w:after="0" w:line="87" w:lineRule="exact"/>
        <w:rPr>
          <w:sz w:val="20"/>
          <w:szCs w:val="20"/>
          <w:color w:val="auto"/>
        </w:rPr>
      </w:pPr>
    </w:p>
    <w:p>
      <w:pPr>
        <w:ind w:left="320" w:hanging="230"/>
        <w:spacing w:after="0" w:line="288" w:lineRule="auto"/>
        <w:rPr>
          <w:sz w:val="20"/>
          <w:szCs w:val="20"/>
          <w:color w:val="auto"/>
        </w:rPr>
      </w:pPr>
      <w:r>
        <w:rPr>
          <w:rFonts w:ascii="Arial" w:cs="Arial" w:eastAsia="Arial" w:hAnsi="Arial"/>
          <w:sz w:val="20"/>
          <w:szCs w:val="20"/>
          <w:color w:val="auto"/>
        </w:rPr>
        <w:t>(b)(i)</w:t>
      </w:r>
      <w:r>
        <w:rPr>
          <w:sz w:val="20"/>
          <w:szCs w:val="20"/>
          <w:color w:val="auto"/>
        </w:rPr>
        <w:t xml:space="preserve"> </w:t>
      </w:r>
      <w:r>
        <w:rPr>
          <w:rFonts w:ascii="Arial" w:cs="Arial" w:eastAsia="Arial" w:hAnsi="Arial"/>
          <w:sz w:val="20"/>
          <w:szCs w:val="20"/>
          <w:color w:val="auto"/>
        </w:rPr>
        <w:t xml:space="preserve">If any amount payable under any Loan Document is not paid in cash when due (without regard to any applicable grace periods), whether at stated maturity, by acceleration or otherwise or automatically if an Event of Default exists under </w:t>
      </w:r>
      <w:r>
        <w:rPr>
          <w:rFonts w:ascii="Arial" w:cs="Arial" w:eastAsia="Arial" w:hAnsi="Arial"/>
          <w:sz w:val="20"/>
          <w:szCs w:val="20"/>
          <w:u w:val="single" w:color="auto"/>
          <w:color w:val="auto"/>
        </w:rPr>
        <w:t>Section 8.01(f)</w:t>
      </w:r>
      <w:r>
        <w:rPr>
          <w:rFonts w:ascii="Arial" w:cs="Arial" w:eastAsia="Arial" w:hAnsi="Arial"/>
          <w:sz w:val="20"/>
          <w:szCs w:val="20"/>
          <w:color w:val="auto"/>
        </w:rPr>
        <w:t>, such amount shall thereafter bear interest at a fluctuating interest rate per annum at all times equal to the Default Rate to the fullest extent permitted by Law.</w:t>
      </w:r>
    </w:p>
    <w:p>
      <w:pPr>
        <w:spacing w:after="0" w:line="125" w:lineRule="exact"/>
        <w:rPr>
          <w:sz w:val="20"/>
          <w:szCs w:val="20"/>
          <w:color w:val="auto"/>
        </w:rPr>
      </w:pPr>
    </w:p>
    <w:p>
      <w:pPr>
        <w:ind w:left="2320" w:right="120" w:firstLine="2065"/>
        <w:spacing w:after="0" w:line="288" w:lineRule="auto"/>
        <w:rPr>
          <w:sz w:val="20"/>
          <w:szCs w:val="20"/>
          <w:color w:val="auto"/>
        </w:rPr>
      </w:pPr>
      <w:r>
        <w:rPr>
          <w:rFonts w:ascii="Arial" w:cs="Arial" w:eastAsia="Arial" w:hAnsi="Arial"/>
          <w:sz w:val="20"/>
          <w:szCs w:val="20"/>
          <w:color w:val="auto"/>
        </w:rPr>
        <w:t>(ii) If any other Event of Default has occurred and is continuing, then the Agent, upon the request of the Required Lenders, shall notify the Lead Borrower that all outstanding Obligations (excluding Other Liabilities) shall bear interest at a fluctuating interest rate per annum at all times equal to the Default Rate to the fullest extent permitted by Law.</w:t>
      </w:r>
    </w:p>
    <w:p>
      <w:pPr>
        <w:spacing w:after="0" w:line="125" w:lineRule="exact"/>
        <w:rPr>
          <w:sz w:val="20"/>
          <w:szCs w:val="20"/>
          <w:color w:val="auto"/>
        </w:rPr>
      </w:pPr>
    </w:p>
    <w:p>
      <w:pPr>
        <w:ind w:left="2320" w:right="780" w:firstLine="2024"/>
        <w:spacing w:after="0" w:line="303" w:lineRule="auto"/>
        <w:rPr>
          <w:sz w:val="20"/>
          <w:szCs w:val="20"/>
          <w:color w:val="auto"/>
        </w:rPr>
      </w:pPr>
      <w:r>
        <w:rPr>
          <w:rFonts w:ascii="Arial" w:cs="Arial" w:eastAsia="Arial" w:hAnsi="Arial"/>
          <w:sz w:val="20"/>
          <w:szCs w:val="20"/>
          <w:color w:val="auto"/>
        </w:rPr>
        <w:t>(iii) Accrued and unpaid interest on past due amounts (including interest on past due interest) shall be due and payable upon demand.</w:t>
      </w:r>
    </w:p>
    <w:p>
      <w:pPr>
        <w:spacing w:after="0" w:line="94" w:lineRule="exact"/>
        <w:rPr>
          <w:sz w:val="20"/>
          <w:szCs w:val="20"/>
          <w:color w:val="auto"/>
        </w:rPr>
      </w:pPr>
    </w:p>
    <w:p>
      <w:pPr>
        <w:ind w:left="300" w:right="60" w:hanging="219"/>
        <w:spacing w:after="0" w:line="338" w:lineRule="auto"/>
        <w:rPr>
          <w:sz w:val="20"/>
          <w:szCs w:val="20"/>
          <w:color w:val="auto"/>
        </w:rPr>
      </w:pPr>
      <w:r>
        <w:rPr>
          <w:rFonts w:ascii="Arial" w:cs="Arial" w:eastAsia="Arial" w:hAnsi="Arial"/>
          <w:sz w:val="18"/>
          <w:szCs w:val="18"/>
          <w:color w:val="auto"/>
        </w:rPr>
        <w:t xml:space="preserve">(c)Except as provided in </w:t>
      </w:r>
      <w:r>
        <w:rPr>
          <w:rFonts w:ascii="Arial" w:cs="Arial" w:eastAsia="Arial" w:hAnsi="Arial"/>
          <w:sz w:val="18"/>
          <w:szCs w:val="18"/>
          <w:u w:val="single" w:color="auto"/>
          <w:color w:val="auto"/>
        </w:rPr>
        <w:t>Section (b)(iii)</w:t>
      </w:r>
      <w:r>
        <w:rPr>
          <w:rFonts w:ascii="Arial" w:cs="Arial" w:eastAsia="Arial" w:hAnsi="Arial"/>
          <w:sz w:val="18"/>
          <w:szCs w:val="18"/>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5"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84" w:name="page85"/>
    <w:bookmarkEnd w:id="84"/>
    <w:p>
      <w:pPr>
        <w:ind w:left="840"/>
        <w:spacing w:after="0"/>
        <w:rPr>
          <w:sz w:val="20"/>
          <w:szCs w:val="20"/>
          <w:color w:val="auto"/>
        </w:rPr>
      </w:pPr>
      <w:r>
        <w:rPr>
          <w:rFonts w:ascii="Arial" w:cs="Arial" w:eastAsia="Arial" w:hAnsi="Arial"/>
          <w:sz w:val="20"/>
          <w:szCs w:val="20"/>
          <w:b w:val="1"/>
          <w:bCs w:val="1"/>
          <w:color w:val="auto"/>
        </w:rPr>
        <w:t>2.09 Fees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In addition to certain fees described in subsections (i) and (j)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75" w:lineRule="exact"/>
        <w:rPr>
          <w:sz w:val="20"/>
          <w:szCs w:val="20"/>
          <w:color w:val="auto"/>
        </w:rPr>
      </w:pPr>
    </w:p>
    <w:p>
      <w:pPr>
        <w:ind w:left="320" w:right="60" w:hanging="219"/>
        <w:spacing w:after="0" w:line="321"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Borrowers shall pay to the Agent for the account of each Revolving Lender in accordance with its Applicable Percentage, a commitment fee (the “Commitment Fee”) equal to the Commitment Fee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actual daily amount by which the Aggregate Revolving Commitments exceed the Total Outstandings (excluding outstanding Swing Line Loans)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during the immediately preceding quarter.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first day of each March, June, September and December, commencing with the first such date to occur after the Closing Date, and on the last day of the Availability Period.</w:t>
      </w:r>
    </w:p>
    <w:p>
      <w:pPr>
        <w:spacing w:after="0" w:line="101" w:lineRule="exact"/>
        <w:rPr>
          <w:sz w:val="20"/>
          <w:szCs w:val="20"/>
          <w:color w:val="auto"/>
        </w:rPr>
      </w:pPr>
    </w:p>
    <w:p>
      <w:pPr>
        <w:ind w:left="340" w:right="420" w:hanging="230"/>
        <w:spacing w:after="0" w:line="292"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Other Fees</w:t>
      </w:r>
      <w:r>
        <w:rPr>
          <w:rFonts w:ascii="Arial" w:cs="Arial" w:eastAsia="Arial" w:hAnsi="Arial"/>
          <w:sz w:val="20"/>
          <w:szCs w:val="20"/>
          <w:color w:val="auto"/>
        </w:rPr>
        <w:t>. The Borrowers shall pay to the Arrangers and the Agent, the fees specified in the Fee Letter, in each case as and when payments of such fees are due as set forth therein and for the account of the parties specified therein. Such fees shall be fully earned when paid and shall not be refundable for any reason whatsoever.</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2.10 Computation of Interest and Fees</w:t>
      </w:r>
    </w:p>
    <w:p>
      <w:pPr>
        <w:spacing w:after="0" w:line="181"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 xml:space="preserve">All computations of interest for Base Rate Loans when the Base Rate is determined by Citizens Bank’s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Agent of an interest rate or fee hereunder shall be conclusive and binding for all purposes, absent manifest error.</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2.11 Evidence of Debt</w:t>
      </w:r>
      <w:r>
        <w:rPr>
          <w:rFonts w:ascii="Arial" w:cs="Arial" w:eastAsia="Arial" w:hAnsi="Arial"/>
          <w:sz w:val="20"/>
          <w:szCs w:val="20"/>
          <w:color w:val="auto"/>
        </w:rPr>
        <w:t>.</w:t>
      </w:r>
    </w:p>
    <w:p>
      <w:pPr>
        <w:spacing w:after="0" w:line="195" w:lineRule="exact"/>
        <w:rPr>
          <w:sz w:val="20"/>
          <w:szCs w:val="20"/>
          <w:color w:val="auto"/>
        </w:rPr>
      </w:pPr>
    </w:p>
    <w:p>
      <w:pPr>
        <w:ind w:left="320" w:hanging="219"/>
        <w:spacing w:after="0" w:line="361" w:lineRule="auto"/>
        <w:rPr>
          <w:sz w:val="20"/>
          <w:szCs w:val="20"/>
          <w:color w:val="auto"/>
        </w:rPr>
      </w:pPr>
      <w:r>
        <w:rPr>
          <w:rFonts w:ascii="Arial" w:cs="Arial" w:eastAsia="Arial" w:hAnsi="Arial"/>
          <w:sz w:val="16"/>
          <w:szCs w:val="16"/>
          <w:color w:val="auto"/>
        </w:rPr>
        <w:t>(a)The Credit Extensions made by each Lender shall be evidenced by one or more accounts or records maintained by the Agent (the “Loan Account”) in the ordinary course of business. In addition, each Lender may record in such Lender’s internal records, an appropriate notation evidencing the date and amount of each Loan from such Lender, each payment and prepayment of principal of any such Loan, and each payment of interest, fees and other amounts due in connection with the Obligations due to such Lender. The accounts or records maintained by the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Agent in respect of such matters, the accounts and records of the Agent shall control in the absence of manifest error. Upon the request of any Lender made through the Agent, the Borrowers shall execute and deliver to such Lender (through the Agent) a Note, which shall evidence such Lender’s Loans in addition to such accounts or records. Each Lender may attach schedules to its Note and endorse thereon the date, Type (if applicable), amount and maturity of its Loans and payments with respect thereto. Upon receipt of an affidavit of a</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85" w:name="page86"/>
    <w:bookmarkEnd w:id="85"/>
    <w:p>
      <w:pPr>
        <w:ind w:left="80" w:right="20"/>
        <w:spacing w:after="0" w:line="331" w:lineRule="auto"/>
        <w:rPr>
          <w:sz w:val="20"/>
          <w:szCs w:val="20"/>
          <w:color w:val="auto"/>
        </w:rPr>
      </w:pPr>
      <w:r>
        <w:rPr>
          <w:rFonts w:ascii="Arial" w:cs="Arial" w:eastAsia="Arial" w:hAnsi="Arial"/>
          <w:sz w:val="19"/>
          <w:szCs w:val="19"/>
          <w:color w:val="auto"/>
        </w:rPr>
        <w:t>Lender as to the loss, theft, destruction or mutilation of such Lender’s Note and upon cancellation of such Note, the Borrowers will issue, in lieu thereof, a replacement Note in favor of such Lender, in the same principal amount thereof and otherwise of like tenor.</w:t>
      </w:r>
    </w:p>
    <w:p>
      <w:pPr>
        <w:spacing w:after="0" w:line="86" w:lineRule="exact"/>
        <w:rPr>
          <w:sz w:val="20"/>
          <w:szCs w:val="20"/>
          <w:color w:val="auto"/>
        </w:rPr>
      </w:pPr>
    </w:p>
    <w:p>
      <w:pPr>
        <w:ind w:left="320" w:right="60" w:hanging="230"/>
        <w:spacing w:after="0" w:line="287" w:lineRule="auto"/>
        <w:rPr>
          <w:sz w:val="20"/>
          <w:szCs w:val="20"/>
          <w:color w:val="auto"/>
        </w:rPr>
      </w:pPr>
      <w:r>
        <w:rPr>
          <w:rFonts w:ascii="Arial" w:cs="Arial" w:eastAsia="Arial" w:hAnsi="Arial"/>
          <w:sz w:val="20"/>
          <w:szCs w:val="20"/>
          <w:color w:val="auto"/>
        </w:rPr>
        <w:t xml:space="preserve">(b)In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Revolving Lender and the Agent shall maintain in accordance with its usual practice accounts or records evidencing the purchases and sales by such Revolving Lender of participations in Letters of Credit and Swing Line Loans. In the event of any conflict between the accounts and records maintained by the Agent and the accounts and records of any Revolving Lender in respect of such matters, the accounts and records of the Agent shall control in the absence of manifest error.</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2.12 Payments Generally; Agent’s Clawback</w:t>
      </w:r>
      <w:r>
        <w:rPr>
          <w:rFonts w:ascii="Arial" w:cs="Arial" w:eastAsia="Arial" w:hAnsi="Arial"/>
          <w:sz w:val="20"/>
          <w:szCs w:val="20"/>
          <w:color w:val="auto"/>
        </w:rPr>
        <w:t>.</w:t>
      </w:r>
    </w:p>
    <w:p>
      <w:pPr>
        <w:spacing w:after="0" w:line="195" w:lineRule="exact"/>
        <w:rPr>
          <w:sz w:val="20"/>
          <w:szCs w:val="20"/>
          <w:color w:val="auto"/>
        </w:rPr>
      </w:pPr>
    </w:p>
    <w:p>
      <w:pPr>
        <w:ind w:left="300" w:right="20" w:hanging="219"/>
        <w:spacing w:after="0" w:line="300"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Agent, for the account of the respective Lenders to which such payment is owed, at the Agent’s Office in Dollars and in immediately available funds not later than 2:00 p.m. on the date specified herein. The Agent will, subject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hereof, promptly distribute to each Lender its Applicable Percentage (or other applicable share as provided herein) of such payment in like funds as received by wire transfer to such Lender’s Lending Office. All payments received by the Agent after 2:00 p.m. shall, at the option of the Agent, be deemed received on the next succeeding Business Day and any applicable interest or fee shall continue to accrue. If any payment to be made by the Borrowers shall come due on a day other than a Business Day, payment shall be made on the next following Business Day (other than with respect to payment of a LIBOR Rate Loan), and such extension of time shall be reflected in computing interest or fees, as the case may be.</w:t>
      </w:r>
    </w:p>
    <w:p>
      <w:pPr>
        <w:spacing w:after="0" w:line="117" w:lineRule="exact"/>
        <w:rPr>
          <w:sz w:val="20"/>
          <w:szCs w:val="20"/>
          <w:color w:val="auto"/>
        </w:rPr>
      </w:pPr>
    </w:p>
    <w:p>
      <w:pPr>
        <w:ind w:left="320" w:hanging="230"/>
        <w:spacing w:after="0" w:line="316" w:lineRule="auto"/>
        <w:rPr>
          <w:sz w:val="20"/>
          <w:szCs w:val="20"/>
          <w:color w:val="auto"/>
        </w:rPr>
      </w:pPr>
      <w:r>
        <w:rPr>
          <w:rFonts w:ascii="Arial" w:cs="Arial" w:eastAsia="Arial" w:hAnsi="Arial"/>
          <w:sz w:val="20"/>
          <w:szCs w:val="20"/>
          <w:color w:val="auto"/>
        </w:rPr>
        <w:t>(b)(i)</w:t>
      </w:r>
      <w:r>
        <w:rPr>
          <w:sz w:val="20"/>
          <w:szCs w:val="20"/>
          <w:color w:val="auto"/>
        </w:rPr>
        <w:t xml:space="preserve"> </w:t>
      </w:r>
      <w:r>
        <w:rPr>
          <w:rFonts w:ascii="Arial" w:cs="Arial" w:eastAsia="Arial" w:hAnsi="Arial"/>
          <w:sz w:val="18"/>
          <w:szCs w:val="18"/>
          <w:u w:val="single" w:color="auto"/>
          <w:color w:val="auto"/>
        </w:rPr>
        <w:t>Funding by Revolving Lenders; Presumption by Agent</w:t>
      </w:r>
      <w:r>
        <w:rPr>
          <w:rFonts w:ascii="Arial" w:cs="Arial" w:eastAsia="Arial" w:hAnsi="Arial"/>
          <w:sz w:val="18"/>
          <w:szCs w:val="18"/>
          <w:color w:val="auto"/>
        </w:rPr>
        <w:t>. Unless the Agent shall have received notice from a Revolving Lender prior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(A) the proposed date of any Borrowing of LIBOR Rate Loans (or in the case of any Borrowing of Base Rate Loans, prior to 12:00 noon on the date of such Borrowing), or (B) the date that such Revolving Lender’s participation in a Letter of Credit or Swing Line Loan is required to be funded, that such Revolving Lender will not make available to the Agent such Revolving Lender’s share of such Borrowing or participation, the Agent may assume that such Revolving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Revolving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w:t>
      </w:r>
      <w:r>
        <w:rPr>
          <w:rFonts w:ascii="Arial" w:cs="Arial" w:eastAsia="Arial" w:hAnsi="Arial"/>
          <w:sz w:val="18"/>
          <w:szCs w:val="18"/>
          <w:color w:val="auto"/>
        </w:rPr>
        <w:t>, as applicable, and may, in reliance upon such assumption, make available to the Borrowers, the L/C Issuer or the Swing Line Lender, as applicable, a corresponding amount. In such event, if a Revolving Lender has not in fact made its share of the applicable Committed Borrowing or participation available to the Agent, then the applicable Revolving Lender and the Borrowers severally agree to pay to the Agent forthwith on demand such corresponding amount in immediately available funds with interest thereon, for each day from and including the date such amount is made available to the Borrowers to but excluding the date of payment to the Agent, at (A) in the case of a payment to be made by such Revolving Lender, the greater of the Federal Funds Effective Rate and a rate determined by the Agent in accordance with banking industry rules on interbank compensation plus any administrative processing or similar fees customarily charged by the Agent in connection with the foregoing, and (B) in the case of a payment to</w:t>
      </w:r>
    </w:p>
    <w:p>
      <w:pPr>
        <w:spacing w:after="0" w:line="219"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406" w:right="379" w:bottom="1440" w:gutter="0" w:footer="0" w:header="0"/>
        </w:sectPr>
      </w:pPr>
    </w:p>
    <w:bookmarkStart w:id="86" w:name="page87"/>
    <w:bookmarkEnd w:id="86"/>
    <w:p>
      <w:pPr>
        <w:ind w:left="100"/>
        <w:spacing w:after="0" w:line="323" w:lineRule="auto"/>
        <w:rPr>
          <w:sz w:val="20"/>
          <w:szCs w:val="20"/>
          <w:color w:val="auto"/>
        </w:rPr>
      </w:pPr>
      <w:r>
        <w:rPr>
          <w:rFonts w:ascii="Arial" w:cs="Arial" w:eastAsia="Arial" w:hAnsi="Arial"/>
          <w:sz w:val="18"/>
          <w:szCs w:val="18"/>
          <w:color w:val="auto"/>
        </w:rPr>
        <w:t>be made by the Borrowers, the interest rate applicable to Base Rate Loans. If the Borrowers and such Revolving Lender shall pay such interest to the Agent for the same or an overlapping period, the Agent shall promptly remit to the Borrowers the amount of such interest paid by the Borrowers for such period. If such Revolving Lender pays its share of the applicable Committed Borrowing or participation to the Agent, then the amount so paid shall constitute such Revolving Lender’s Committed Loan included in such Committed Borrowing or participation in such Letter of Credit or Swing Line Loan. Any payment by the Borrowers shall be without prejudice to any claim the Borrowers may have against a Revolving Lender that shall have failed to make such payment to the Agent.</w:t>
      </w:r>
    </w:p>
    <w:p>
      <w:pPr>
        <w:spacing w:after="0" w:line="97" w:lineRule="exact"/>
        <w:rPr>
          <w:sz w:val="20"/>
          <w:szCs w:val="20"/>
          <w:color w:val="auto"/>
        </w:rPr>
      </w:pPr>
    </w:p>
    <w:p>
      <w:pPr>
        <w:ind w:left="4400"/>
        <w:spacing w:after="0"/>
        <w:tabs>
          <w:tab w:leader="none" w:pos="6520" w:val="left"/>
        </w:tabs>
        <w:rPr>
          <w:sz w:val="20"/>
          <w:szCs w:val="20"/>
          <w:color w:val="auto"/>
        </w:rPr>
      </w:pPr>
      <w:r>
        <w:rPr>
          <w:rFonts w:ascii="Arial" w:cs="Arial" w:eastAsia="Arial" w:hAnsi="Arial"/>
          <w:sz w:val="18"/>
          <w:szCs w:val="18"/>
          <w:u w:val="single" w:color="auto"/>
          <w:color w:val="auto"/>
        </w:rPr>
        <w:t>(ii)</w:t>
      </w:r>
      <w:r>
        <w:rPr>
          <w:sz w:val="20"/>
          <w:szCs w:val="20"/>
          <w:color w:val="auto"/>
        </w:rPr>
        <w:tab/>
      </w:r>
      <w:r>
        <w:rPr>
          <w:rFonts w:ascii="Arial" w:cs="Arial" w:eastAsia="Arial" w:hAnsi="Arial"/>
          <w:sz w:val="18"/>
          <w:szCs w:val="18"/>
          <w:u w:val="single" w:color="auto"/>
          <w:color w:val="auto"/>
        </w:rPr>
        <w:t>Payments by Borrowers; Presumptions by Agent</w:t>
      </w:r>
      <w:r>
        <w:rPr>
          <w:rFonts w:ascii="Arial" w:cs="Arial" w:eastAsia="Arial" w:hAnsi="Arial"/>
          <w:sz w:val="18"/>
          <w:szCs w:val="18"/>
          <w:color w:val="auto"/>
        </w:rPr>
        <w:t>. Unless</w:t>
      </w:r>
    </w:p>
    <w:p>
      <w:pPr>
        <w:spacing w:after="0" w:line="63" w:lineRule="exact"/>
        <w:rPr>
          <w:sz w:val="20"/>
          <w:szCs w:val="20"/>
          <w:color w:val="auto"/>
        </w:rPr>
      </w:pPr>
    </w:p>
    <w:p>
      <w:pPr>
        <w:ind w:left="2340" w:right="100"/>
        <w:spacing w:after="0" w:line="318" w:lineRule="auto"/>
        <w:rPr>
          <w:sz w:val="20"/>
          <w:szCs w:val="20"/>
          <w:color w:val="auto"/>
        </w:rPr>
      </w:pPr>
      <w:r>
        <w:rPr>
          <w:rFonts w:ascii="Arial" w:cs="Arial" w:eastAsia="Arial" w:hAnsi="Arial"/>
          <w:sz w:val="18"/>
          <w:szCs w:val="18"/>
          <w:color w:val="auto"/>
        </w:rPr>
        <w:t>the Agent shall have received notice from the Lead Borrower prior to the date on which any payment is due to the Agent for the account of any of the Lenders or due to the Agent for the account of the L/C Issuer hereunder that the Borrowers will not make such payment, the Agent may assume that the Borrowers have made such payment on such date in accordance herewith and may, in reliance upon such assumption, distribute to the Lenders or the L/C Issuer, as the case may be, the amount due. In such event, if Borrowers have not in fact made such payment, then each of the Lenders or such L/C Issuer, as the case may be, severally agrees to repay to the Agent forthwith on demand the amount so distributed to such Lender or such L/C Issuer, with interest thereon, for each day from and including the date such amount is distributed to it to but excluding the date of payment to the Agent, at the greater of the Federal Funds Effective Rate and a rate determined by the Agent in accordance with banking industry rules on interbank compensation.</w:t>
      </w:r>
    </w:p>
    <w:p>
      <w:pPr>
        <w:spacing w:after="0" w:line="92"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A notice of the Agent to any Lender or the Lead Borrower with respect to any amount owing under this clause (b) shall be conclusive, absent manifest error.</w:t>
      </w:r>
    </w:p>
    <w:p>
      <w:pPr>
        <w:spacing w:after="0" w:line="108" w:lineRule="exact"/>
        <w:rPr>
          <w:sz w:val="20"/>
          <w:szCs w:val="20"/>
          <w:color w:val="auto"/>
        </w:rPr>
      </w:pPr>
    </w:p>
    <w:p>
      <w:pPr>
        <w:ind w:left="320" w:right="160" w:hanging="219"/>
        <w:spacing w:after="0" w:line="287" w:lineRule="auto"/>
        <w:rPr>
          <w:sz w:val="20"/>
          <w:szCs w:val="20"/>
          <w:color w:val="auto"/>
        </w:rPr>
      </w:pPr>
      <w:r>
        <w:rPr>
          <w:rFonts w:ascii="Arial" w:cs="Arial" w:eastAsia="Arial" w:hAnsi="Arial"/>
          <w:sz w:val="20"/>
          <w:szCs w:val="20"/>
          <w:u w:val="single" w:color="auto"/>
          <w:color w:val="auto"/>
        </w:rPr>
        <w:t>(c)Failure to Satisfy Conditions Precedent</w:t>
      </w:r>
      <w:r>
        <w:rPr>
          <w:rFonts w:ascii="Arial" w:cs="Arial" w:eastAsia="Arial" w:hAnsi="Arial"/>
          <w:sz w:val="20"/>
          <w:szCs w:val="20"/>
          <w:color w:val="auto"/>
        </w:rPr>
        <w:t xml:space="preserve">. If any Lender makes available to the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Borrowers by the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(subject to the provisions of the last paragraph of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hereof), the Agent shall return such funds (in like funds as received from such Lender) to such Lender, without interest.</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(d)Obligations of Lenders Several</w:t>
      </w:r>
      <w:r>
        <w:rPr>
          <w:rFonts w:ascii="Arial" w:cs="Arial" w:eastAsia="Arial" w:hAnsi="Arial"/>
          <w:sz w:val="18"/>
          <w:szCs w:val="18"/>
          <w:color w:val="auto"/>
        </w:rPr>
        <w:t>. The obligations of the Revolving Lenders hereunder to make Committed Loans, to fund participations in</w:t>
      </w:r>
    </w:p>
    <w:p>
      <w:pPr>
        <w:spacing w:after="0" w:line="63" w:lineRule="exact"/>
        <w:rPr>
          <w:sz w:val="20"/>
          <w:szCs w:val="20"/>
          <w:color w:val="auto"/>
        </w:rPr>
      </w:pPr>
    </w:p>
    <w:p>
      <w:pPr>
        <w:ind w:left="320" w:right="240"/>
        <w:spacing w:after="0" w:line="329" w:lineRule="auto"/>
        <w:rPr>
          <w:sz w:val="20"/>
          <w:szCs w:val="20"/>
          <w:color w:val="auto"/>
        </w:rPr>
      </w:pPr>
      <w:r>
        <w:rPr>
          <w:rFonts w:ascii="Arial" w:cs="Arial" w:eastAsia="Arial" w:hAnsi="Arial"/>
          <w:sz w:val="18"/>
          <w:szCs w:val="18"/>
          <w:color w:val="auto"/>
        </w:rPr>
        <w:t>Letters of Credit and Swing Line Loans, and the obligations of the Lenders to make payments hereunder are several and not joint. The failure of any Lender to make any Committed Loan, to fund any such participation or to make any payment hereunder on any date required hereunder shall not relieve any other Lender of its corresponding obligation to do so on such date, and no Lender shall be responsible for the failure of any other Lender to so make its Loan, to purchase its participation or to make its payment hereunder.</w:t>
      </w:r>
    </w:p>
    <w:p>
      <w:pPr>
        <w:spacing w:after="0" w:line="80" w:lineRule="exact"/>
        <w:rPr>
          <w:sz w:val="20"/>
          <w:szCs w:val="20"/>
          <w:color w:val="auto"/>
        </w:rPr>
      </w:pPr>
    </w:p>
    <w:p>
      <w:pPr>
        <w:ind w:left="320" w:right="40" w:hanging="219"/>
        <w:spacing w:after="0" w:line="292" w:lineRule="auto"/>
        <w:rPr>
          <w:sz w:val="20"/>
          <w:szCs w:val="20"/>
          <w:color w:val="auto"/>
        </w:rPr>
      </w:pPr>
      <w:r>
        <w:rPr>
          <w:rFonts w:ascii="Arial" w:cs="Arial" w:eastAsia="Arial" w:hAnsi="Arial"/>
          <w:sz w:val="20"/>
          <w:szCs w:val="20"/>
          <w:u w:val="single" w:color="auto"/>
          <w:color w:val="auto"/>
        </w:rPr>
        <w:t>(e)Funding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2.13 Sharing of Payments by Lenders</w:t>
      </w:r>
    </w:p>
    <w:p>
      <w:pPr>
        <w:spacing w:after="0" w:line="31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7" w:name="page88"/>
    <w:bookmarkEnd w:id="87"/>
    <w:p>
      <w:pPr>
        <w:ind w:right="60" w:firstLine="8"/>
        <w:spacing w:after="0" w:line="285" w:lineRule="auto"/>
        <w:tabs>
          <w:tab w:leader="none" w:pos="148"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If any Credit Party shall, by exercising any right of setoff or counterclaim or otherwise, obtain payment in respect of any principal of, interest on, or other amounts with respect to, any of the Obligations resulting in such Credit Party’s receiving payment of a proportion of the aggregate amount of such Obligations greater than its pro rata share thereof as provided herein (including as in contravention of the priorities of payment set forth in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then the Credit Party receiving such greater proportion shall (a) notify the Agent of such fact, and (b) purchase (for cash at face value) participations in the Obligations of the other Credit Parties, or make such other adjustments as shall be equitable, so that the benefit of all such payments shall be shared by the Credit Parties ratably and in the priorities set forth in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26" w:lineRule="exact"/>
        <w:rPr>
          <w:rFonts w:ascii="Arial" w:cs="Arial" w:eastAsia="Arial" w:hAnsi="Arial"/>
          <w:sz w:val="20"/>
          <w:szCs w:val="20"/>
          <w:color w:val="auto"/>
        </w:rPr>
      </w:pPr>
    </w:p>
    <w:p>
      <w:pPr>
        <w:ind w:left="1600" w:firstLine="576"/>
        <w:spacing w:after="0" w:line="292" w:lineRule="auto"/>
        <w:tabs>
          <w:tab w:leader="none" w:pos="2997" w:val="left"/>
        </w:tabs>
        <w:numPr>
          <w:ilvl w:val="1"/>
          <w:numId w:val="62"/>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05" w:lineRule="exact"/>
        <w:rPr>
          <w:rFonts w:ascii="Arial" w:cs="Arial" w:eastAsia="Arial" w:hAnsi="Arial"/>
          <w:sz w:val="20"/>
          <w:szCs w:val="20"/>
          <w:color w:val="auto"/>
        </w:rPr>
      </w:pPr>
    </w:p>
    <w:p>
      <w:pPr>
        <w:ind w:left="1600" w:right="20" w:firstLine="526"/>
        <w:spacing w:after="0" w:line="286" w:lineRule="auto"/>
        <w:tabs>
          <w:tab w:leader="none" w:pos="2997"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the Loan Parties pursuant to and in accordance with the express terms of this Agreement (including the application of funds arising from the existence of a Defaulting Lender) or (y) any payment obtained by a Lender as consideration for the assignment of or sale of a participation in any of its Committed Loans, or subparticipations in L/C Obligations or Swing Line Loans to any Eligible Assignee or Participant, other than to the Borrowers or any Subsidiary thereof (as to which the provisions of this Section shall apply).</w:t>
      </w:r>
    </w:p>
    <w:p>
      <w:pPr>
        <w:spacing w:after="0" w:line="124" w:lineRule="exact"/>
        <w:rPr>
          <w:sz w:val="20"/>
          <w:szCs w:val="20"/>
          <w:color w:val="auto"/>
        </w:rPr>
      </w:pPr>
    </w:p>
    <w:p>
      <w:pPr>
        <w:ind w:right="200"/>
        <w:spacing w:after="0" w:line="314" w:lineRule="auto"/>
        <w:rPr>
          <w:sz w:val="20"/>
          <w:szCs w:val="20"/>
          <w:color w:val="auto"/>
        </w:rPr>
      </w:pPr>
      <w:r>
        <w:rPr>
          <w:rFonts w:ascii="Arial" w:cs="Arial" w:eastAsia="Arial" w:hAnsi="Arial"/>
          <w:sz w:val="19"/>
          <w:szCs w:val="19"/>
          <w:color w:val="auto"/>
        </w:rPr>
        <w:t>Each Loan Party consents to the foregoing and agrees, to the extent it may effectively do so under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2.14 Settlement Amongst Revolving Lenders</w:t>
      </w:r>
    </w:p>
    <w:p>
      <w:pPr>
        <w:spacing w:after="0" w:line="181" w:lineRule="exact"/>
        <w:rPr>
          <w:sz w:val="20"/>
          <w:szCs w:val="20"/>
          <w:color w:val="auto"/>
        </w:rPr>
      </w:pPr>
    </w:p>
    <w:p>
      <w:pPr>
        <w:ind w:left="320" w:right="140" w:hanging="219"/>
        <w:spacing w:after="0" w:line="288" w:lineRule="auto"/>
        <w:rPr>
          <w:sz w:val="20"/>
          <w:szCs w:val="20"/>
          <w:color w:val="auto"/>
        </w:rPr>
      </w:pPr>
      <w:r>
        <w:rPr>
          <w:rFonts w:ascii="Arial" w:cs="Arial" w:eastAsia="Arial" w:hAnsi="Arial"/>
          <w:sz w:val="20"/>
          <w:szCs w:val="20"/>
          <w:color w:val="auto"/>
        </w:rPr>
        <w:t>(a)The amount of each Revolving Lender’s Applicable Percentage of outstanding Revolving Loans (including, for clarity, outstanding Swing Line Loans), shall be computed weekly (or more frequently in the Agent’s discretion) and shall be adjusted upward or downward based on all Loans and repayments of Revolving Loans received by the Agent as of 3:00 p.m. on the first Business Day (such date, the “Settlement Date”) following the end of the period specified by the Agent.</w:t>
      </w:r>
    </w:p>
    <w:p>
      <w:pPr>
        <w:spacing w:after="0" w:line="125" w:lineRule="exact"/>
        <w:rPr>
          <w:sz w:val="20"/>
          <w:szCs w:val="20"/>
          <w:color w:val="auto"/>
        </w:rPr>
      </w:pPr>
    </w:p>
    <w:p>
      <w:pPr>
        <w:ind w:left="340" w:right="20" w:hanging="230"/>
        <w:spacing w:after="0" w:line="300" w:lineRule="auto"/>
        <w:rPr>
          <w:sz w:val="20"/>
          <w:szCs w:val="20"/>
          <w:color w:val="auto"/>
        </w:rPr>
      </w:pPr>
      <w:r>
        <w:rPr>
          <w:rFonts w:ascii="Arial" w:cs="Arial" w:eastAsia="Arial" w:hAnsi="Arial"/>
          <w:sz w:val="19"/>
          <w:szCs w:val="19"/>
          <w:color w:val="auto"/>
        </w:rPr>
        <w:t>(b)The Agent shall deliver to each of the Revolving Lenders promptly after a Settlement Date a summary statement of the amount of outstanding Loans for the period and the amount of repayments received for the period. As reflected on the summary statement, each Revolving Lender shall transfer to the Agent (as provided below) or the Agent shall transfer to each Revolving Lender, such amounts as are necessary to insure that, after giving effect to all such transfers, the amount of Committed Loans made by each Revolving Lender shall be equal to such Revolving Lender’s Applicable Percentage of all Committed Loans outstanding as of such Settlement Date. If the summary statement requires transfers to be made to the Agent by the Revolving Lenders and is received prior to 1:00 p.m. on a Business Day, such transfers shall be made in immediately available funds no later than 3:00 p.m. that day; and, if received after 1:00 p.m., then no later than 3:00 p.m. on the next Business Day. The obligation of each Revolving Lender to transfer such funds is irrevocable, unconditional and without recourse to or</w:t>
      </w:r>
    </w:p>
    <w:p>
      <w:pPr>
        <w:spacing w:after="0" w:line="242"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88" w:name="page89"/>
    <w:bookmarkEnd w:id="88"/>
    <w:p>
      <w:pPr>
        <w:ind w:left="80" w:right="20"/>
        <w:spacing w:after="0" w:line="287" w:lineRule="auto"/>
        <w:rPr>
          <w:sz w:val="20"/>
          <w:szCs w:val="20"/>
          <w:color w:val="auto"/>
        </w:rPr>
      </w:pPr>
      <w:r>
        <w:rPr>
          <w:rFonts w:ascii="Arial" w:cs="Arial" w:eastAsia="Arial" w:hAnsi="Arial"/>
          <w:sz w:val="20"/>
          <w:szCs w:val="20"/>
          <w:color w:val="auto"/>
        </w:rPr>
        <w:t>warranty by the Agent. If and to the extent any Revolving Lender shall not have so made its transfer to the Agent, such Revolving Lender agrees to pay to the Agent, forthwith on demand such amount, together with interest thereon, for each day from such date until the date such amount is paid to the Agent, equal to the greater of the Federal Funds Effective Rate and a rate determined by the Agent in accordance with banking industry rules on interbank compensation plus any administrative, processing, or similar fees customarily charged by the Agent in connection with the foregoing.</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2.15 Increase in Commitments</w:t>
      </w:r>
      <w:r>
        <w:rPr>
          <w:rFonts w:ascii="Arial" w:cs="Arial" w:eastAsia="Arial" w:hAnsi="Arial"/>
          <w:sz w:val="20"/>
          <w:szCs w:val="20"/>
          <w:color w:val="auto"/>
        </w:rPr>
        <w:t>.</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Request for Increase</w:t>
      </w:r>
      <w:r>
        <w:rPr>
          <w:rFonts w:ascii="Arial" w:cs="Arial" w:eastAsia="Arial" w:hAnsi="Arial"/>
          <w:sz w:val="18"/>
          <w:szCs w:val="18"/>
          <w:color w:val="auto"/>
        </w:rPr>
        <w:t>. Provided no Default or Event of Default then exists or would arise therefrom, upon notice to the Agent (which</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shall promptly notify the Revolving Lenders), the Lead Borrower may from time to time, request an increase in the Aggregate Revolving</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Commitments by an amount (for all such requests) not exceeding $50,000,000;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increase shall be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 minimum amount of $10,000,000, and (ii) the Lead Borrower may make a maximum of three such requests (each such request, a</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At the time of sending such notice, the Lead Borrower (in consultation with the Agent) shall specify the time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period within which each Revolving Lender is requested to respond (which shall in no event be less than ten (10) Business Days from the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of delivery of such notice to the Revolving Lenders). Any Commitment Increase shall be on the same terms and pursuant to the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same documentation applicable to the existing Revolving Commitments (other than with respect to any fees payable to the Revolving</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Lenders or Additional Commitment Lenders providing any Commitment Increase).</w:t>
      </w:r>
    </w:p>
    <w:p>
      <w:pPr>
        <w:spacing w:after="0" w:line="189" w:lineRule="exact"/>
        <w:rPr>
          <w:sz w:val="20"/>
          <w:szCs w:val="20"/>
          <w:color w:val="auto"/>
        </w:rPr>
      </w:pPr>
    </w:p>
    <w:p>
      <w:pPr>
        <w:ind w:left="320" w:right="120" w:hanging="230"/>
        <w:spacing w:after="0" w:line="288"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Revolving Lender Elections to Increase</w:t>
      </w:r>
      <w:r>
        <w:rPr>
          <w:rFonts w:ascii="Arial" w:cs="Arial" w:eastAsia="Arial" w:hAnsi="Arial"/>
          <w:sz w:val="20"/>
          <w:szCs w:val="20"/>
          <w:color w:val="auto"/>
        </w:rPr>
        <w:t>. Each Revolving Lender shall notify the Agent within such time period whether or not it agrees to increase its Commitment and, if so, whether by an amount equal to, greater than, or less than its Applicable Percentage of such requested increase. Any Revolving Lender not responding within such time period shall be deemed to have declined to increase its Commitment.</w:t>
      </w:r>
    </w:p>
    <w:p>
      <w:pPr>
        <w:spacing w:after="0" w:line="125" w:lineRule="exact"/>
        <w:rPr>
          <w:sz w:val="20"/>
          <w:szCs w:val="20"/>
          <w:color w:val="auto"/>
        </w:rPr>
      </w:pPr>
    </w:p>
    <w:p>
      <w:pPr>
        <w:ind w:left="300" w:hanging="219"/>
        <w:spacing w:after="0" w:line="319" w:lineRule="auto"/>
        <w:rPr>
          <w:sz w:val="20"/>
          <w:szCs w:val="20"/>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Notification by Agent; Additional Lenders</w:t>
      </w:r>
      <w:r>
        <w:rPr>
          <w:rFonts w:ascii="Arial" w:cs="Arial" w:eastAsia="Arial" w:hAnsi="Arial"/>
          <w:sz w:val="18"/>
          <w:szCs w:val="18"/>
          <w:color w:val="auto"/>
        </w:rPr>
        <w:t xml:space="preserve">. The Agent shall notify the Lead Borrower and each Revolving Lender of the Revolving Lenders’ responses to each request made hereunder. To achieve the full amount of a requested increase and subject to the approval of the Agent, the L/C Issuer and the Swing Line Lender, to the extent that the existing Revolving Lenders decline to increase their Commitments, or decline to increase their Commitments to the amount requested by the Lead Borrower, the Agent, in consultation with the Lead Borrower, will use its reasonable efforts to arrange for other Eligible Assignees to become a Revolving Lender hereunder (each such Revolving Lender, an “Additional Commitment Lender”) and to issue commitments in an amount equal to the amount of the increase in the Aggregate Revolving Commitments requested by the Lead Borrower and not accepted by the existing Revolving Lenders (and the Lead Borrower may also invite additional Eligible Assignees to become Revolving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without the consent of the Agent, at no time shall the Revolving Commitment of any Additional Commitment Lender be less than $5,000,000.</w:t>
      </w:r>
    </w:p>
    <w:p>
      <w:pPr>
        <w:spacing w:after="0" w:line="89" w:lineRule="exact"/>
        <w:rPr>
          <w:sz w:val="20"/>
          <w:szCs w:val="20"/>
          <w:color w:val="auto"/>
        </w:rPr>
      </w:pPr>
    </w:p>
    <w:p>
      <w:pPr>
        <w:ind w:left="320" w:right="60" w:hanging="230"/>
        <w:spacing w:after="0" w:line="287" w:lineRule="auto"/>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Effective Date and Allocations</w:t>
      </w:r>
      <w:r>
        <w:rPr>
          <w:rFonts w:ascii="Arial" w:cs="Arial" w:eastAsia="Arial" w:hAnsi="Arial"/>
          <w:sz w:val="20"/>
          <w:szCs w:val="20"/>
          <w:color w:val="auto"/>
        </w:rPr>
        <w:t>. If the Aggregate Revolving Commitments are increased in accordance with this Section, the Agent, in consultation with the Lead Borrower, shall determine the effective date (the “Increase Effective Date”) and the final allocation of such increase. The Agent shall promptly notify the Lead Borrower and the Revolving Lenders of the final allocation of such increase and the Increase Effective Date and on the Increase Effective Date (i) the Aggregate Revolving Commitments under, and for all purposes of, this Agreement shall be increased by the aggregate</w:t>
      </w:r>
    </w:p>
    <w:p>
      <w:pPr>
        <w:spacing w:after="0" w:line="245"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89" w:name="page90"/>
    <w:bookmarkEnd w:id="89"/>
    <w:p>
      <w:pPr>
        <w:ind w:left="80" w:right="540"/>
        <w:spacing w:after="0" w:line="303" w:lineRule="auto"/>
        <w:rPr>
          <w:sz w:val="20"/>
          <w:szCs w:val="20"/>
          <w:color w:val="auto"/>
        </w:rPr>
      </w:pPr>
      <w:r>
        <w:rPr>
          <w:rFonts w:ascii="Arial" w:cs="Arial" w:eastAsia="Arial" w:hAnsi="Arial"/>
          <w:sz w:val="20"/>
          <w:szCs w:val="20"/>
          <w:color w:val="auto"/>
        </w:rPr>
        <w:t xml:space="preserve">amount of such Commitment Increases, and (ii)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shall be deemed modified, without further action, to reflect the revised Commitments and Applicable Percentages of the Revolving Lenders.</w:t>
      </w:r>
    </w:p>
    <w:p>
      <w:pPr>
        <w:spacing w:after="0" w:line="108" w:lineRule="exact"/>
        <w:rPr>
          <w:sz w:val="20"/>
          <w:szCs w:val="20"/>
          <w:color w:val="auto"/>
        </w:rPr>
      </w:pPr>
    </w:p>
    <w:p>
      <w:pPr>
        <w:ind w:left="300" w:right="20" w:hanging="219"/>
        <w:spacing w:after="0" w:line="358" w:lineRule="auto"/>
        <w:rPr>
          <w:sz w:val="20"/>
          <w:szCs w:val="20"/>
          <w:color w:val="auto"/>
        </w:rPr>
      </w:pPr>
      <w:r>
        <w:rPr>
          <w:rFonts w:ascii="Arial" w:cs="Arial" w:eastAsia="Arial" w:hAnsi="Arial"/>
          <w:sz w:val="16"/>
          <w:szCs w:val="16"/>
          <w:color w:val="auto"/>
        </w:rPr>
        <w:t>(e)</w:t>
      </w: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a condition precedent to such increase, (i) the Lead Borrower shall deliver to the Agent a certificate of each Loan Party dated as of the Increase Effective Date signed by a Responsible Officer of such Loan Party (A) certifying and attaching the resolutions adopted by such Loan Party approving or consenting to such increase, and (B) in the case of the Borrowers, certifying that, before and after giving effect to such increase, (1)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(without duplication of any materiality qualifiers set forth therein) on and as of the Increase Effective Date, except to the extent that such representations and warranties specifically refer to an earlier date, in which case they are true and correct in all material respects (without duplication of any materiality qualifiers set forth therein) as of such earlier date, and except that for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 (2) no Default or Event of Default exists or would arise therefrom, (ii) the Borrowers, the Agent, and any Additional Commitment Lender shall have executed and delivered a Joinder Agreement to the Loan Documents in such form as the Agent shall reasonably require; (iii) the Borrowers shall have paid such fees and other compensation to the Additional Commitment Lenders as the Lead Borrower and such Additional Commitment Lenders shall agree; (iv) the Borrowers shall have paid such arrangement fees to the Agent as the Lead Borrower and the Agent may agree; (v) if requested by the Agent, the Borrowers shall deliver an opinion or opinions, in form and substance reasonably satisfactory to the Agent, from counsel to the Borrowers reasonably satisfactory to the Agent and dated such date;</w:t>
      </w:r>
    </w:p>
    <w:p>
      <w:pPr>
        <w:spacing w:after="0" w:line="208" w:lineRule="exact"/>
        <w:rPr>
          <w:sz w:val="20"/>
          <w:szCs w:val="20"/>
          <w:color w:val="auto"/>
        </w:rPr>
      </w:pPr>
    </w:p>
    <w:p>
      <w:pPr>
        <w:ind w:left="300" w:firstLine="2"/>
        <w:spacing w:after="0" w:line="287" w:lineRule="auto"/>
        <w:tabs>
          <w:tab w:leader="none" w:pos="635"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Borrowers and the Additional Commitment Lender shall have delivered such other instruments, documents and agreements as the Agent may reasonably have requested; and (vii) no Default or Event of Default exists. The Borrowers shall prepay any Committed Loans outstanding on the Increase Effective Date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to the extent necessary to keep the outstanding Committed Loans ratable with any revised Applicable Percentages arising from any nonratable increase in the Aggregate Revolving Commitments under this Section.</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20"/>
          <w:szCs w:val="20"/>
          <w:color w:val="auto"/>
        </w:rPr>
        <w:t>(f)</w:t>
      </w: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Sections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2.16 Defaulting Lenders.</w:t>
      </w:r>
    </w:p>
    <w:p>
      <w:pPr>
        <w:spacing w:after="0" w:line="195" w:lineRule="exact"/>
        <w:rPr>
          <w:sz w:val="20"/>
          <w:szCs w:val="20"/>
          <w:color w:val="auto"/>
        </w:rPr>
      </w:pPr>
    </w:p>
    <w:p>
      <w:pPr>
        <w:ind w:left="300" w:right="160" w:hanging="219"/>
        <w:spacing w:after="0" w:line="303" w:lineRule="auto"/>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94" w:lineRule="exact"/>
        <w:rPr>
          <w:sz w:val="20"/>
          <w:szCs w:val="20"/>
          <w:color w:val="auto"/>
        </w:rPr>
      </w:pPr>
    </w:p>
    <w:p>
      <w:pPr>
        <w:ind w:left="2320" w:right="140" w:firstLine="1351"/>
        <w:spacing w:after="0" w:line="314" w:lineRule="auto"/>
        <w:tabs>
          <w:tab w:leader="none" w:pos="511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“Required Supermajority Lenders” and </w:t>
      </w:r>
      <w:r>
        <w:rPr>
          <w:rFonts w:ascii="Arial" w:cs="Arial" w:eastAsia="Arial" w:hAnsi="Arial"/>
          <w:sz w:val="19"/>
          <w:szCs w:val="19"/>
          <w:u w:val="single" w:color="auto"/>
          <w:color w:val="auto"/>
        </w:rPr>
        <w:t>Section 10.01</w:t>
      </w:r>
      <w:r>
        <w:rPr>
          <w:rFonts w:ascii="Arial" w:cs="Arial" w:eastAsia="Arial" w:hAnsi="Arial"/>
          <w:sz w:val="19"/>
          <w:szCs w:val="19"/>
          <w:color w:val="auto"/>
        </w:rPr>
        <w:t>.</w:t>
      </w:r>
    </w:p>
    <w:p>
      <w:pPr>
        <w:spacing w:after="0" w:line="222"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90" w:name="page91"/>
    <w:bookmarkEnd w:id="90"/>
    <w:p>
      <w:pPr>
        <w:ind w:left="2320" w:firstLine="1305"/>
        <w:spacing w:after="0" w:line="314" w:lineRule="auto"/>
        <w:tabs>
          <w:tab w:leader="none" w:pos="511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Agent as follows: first, to the payment of any amounts owing by such Defaulting Lender to the Agent hereunder; second, to the payment on a pro rata basis of any amounts owing by such Defaulting Lender to the L/C Issuer or Swing Line Lender hereunder; third, to Cash Collateralize the L/C Issuer’s Fronting Exposure with respect to such Defaulting Lender; fourth, as the Lead Borrower may request (so long as no Default or Event of Default exists), to the funding of any Loan in respect of which such Defaulting Lender has failed to fund its portion thereof as required by this Agreement, as determined by the Agent; fifth, if so determined by the Agent and the Lead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sixth,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Revolving Lenders pro rata in accordance with the Commitments hereunder without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23" w:lineRule="exact"/>
        <w:rPr>
          <w:rFonts w:ascii="Arial" w:cs="Arial" w:eastAsia="Arial" w:hAnsi="Arial"/>
          <w:sz w:val="18"/>
          <w:szCs w:val="18"/>
          <w:color w:val="auto"/>
        </w:rPr>
      </w:pPr>
    </w:p>
    <w:p>
      <w:pPr>
        <w:ind w:left="5120" w:hanging="1541"/>
        <w:spacing w:after="0"/>
        <w:tabs>
          <w:tab w:leader="none" w:pos="51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3080" w:right="60" w:firstLine="2780"/>
        <w:spacing w:after="0" w:line="288" w:lineRule="auto"/>
        <w:tabs>
          <w:tab w:leader="none" w:pos="727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246"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91" w:name="page92"/>
    <w:bookmarkEnd w:id="91"/>
    <w:p>
      <w:pPr>
        <w:ind w:left="5860"/>
        <w:spacing w:after="0"/>
        <w:tabs>
          <w:tab w:leader="none" w:pos="72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Each Defaulting Lender shall be entitled to</w:t>
      </w:r>
    </w:p>
    <w:p>
      <w:pPr>
        <w:spacing w:after="0" w:line="40" w:lineRule="exact"/>
        <w:rPr>
          <w:sz w:val="20"/>
          <w:szCs w:val="20"/>
          <w:color w:val="auto"/>
        </w:rPr>
      </w:pPr>
    </w:p>
    <w:p>
      <w:pPr>
        <w:jc w:val="both"/>
        <w:ind w:left="3080" w:right="100"/>
        <w:spacing w:after="0" w:line="292" w:lineRule="auto"/>
        <w:rPr>
          <w:sz w:val="20"/>
          <w:szCs w:val="20"/>
          <w:color w:val="auto"/>
        </w:rPr>
      </w:pPr>
      <w:r>
        <w:rPr>
          <w:rFonts w:ascii="Arial" w:cs="Arial" w:eastAsia="Arial" w:hAnsi="Arial"/>
          <w:sz w:val="20"/>
          <w:szCs w:val="20"/>
          <w:color w:val="auto"/>
        </w:rPr>
        <w:t xml:space="preserve">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119" w:lineRule="exact"/>
        <w:rPr>
          <w:sz w:val="20"/>
          <w:szCs w:val="20"/>
          <w:color w:val="auto"/>
        </w:rPr>
      </w:pPr>
    </w:p>
    <w:p>
      <w:pPr>
        <w:ind w:left="5860"/>
        <w:spacing w:after="0"/>
        <w:tabs>
          <w:tab w:leader="none" w:pos="72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 xml:space="preserve">With respect to any fee payable under </w:t>
      </w:r>
      <w:r>
        <w:rPr>
          <w:rFonts w:ascii="Arial" w:cs="Arial" w:eastAsia="Arial" w:hAnsi="Arial"/>
          <w:sz w:val="19"/>
          <w:szCs w:val="19"/>
          <w:u w:val="single" w:color="auto"/>
          <w:color w:val="auto"/>
        </w:rPr>
        <w:t>Section</w:t>
      </w:r>
    </w:p>
    <w:p>
      <w:pPr>
        <w:spacing w:after="0" w:line="52"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2.09(a)</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w:t>
      </w:r>
    </w:p>
    <w:p>
      <w:pPr>
        <w:spacing w:after="0" w:line="63" w:lineRule="exact"/>
        <w:rPr>
          <w:sz w:val="20"/>
          <w:szCs w:val="20"/>
          <w:color w:val="auto"/>
        </w:rPr>
      </w:pPr>
    </w:p>
    <w:p>
      <w:pPr>
        <w:ind w:left="3080" w:right="80" w:hanging="3"/>
        <w:spacing w:after="0" w:line="302" w:lineRule="auto"/>
        <w:tabs>
          <w:tab w:leader="none" w:pos="3404" w:val="left"/>
        </w:tabs>
        <w:numPr>
          <w:ilvl w:val="0"/>
          <w:numId w:val="66"/>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Borrowers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00" w:lineRule="exact"/>
        <w:rPr>
          <w:rFonts w:ascii="Arial" w:cs="Arial" w:eastAsia="Arial" w:hAnsi="Arial"/>
          <w:sz w:val="19"/>
          <w:szCs w:val="19"/>
          <w:u w:val="single" w:color="auto"/>
          <w:color w:val="auto"/>
        </w:rPr>
      </w:pPr>
    </w:p>
    <w:p>
      <w:pPr>
        <w:ind w:left="2320" w:firstLine="1268"/>
        <w:spacing w:after="0" w:line="299" w:lineRule="auto"/>
        <w:tabs>
          <w:tab w:leader="none" w:pos="511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the Borrowers shall have otherwise notified the Agent at such time, the Borrowers shall be deemed to have represented and warranted that such conditions are satisfied at such time), and (y) such reallocation does not cause the aggregate Outstanding Amount of Obligations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2" w:lineRule="exact"/>
        <w:rPr>
          <w:rFonts w:ascii="Arial" w:cs="Arial" w:eastAsia="Arial" w:hAnsi="Arial"/>
          <w:sz w:val="19"/>
          <w:szCs w:val="19"/>
          <w:color w:val="auto"/>
        </w:rPr>
      </w:pPr>
    </w:p>
    <w:p>
      <w:pPr>
        <w:ind w:left="2320" w:right="40" w:firstLine="1314"/>
        <w:spacing w:after="0" w:line="325" w:lineRule="auto"/>
        <w:tabs>
          <w:tab w:leader="none" w:pos="511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clause (a)(iv) above cannot, or can only partially, be effected, the Borrowers shall, without prejudice to any right or remedy available to them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the Lead Borrower, the Agent, the Swing Line Lender and the L/C Issuer agree in writing that a Lender is no</w:t>
      </w:r>
    </w:p>
    <w:p>
      <w:pPr>
        <w:spacing w:after="0" w:line="63" w:lineRule="exact"/>
        <w:rPr>
          <w:sz w:val="20"/>
          <w:szCs w:val="20"/>
          <w:color w:val="auto"/>
        </w:rPr>
      </w:pPr>
    </w:p>
    <w:p>
      <w:pPr>
        <w:ind w:left="320" w:right="80"/>
        <w:spacing w:after="0" w:line="302" w:lineRule="auto"/>
        <w:rPr>
          <w:sz w:val="20"/>
          <w:szCs w:val="20"/>
          <w:color w:val="auto"/>
        </w:rPr>
      </w:pPr>
      <w:r>
        <w:rPr>
          <w:rFonts w:ascii="Arial" w:cs="Arial" w:eastAsia="Arial" w:hAnsi="Arial"/>
          <w:sz w:val="19"/>
          <w:szCs w:val="19"/>
          <w:color w:val="auto"/>
        </w:rPr>
        <w:t xml:space="preserve">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Committed Loans and funded and unfunded participations in Letters of Credit and Swing Line Loans to be held on a pro rata basis by the Revolving Lenders in accordance with their Applicable Percentages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whereupon such Lender will cease to be a Defaulting Lender; provided that no adjustments will be made retroactively with respect to fees accrued or payments made by or on behalf</w:t>
      </w:r>
    </w:p>
    <w:p>
      <w:pPr>
        <w:spacing w:after="0" w:line="222"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92" w:name="page93"/>
    <w:bookmarkEnd w:id="92"/>
    <w:p>
      <w:pPr>
        <w:ind w:left="100" w:right="160"/>
        <w:spacing w:after="0" w:line="292" w:lineRule="auto"/>
        <w:rPr>
          <w:sz w:val="20"/>
          <w:szCs w:val="20"/>
          <w:color w:val="auto"/>
        </w:rPr>
      </w:pPr>
      <w:r>
        <w:rPr>
          <w:rFonts w:ascii="Arial" w:cs="Arial" w:eastAsia="Arial" w:hAnsi="Arial"/>
          <w:sz w:val="20"/>
          <w:szCs w:val="20"/>
          <w:color w:val="auto"/>
        </w:rPr>
        <w:t>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APPOINTMENT OF LEAD BORROWER</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3.01 Taxes</w:t>
      </w:r>
      <w:r>
        <w:rPr>
          <w:rFonts w:ascii="Arial" w:cs="Arial" w:eastAsia="Arial" w:hAnsi="Arial"/>
          <w:sz w:val="20"/>
          <w:szCs w:val="20"/>
          <w:color w:val="auto"/>
        </w:rPr>
        <w:t>.</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189" w:lineRule="exact"/>
        <w:rPr>
          <w:sz w:val="20"/>
          <w:szCs w:val="20"/>
          <w:color w:val="auto"/>
        </w:rPr>
      </w:pPr>
    </w:p>
    <w:p>
      <w:pPr>
        <w:ind w:left="2340" w:firstLine="2106"/>
        <w:spacing w:after="0" w:line="303" w:lineRule="auto"/>
        <w:rPr>
          <w:sz w:val="20"/>
          <w:szCs w:val="20"/>
          <w:color w:val="auto"/>
        </w:rPr>
      </w:pPr>
      <w:r>
        <w:rPr>
          <w:rFonts w:ascii="Arial" w:cs="Arial" w:eastAsia="Arial" w:hAnsi="Arial"/>
          <w:sz w:val="19"/>
          <w:szCs w:val="19"/>
          <w:color w:val="auto"/>
        </w:rPr>
        <w:t xml:space="preserve">(i) Any and all payments by or on account of any obligation of any Loan Party under any Loan Document shall be made without deduction or withholding for any Taxes, except as required by applicable Laws. If any applicable Laws (as determined in the good faith discretion of the Agent) require the deduction or withholding of any Tax from any such payment by the Agent, or a Loan Party, then the Agent, or such Loan Party shall be entitled to make such deduction or withholding, upon the basis of the information and documentation to be delivered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w:t>
      </w:r>
    </w:p>
    <w:p>
      <w:pPr>
        <w:spacing w:after="0" w:line="100" w:lineRule="exact"/>
        <w:rPr>
          <w:sz w:val="20"/>
          <w:szCs w:val="20"/>
          <w:color w:val="auto"/>
        </w:rPr>
      </w:pPr>
    </w:p>
    <w:p>
      <w:pPr>
        <w:ind w:left="2340" w:right="40" w:firstLine="2065"/>
        <w:spacing w:after="0" w:line="300" w:lineRule="auto"/>
        <w:rPr>
          <w:sz w:val="20"/>
          <w:szCs w:val="20"/>
          <w:color w:val="auto"/>
        </w:rPr>
      </w:pPr>
      <w:r>
        <w:rPr>
          <w:rFonts w:ascii="Arial" w:cs="Arial" w:eastAsia="Arial" w:hAnsi="Arial"/>
          <w:sz w:val="19"/>
          <w:szCs w:val="19"/>
          <w:color w:val="auto"/>
        </w:rPr>
        <w:t xml:space="preserve">(ii) If any Loan Party or the Agent, shall be required by any applicable Laws other than the Code to withhold or deduct any Taxes from any payment, then (A) such Loan Party or the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Loan Party, or the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14" w:lineRule="exact"/>
        <w:rPr>
          <w:sz w:val="20"/>
          <w:szCs w:val="20"/>
          <w:color w:val="auto"/>
        </w:rPr>
      </w:pPr>
    </w:p>
    <w:p>
      <w:pPr>
        <w:ind w:left="340" w:right="20" w:hanging="230"/>
        <w:spacing w:after="0" w:line="292"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subsection (a) above, the Borrowers shall timely pay to the relevant Governmental Authority in accordance with applicable Law, or at the option of the Agent, timely reimburse it for the payment of, any Other Taxes.</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20"/>
                <w:szCs w:val="20"/>
                <w:color w:val="auto"/>
              </w:rPr>
              <w:t>(c)Tax Indemnifications.</w:t>
            </w: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430"/>
        </w:trPr>
        <w:tc>
          <w:tcPr>
            <w:tcW w:w="22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600" w:type="dxa"/>
            <w:vAlign w:val="bottom"/>
          </w:tcPr>
          <w:p>
            <w:pPr>
              <w:ind w:left="2460"/>
              <w:spacing w:after="0"/>
              <w:rPr>
                <w:sz w:val="20"/>
                <w:szCs w:val="20"/>
                <w:color w:val="auto"/>
              </w:rPr>
            </w:pPr>
            <w:r>
              <w:rPr>
                <w:rFonts w:ascii="Arial" w:cs="Arial" w:eastAsia="Arial" w:hAnsi="Arial"/>
                <w:sz w:val="20"/>
                <w:szCs w:val="20"/>
                <w:color w:val="auto"/>
              </w:rPr>
              <w:t>(i)</w:t>
            </w:r>
          </w:p>
        </w:tc>
        <w:tc>
          <w:tcPr>
            <w:tcW w:w="5520" w:type="dxa"/>
            <w:vAlign w:val="bottom"/>
            <w:gridSpan w:val="3"/>
          </w:tcPr>
          <w:p>
            <w:pPr>
              <w:ind w:left="940"/>
              <w:spacing w:after="0"/>
              <w:rPr>
                <w:sz w:val="20"/>
                <w:szCs w:val="20"/>
                <w:color w:val="auto"/>
              </w:rPr>
            </w:pPr>
            <w:r>
              <w:rPr>
                <w:rFonts w:ascii="Arial" w:cs="Arial" w:eastAsia="Arial" w:hAnsi="Arial"/>
                <w:sz w:val="20"/>
                <w:szCs w:val="20"/>
                <w:color w:val="auto"/>
                <w:w w:val="88"/>
              </w:rPr>
              <w:t>The Loan Parties shall, and each Loan Party does hereby,</w:t>
            </w:r>
          </w:p>
        </w:tc>
      </w:tr>
      <w:tr>
        <w:trPr>
          <w:trHeight w:val="270"/>
        </w:trPr>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120" w:type="dxa"/>
            <w:vAlign w:val="bottom"/>
            <w:gridSpan w:val="4"/>
          </w:tcPr>
          <w:p>
            <w:pPr>
              <w:ind w:left="340"/>
              <w:spacing w:after="0"/>
              <w:rPr>
                <w:sz w:val="20"/>
                <w:szCs w:val="20"/>
                <w:color w:val="auto"/>
              </w:rPr>
            </w:pPr>
            <w:r>
              <w:rPr>
                <w:rFonts w:ascii="Arial" w:cs="Arial" w:eastAsia="Arial" w:hAnsi="Arial"/>
                <w:sz w:val="20"/>
                <w:szCs w:val="20"/>
                <w:color w:val="auto"/>
                <w:w w:val="90"/>
              </w:rPr>
              <w:t>jointly and severally indemnify each Recipient, and shall make payment in respect thereof within ten (10) days</w:t>
            </w:r>
          </w:p>
        </w:tc>
      </w:tr>
      <w:tr>
        <w:trPr>
          <w:trHeight w:val="270"/>
        </w:trPr>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120" w:type="dxa"/>
            <w:vAlign w:val="bottom"/>
            <w:gridSpan w:val="4"/>
          </w:tcPr>
          <w:p>
            <w:pPr>
              <w:ind w:left="340"/>
              <w:spacing w:after="0"/>
              <w:rPr>
                <w:sz w:val="20"/>
                <w:szCs w:val="20"/>
                <w:color w:val="auto"/>
              </w:rPr>
            </w:pPr>
            <w:r>
              <w:rPr>
                <w:rFonts w:ascii="Arial" w:cs="Arial" w:eastAsia="Arial" w:hAnsi="Arial"/>
                <w:sz w:val="20"/>
                <w:szCs w:val="20"/>
                <w:color w:val="auto"/>
                <w:w w:val="91"/>
              </w:rPr>
              <w:t>after demand therefor, for the full amount of any Indemnified Taxes (including Indemnified Taxes imposed or</w:t>
            </w:r>
          </w:p>
        </w:tc>
      </w:tr>
      <w:tr>
        <w:trPr>
          <w:trHeight w:val="225"/>
        </w:trPr>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120" w:type="dxa"/>
            <w:vAlign w:val="bottom"/>
            <w:gridSpan w:val="4"/>
          </w:tcPr>
          <w:p>
            <w:pPr>
              <w:ind w:left="340"/>
              <w:spacing w:after="0" w:line="226" w:lineRule="exact"/>
              <w:rPr>
                <w:sz w:val="20"/>
                <w:szCs w:val="20"/>
                <w:color w:val="auto"/>
              </w:rPr>
            </w:pPr>
            <w:r>
              <w:rPr>
                <w:rFonts w:ascii="Arial" w:cs="Arial" w:eastAsia="Arial" w:hAnsi="Arial"/>
                <w:sz w:val="20"/>
                <w:szCs w:val="20"/>
                <w:color w:val="auto"/>
                <w:w w:val="91"/>
              </w:rPr>
              <w:t>asserted on or attributable to amounts payable under this Section 3.01) payable or paid by such Recipient or</w:t>
            </w:r>
          </w:p>
        </w:tc>
      </w:tr>
      <w:tr>
        <w:trPr>
          <w:trHeight w:val="20"/>
        </w:trPr>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8"/>
              </w:rPr>
              <w:t>required to be withheld or deducted from a payment to such Recipient, and any penalties, interest and</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3"/>
              </w:rPr>
              <w:t>reasonable expenses arising therefrom or with respect thereto, whether or not such Indemnified Taxes were</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1"/>
              </w:rPr>
              <w:t>correctly or legally imposed or asserted by the relevant Governmental Authority. A certificate as to the amount</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3"/>
              </w:rPr>
              <w:t>of such payment or liability delivered to the Lead Borrower by a Lender or the L/C Issuer (with a copy to the</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w w:val="90"/>
              </w:rPr>
              <w:t>Agent), or by the Agent on its own behalf or on behalf of a Lender or the L/C Issuer, shall be conclusive absent</w:t>
            </w:r>
          </w:p>
        </w:tc>
      </w:tr>
      <w:tr>
        <w:trPr>
          <w:trHeight w:val="270"/>
        </w:trPr>
        <w:tc>
          <w:tcPr>
            <w:tcW w:w="1740" w:type="dxa"/>
            <w:vAlign w:val="bottom"/>
          </w:tcPr>
          <w:p>
            <w:pPr>
              <w:spacing w:after="0"/>
              <w:rPr>
                <w:sz w:val="23"/>
                <w:szCs w:val="23"/>
                <w:color w:val="auto"/>
              </w:rPr>
            </w:pPr>
          </w:p>
        </w:tc>
        <w:tc>
          <w:tcPr>
            <w:tcW w:w="9500" w:type="dxa"/>
            <w:vAlign w:val="bottom"/>
          </w:tcPr>
          <w:p>
            <w:pPr>
              <w:ind w:left="600"/>
              <w:spacing w:after="0"/>
              <w:rPr>
                <w:sz w:val="20"/>
                <w:szCs w:val="20"/>
                <w:color w:val="auto"/>
              </w:rPr>
            </w:pPr>
            <w:r>
              <w:rPr>
                <w:rFonts w:ascii="Arial" w:cs="Arial" w:eastAsia="Arial" w:hAnsi="Arial"/>
                <w:sz w:val="20"/>
                <w:szCs w:val="20"/>
                <w:color w:val="auto"/>
              </w:rPr>
              <w:t>manifest error.</w:t>
            </w:r>
          </w:p>
        </w:tc>
      </w:tr>
      <w:tr>
        <w:trPr>
          <w:trHeight w:val="551"/>
        </w:trPr>
        <w:tc>
          <w:tcPr>
            <w:tcW w:w="17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9500" w:type="dxa"/>
            <w:vAlign w:val="bottom"/>
          </w:tcPr>
          <w:p>
            <w:pPr>
              <w:ind w:left="3720"/>
              <w:spacing w:after="0"/>
              <w:rPr>
                <w:sz w:val="20"/>
                <w:szCs w:val="20"/>
                <w:color w:val="auto"/>
              </w:rPr>
            </w:pPr>
            <w:r>
              <w:rPr>
                <w:rFonts w:ascii="Arial" w:cs="Arial" w:eastAsia="Arial" w:hAnsi="Arial"/>
                <w:sz w:val="20"/>
                <w:szCs w:val="20"/>
                <w:color w:val="auto"/>
              </w:rPr>
              <w:t>-89-</w:t>
            </w:r>
          </w:p>
        </w:tc>
      </w:tr>
      <w:tr>
        <w:trPr>
          <w:trHeight w:val="383"/>
        </w:trPr>
        <w:tc>
          <w:tcPr>
            <w:tcW w:w="17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93" w:name="page94"/>
    <w:bookmarkEnd w:id="93"/>
    <w:p>
      <w:pPr>
        <w:ind w:left="2340" w:firstLine="2065"/>
        <w:spacing w:after="0" w:line="299" w:lineRule="auto"/>
        <w:rPr>
          <w:sz w:val="20"/>
          <w:szCs w:val="20"/>
          <w:color w:val="auto"/>
        </w:rPr>
      </w:pPr>
      <w:r>
        <w:rPr>
          <w:rFonts w:ascii="Arial" w:cs="Arial" w:eastAsia="Arial" w:hAnsi="Arial"/>
          <w:sz w:val="19"/>
          <w:szCs w:val="19"/>
          <w:color w:val="auto"/>
        </w:rPr>
        <w:t xml:space="preserve">(ii) Each Lender and the L/C Issuer shall, and does hereby, severally indemnify, and shall make payment in respect thereof within ten (10) days after demand therefor, (x) the Agent against any Indemnified Taxes attributable to such Lender or the L/C Issuer (but only to the extent that any Loan Party has not already indemnified the Agent for such Indemnified Taxes and without limiting the obligation of the Loan Parties to do so), (y) the Agent and the Loan Parties, as applicable, against any Taxes attributable to such Lender’s failure to comply with the provisions of </w:t>
      </w:r>
      <w:r>
        <w:rPr>
          <w:rFonts w:ascii="Arial" w:cs="Arial" w:eastAsia="Arial" w:hAnsi="Arial"/>
          <w:sz w:val="19"/>
          <w:szCs w:val="19"/>
          <w:u w:val="single" w:color="auto"/>
          <w:color w:val="auto"/>
        </w:rPr>
        <w:t>Section 10.06(d)</w:t>
      </w:r>
      <w:r>
        <w:rPr>
          <w:rFonts w:ascii="Arial" w:cs="Arial" w:eastAsia="Arial" w:hAnsi="Arial"/>
          <w:sz w:val="19"/>
          <w:szCs w:val="19"/>
          <w:color w:val="auto"/>
        </w:rPr>
        <w:t xml:space="preserve"> relating to the maintenance of a Participant Register and (z) the Agent and the Loan Parties, as applicable, against any Excluded Taxes attributable to such Lender or the L/C Issuer, in each case, that are payable or paid by the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and the L/C Issuer hereby authorizes the Agent to set off and apply any and all amounts at any time owing to such Lender or the L/C Issuer, as the case may be, under this Agreement or any other Loan Document against any amount due to the Agent under this clause (ii).</w:t>
      </w:r>
    </w:p>
    <w:p>
      <w:pPr>
        <w:spacing w:after="0" w:line="116" w:lineRule="exact"/>
        <w:rPr>
          <w:sz w:val="20"/>
          <w:szCs w:val="20"/>
          <w:color w:val="auto"/>
        </w:rPr>
      </w:pPr>
    </w:p>
    <w:p>
      <w:pPr>
        <w:ind w:left="340" w:right="20" w:hanging="230"/>
        <w:spacing w:after="0" w:line="305"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Upon request by the Lead Borrower or the Agent, after any payment of Taxes by the Lead Borrower or the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Lead Borrower shall deliver to the Agent or the Agent shall deliver to the Lead Borrower, as the case may be, the original or a certified copy of a receipt issued by such Governmental Authority evidencing such payment, a copy of any return required by Laws to report such payment or other evidence of such payment reasonably satisfactory to the Lead Borrower or the Agent, as the case may be.</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w:t>
      </w: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4"/>
          </w:tcPr>
          <w:p>
            <w:pPr>
              <w:jc w:val="center"/>
              <w:ind w:right="1561"/>
              <w:spacing w:after="0"/>
              <w:rPr>
                <w:sz w:val="20"/>
                <w:szCs w:val="20"/>
                <w:color w:val="auto"/>
              </w:rPr>
            </w:pPr>
            <w:r>
              <w:rPr>
                <w:rFonts w:ascii="Arial" w:cs="Arial" w:eastAsia="Arial" w:hAnsi="Arial"/>
                <w:sz w:val="20"/>
                <w:szCs w:val="20"/>
                <w:color w:val="auto"/>
              </w:rPr>
              <w:t>(i)</w:t>
            </w:r>
          </w:p>
        </w:tc>
        <w:tc>
          <w:tcPr>
            <w:tcW w:w="4900" w:type="dxa"/>
            <w:vAlign w:val="bottom"/>
          </w:tcPr>
          <w:p>
            <w:pPr>
              <w:ind w:left="200"/>
              <w:spacing w:after="0"/>
              <w:rPr>
                <w:sz w:val="20"/>
                <w:szCs w:val="20"/>
                <w:color w:val="auto"/>
              </w:rPr>
            </w:pPr>
            <w:r>
              <w:rPr>
                <w:rFonts w:ascii="Arial" w:cs="Arial" w:eastAsia="Arial" w:hAnsi="Arial"/>
                <w:sz w:val="20"/>
                <w:szCs w:val="20"/>
                <w:color w:val="auto"/>
              </w:rPr>
              <w:t>Any Lender that is entitled to an exemption from or</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4"/>
              </w:rPr>
              <w:t>reduction of withholding Tax with respect to payments made under any Loan Document shall deliver to the</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3"/>
              </w:rPr>
              <w:t>Lead Borrower and the Agent at the time or times reasonably requested by the Lead Borrower or the Agent,</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89"/>
              </w:rPr>
              <w:t>such properly completed and executed documentation reasonably requested by the Lead Borrower or the Agent</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3"/>
              </w:rPr>
              <w:t>as will permit such payments to be made without withholding or at a reduced rate of withholding. In addition,</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0"/>
              </w:rPr>
              <w:t>any Lender, if reasonably requested by the Lead Borrower or the Agent, shall deliver such other documentation</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3"/>
              </w:rPr>
              <w:t>prescribed by applicable Law or reasonably requested by the Lead Borrower or the Agent as will enable the</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1"/>
              </w:rPr>
              <w:t>Lead Borrower or the to determine whether or not such Lender is subject to backup withholding or information</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9"/>
              </w:rPr>
              <w:t>reporting requirements. Notwithstanding anything to the contrary in the preceding two sentences, the</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5"/>
              </w:rPr>
              <w:t>completion, execution and submission of such documentation (other than such documentation set forth in</w:t>
            </w:r>
          </w:p>
        </w:tc>
      </w:tr>
      <w:tr>
        <w:trPr>
          <w:trHeight w:val="225"/>
        </w:trPr>
        <w:tc>
          <w:tcPr>
            <w:tcW w:w="2340" w:type="dxa"/>
            <w:vAlign w:val="bottom"/>
          </w:tcPr>
          <w:p>
            <w:pPr>
              <w:spacing w:after="0"/>
              <w:rPr>
                <w:sz w:val="19"/>
                <w:szCs w:val="19"/>
                <w:color w:val="auto"/>
              </w:rPr>
            </w:pPr>
          </w:p>
        </w:tc>
        <w:tc>
          <w:tcPr>
            <w:tcW w:w="8900" w:type="dxa"/>
            <w:vAlign w:val="bottom"/>
            <w:gridSpan w:val="7"/>
          </w:tcPr>
          <w:p>
            <w:pPr>
              <w:spacing w:after="0" w:line="226" w:lineRule="exact"/>
              <w:rPr>
                <w:sz w:val="20"/>
                <w:szCs w:val="20"/>
                <w:color w:val="auto"/>
              </w:rPr>
            </w:pPr>
            <w:r>
              <w:rPr>
                <w:rFonts w:ascii="Arial" w:cs="Arial" w:eastAsia="Arial" w:hAnsi="Arial"/>
                <w:sz w:val="20"/>
                <w:szCs w:val="20"/>
                <w:color w:val="auto"/>
                <w:w w:val="94"/>
              </w:rPr>
              <w:t>Section 3.01(e)(ii)(A), (ii)(B) and (ii)(D) below) shall not be required if in the Lender’s reasonable judgment</w:t>
            </w:r>
          </w:p>
        </w:tc>
      </w:tr>
      <w:tr>
        <w:trPr>
          <w:trHeight w:val="20"/>
        </w:trPr>
        <w:tc>
          <w:tcPr>
            <w:tcW w:w="23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r>
      <w:tr>
        <w:trPr>
          <w:trHeight w:val="295"/>
        </w:trPr>
        <w:tc>
          <w:tcPr>
            <w:tcW w:w="2340" w:type="dxa"/>
            <w:vAlign w:val="bottom"/>
          </w:tcPr>
          <w:p>
            <w:pPr>
              <w:spacing w:after="0"/>
              <w:rPr>
                <w:sz w:val="24"/>
                <w:szCs w:val="24"/>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w w:val="94"/>
              </w:rPr>
              <w:t>such completion, execution or submission would subject such Lender to any material unreimbursed cost or</w:t>
            </w:r>
          </w:p>
        </w:tc>
      </w:tr>
      <w:tr>
        <w:trPr>
          <w:trHeight w:val="270"/>
        </w:trPr>
        <w:tc>
          <w:tcPr>
            <w:tcW w:w="2340" w:type="dxa"/>
            <w:vAlign w:val="bottom"/>
          </w:tcPr>
          <w:p>
            <w:pPr>
              <w:spacing w:after="0"/>
              <w:rPr>
                <w:sz w:val="23"/>
                <w:szCs w:val="23"/>
                <w:color w:val="auto"/>
              </w:rPr>
            </w:pPr>
          </w:p>
        </w:tc>
        <w:tc>
          <w:tcPr>
            <w:tcW w:w="8900" w:type="dxa"/>
            <w:vAlign w:val="bottom"/>
            <w:gridSpan w:val="7"/>
          </w:tcPr>
          <w:p>
            <w:pPr>
              <w:spacing w:after="0"/>
              <w:rPr>
                <w:sz w:val="20"/>
                <w:szCs w:val="20"/>
                <w:color w:val="auto"/>
              </w:rPr>
            </w:pPr>
            <w:r>
              <w:rPr>
                <w:rFonts w:ascii="Arial" w:cs="Arial" w:eastAsia="Arial" w:hAnsi="Arial"/>
                <w:sz w:val="20"/>
                <w:szCs w:val="20"/>
                <w:color w:val="auto"/>
              </w:rPr>
              <w:t>expense or would materially prejudice the legal or commercial position of such Lender.</w:t>
            </w:r>
          </w:p>
        </w:tc>
      </w:tr>
      <w:tr>
        <w:trPr>
          <w:trHeight w:val="418"/>
        </w:trPr>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60" w:type="dxa"/>
            <w:vAlign w:val="bottom"/>
            <w:gridSpan w:val="5"/>
          </w:tcPr>
          <w:p>
            <w:pPr>
              <w:jc w:val="center"/>
              <w:ind w:right="1241"/>
              <w:spacing w:after="0"/>
              <w:rPr>
                <w:sz w:val="20"/>
                <w:szCs w:val="20"/>
                <w:color w:val="auto"/>
              </w:rPr>
            </w:pPr>
            <w:r>
              <w:rPr>
                <w:rFonts w:ascii="Arial" w:cs="Arial" w:eastAsia="Arial" w:hAnsi="Arial"/>
                <w:sz w:val="20"/>
                <w:szCs w:val="20"/>
                <w:color w:val="auto"/>
              </w:rPr>
              <w:t>(ii)</w:t>
            </w:r>
          </w:p>
        </w:tc>
        <w:tc>
          <w:tcPr>
            <w:tcW w:w="4900" w:type="dxa"/>
            <w:vAlign w:val="bottom"/>
          </w:tcPr>
          <w:p>
            <w:pPr>
              <w:ind w:left="200"/>
              <w:spacing w:after="0"/>
              <w:rPr>
                <w:sz w:val="20"/>
                <w:szCs w:val="20"/>
                <w:color w:val="auto"/>
              </w:rPr>
            </w:pPr>
            <w:r>
              <w:rPr>
                <w:rFonts w:ascii="Arial" w:cs="Arial" w:eastAsia="Arial" w:hAnsi="Arial"/>
                <w:sz w:val="20"/>
                <w:szCs w:val="20"/>
                <w:color w:val="auto"/>
              </w:rPr>
              <w:t>Without limiting the generality of the foregoing, in the</w:t>
            </w:r>
          </w:p>
        </w:tc>
      </w:tr>
      <w:tr>
        <w:trPr>
          <w:trHeight w:val="270"/>
        </w:trPr>
        <w:tc>
          <w:tcPr>
            <w:tcW w:w="2340" w:type="dxa"/>
            <w:vAlign w:val="bottom"/>
          </w:tcPr>
          <w:p>
            <w:pPr>
              <w:spacing w:after="0"/>
              <w:rPr>
                <w:sz w:val="23"/>
                <w:szCs w:val="23"/>
                <w:color w:val="auto"/>
              </w:rPr>
            </w:pPr>
          </w:p>
        </w:tc>
        <w:tc>
          <w:tcPr>
            <w:tcW w:w="4000" w:type="dxa"/>
            <w:vAlign w:val="bottom"/>
            <w:gridSpan w:val="6"/>
          </w:tcPr>
          <w:p>
            <w:pPr>
              <w:spacing w:after="0"/>
              <w:rPr>
                <w:sz w:val="20"/>
                <w:szCs w:val="20"/>
                <w:color w:val="auto"/>
              </w:rPr>
            </w:pPr>
            <w:r>
              <w:rPr>
                <w:rFonts w:ascii="Arial" w:cs="Arial" w:eastAsia="Arial" w:hAnsi="Arial"/>
                <w:sz w:val="20"/>
                <w:szCs w:val="20"/>
                <w:color w:val="auto"/>
                <w:w w:val="96"/>
              </w:rPr>
              <w:t>event that the Lead Borrower is a U.S. Person,</w:t>
            </w:r>
          </w:p>
        </w:tc>
        <w:tc>
          <w:tcPr>
            <w:tcW w:w="4900" w:type="dxa"/>
            <w:vAlign w:val="bottom"/>
          </w:tcPr>
          <w:p>
            <w:pPr>
              <w:spacing w:after="0"/>
              <w:rPr>
                <w:sz w:val="23"/>
                <w:szCs w:val="23"/>
                <w:color w:val="auto"/>
              </w:rPr>
            </w:pPr>
          </w:p>
        </w:tc>
      </w:tr>
      <w:tr>
        <w:trPr>
          <w:trHeight w:val="405"/>
        </w:trPr>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ind w:left="300"/>
              <w:spacing w:after="0"/>
              <w:rPr>
                <w:sz w:val="20"/>
                <w:szCs w:val="20"/>
                <w:color w:val="auto"/>
              </w:rPr>
            </w:pPr>
            <w:r>
              <w:rPr>
                <w:rFonts w:ascii="Arial" w:cs="Arial" w:eastAsia="Arial" w:hAnsi="Arial"/>
                <w:sz w:val="20"/>
                <w:szCs w:val="20"/>
                <w:color w:val="auto"/>
              </w:rPr>
              <w:t>(A)</w:t>
            </w:r>
          </w:p>
        </w:tc>
        <w:tc>
          <w:tcPr>
            <w:tcW w:w="4900" w:type="dxa"/>
            <w:vAlign w:val="bottom"/>
          </w:tcPr>
          <w:p>
            <w:pPr>
              <w:ind w:left="940"/>
              <w:spacing w:after="0"/>
              <w:rPr>
                <w:sz w:val="20"/>
                <w:szCs w:val="20"/>
                <w:color w:val="auto"/>
              </w:rPr>
            </w:pPr>
            <w:r>
              <w:rPr>
                <w:rFonts w:ascii="Arial" w:cs="Arial" w:eastAsia="Arial" w:hAnsi="Arial"/>
                <w:sz w:val="20"/>
                <w:szCs w:val="20"/>
                <w:color w:val="auto"/>
                <w:w w:val="93"/>
              </w:rPr>
              <w:t>any Lender that is a U.S. Person shall deliver to</w:t>
            </w:r>
          </w:p>
        </w:tc>
      </w:tr>
      <w:tr>
        <w:trPr>
          <w:trHeight w:val="270"/>
        </w:trPr>
        <w:tc>
          <w:tcPr>
            <w:tcW w:w="2340" w:type="dxa"/>
            <w:vAlign w:val="bottom"/>
          </w:tcPr>
          <w:p>
            <w:pPr>
              <w:spacing w:after="0"/>
              <w:rPr>
                <w:sz w:val="23"/>
                <w:szCs w:val="23"/>
                <w:color w:val="auto"/>
              </w:rPr>
            </w:pPr>
          </w:p>
        </w:tc>
        <w:tc>
          <w:tcPr>
            <w:tcW w:w="8900" w:type="dxa"/>
            <w:vAlign w:val="bottom"/>
            <w:gridSpan w:val="7"/>
          </w:tcPr>
          <w:p>
            <w:pPr>
              <w:ind w:left="760"/>
              <w:spacing w:after="0"/>
              <w:rPr>
                <w:sz w:val="20"/>
                <w:szCs w:val="20"/>
                <w:color w:val="auto"/>
              </w:rPr>
            </w:pPr>
            <w:r>
              <w:rPr>
                <w:rFonts w:ascii="Arial" w:cs="Arial" w:eastAsia="Arial" w:hAnsi="Arial"/>
                <w:sz w:val="20"/>
                <w:szCs w:val="20"/>
                <w:color w:val="auto"/>
                <w:w w:val="93"/>
              </w:rPr>
              <w:t>the Lead Borrower and the Agent, on or prior to the date on which such Lender becomes a Lender</w:t>
            </w:r>
          </w:p>
        </w:tc>
      </w:tr>
      <w:tr>
        <w:trPr>
          <w:trHeight w:val="270"/>
        </w:trPr>
        <w:tc>
          <w:tcPr>
            <w:tcW w:w="2340" w:type="dxa"/>
            <w:vAlign w:val="bottom"/>
          </w:tcPr>
          <w:p>
            <w:pPr>
              <w:spacing w:after="0"/>
              <w:rPr>
                <w:sz w:val="23"/>
                <w:szCs w:val="23"/>
                <w:color w:val="auto"/>
              </w:rPr>
            </w:pPr>
          </w:p>
        </w:tc>
        <w:tc>
          <w:tcPr>
            <w:tcW w:w="8900" w:type="dxa"/>
            <w:vAlign w:val="bottom"/>
            <w:gridSpan w:val="7"/>
          </w:tcPr>
          <w:p>
            <w:pPr>
              <w:ind w:left="760"/>
              <w:spacing w:after="0"/>
              <w:rPr>
                <w:sz w:val="20"/>
                <w:szCs w:val="20"/>
                <w:color w:val="auto"/>
              </w:rPr>
            </w:pPr>
            <w:r>
              <w:rPr>
                <w:rFonts w:ascii="Arial" w:cs="Arial" w:eastAsia="Arial" w:hAnsi="Arial"/>
                <w:sz w:val="20"/>
                <w:szCs w:val="20"/>
                <w:color w:val="auto"/>
                <w:w w:val="95"/>
              </w:rPr>
              <w:t>under this Agreement (and from time to time thereafter upon the reasonable request of the Lead</w:t>
            </w:r>
          </w:p>
        </w:tc>
      </w:tr>
      <w:tr>
        <w:trPr>
          <w:trHeight w:val="551"/>
        </w:trPr>
        <w:tc>
          <w:tcPr>
            <w:tcW w:w="23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4000" w:type="dxa"/>
            <w:vAlign w:val="bottom"/>
            <w:gridSpan w:val="6"/>
          </w:tcPr>
          <w:p>
            <w:pPr>
              <w:ind w:left="3120"/>
              <w:spacing w:after="0"/>
              <w:rPr>
                <w:sz w:val="20"/>
                <w:szCs w:val="20"/>
                <w:color w:val="auto"/>
              </w:rPr>
            </w:pPr>
            <w:r>
              <w:rPr>
                <w:rFonts w:ascii="Arial" w:cs="Arial" w:eastAsia="Arial" w:hAnsi="Arial"/>
                <w:sz w:val="20"/>
                <w:szCs w:val="20"/>
                <w:color w:val="auto"/>
              </w:rPr>
              <w:t>-90-</w:t>
            </w:r>
          </w:p>
        </w:tc>
        <w:tc>
          <w:tcPr>
            <w:tcW w:w="4900" w:type="dxa"/>
            <w:vAlign w:val="bottom"/>
          </w:tcPr>
          <w:p>
            <w:pPr>
              <w:spacing w:after="0"/>
              <w:rPr>
                <w:sz w:val="24"/>
                <w:szCs w:val="24"/>
                <w:color w:val="auto"/>
              </w:rPr>
            </w:pPr>
          </w:p>
        </w:tc>
      </w:tr>
      <w:tr>
        <w:trPr>
          <w:trHeight w:val="383"/>
        </w:trPr>
        <w:tc>
          <w:tcPr>
            <w:tcW w:w="2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94" w:name="page95"/>
    <w:bookmarkEnd w:id="94"/>
    <w:p>
      <w:pPr>
        <w:ind w:left="3100" w:right="260"/>
        <w:spacing w:after="0" w:line="303" w:lineRule="auto"/>
        <w:rPr>
          <w:sz w:val="20"/>
          <w:szCs w:val="20"/>
          <w:color w:val="auto"/>
        </w:rPr>
      </w:pPr>
      <w:r>
        <w:rPr>
          <w:rFonts w:ascii="Arial" w:cs="Arial" w:eastAsia="Arial" w:hAnsi="Arial"/>
          <w:sz w:val="20"/>
          <w:szCs w:val="20"/>
          <w:color w:val="auto"/>
        </w:rPr>
        <w:t>Borrower, or the Agent), executed originals of IRS Form W-9 certifying that such Lender is exempt from U.S. federal backup withholding tax;</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Arial" w:cs="Arial" w:eastAsia="Arial" w:hAnsi="Arial"/>
                <w:sz w:val="20"/>
                <w:szCs w:val="20"/>
                <w:color w:val="auto"/>
              </w:rPr>
              <w:t>(B)</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20" w:type="dxa"/>
            <w:vAlign w:val="bottom"/>
            <w:gridSpan w:val="5"/>
          </w:tcPr>
          <w:p>
            <w:pPr>
              <w:ind w:left="160"/>
              <w:spacing w:after="0"/>
              <w:rPr>
                <w:sz w:val="20"/>
                <w:szCs w:val="20"/>
                <w:color w:val="auto"/>
              </w:rPr>
            </w:pPr>
            <w:r>
              <w:rPr>
                <w:rFonts w:ascii="Arial" w:cs="Arial" w:eastAsia="Arial" w:hAnsi="Arial"/>
                <w:sz w:val="20"/>
                <w:szCs w:val="20"/>
                <w:color w:val="auto"/>
              </w:rPr>
              <w:t>any Foreign Lender shall, to the extent it is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0"/>
              </w:rPr>
              <w:t>legally entitled to do so, deliver to the Lead Borrower or the Agent, (in such number of copies as shall</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89"/>
              </w:rPr>
              <w:t>be requested by the recipient) on or prior to the date on which such Foreign Lender becomes a Lender</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5"/>
              </w:rPr>
              <w:t>under this Agreement (and from time to time thereafter upon the reasonable request of the Lead</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rPr>
              <w:t>Borrower, or the Agent), whichever of the following is applicable:</w:t>
            </w:r>
          </w:p>
        </w:tc>
      </w:tr>
      <w:tr>
        <w:trPr>
          <w:trHeight w:val="405"/>
        </w:trPr>
        <w:tc>
          <w:tcPr>
            <w:tcW w:w="1320" w:type="dxa"/>
            <w:vAlign w:val="bottom"/>
          </w:tcPr>
          <w:p>
            <w:pPr>
              <w:spacing w:after="0"/>
              <w:rPr>
                <w:sz w:val="24"/>
                <w:szCs w:val="24"/>
                <w:color w:val="auto"/>
              </w:rPr>
            </w:pPr>
          </w:p>
        </w:tc>
        <w:tc>
          <w:tcPr>
            <w:tcW w:w="9920" w:type="dxa"/>
            <w:vAlign w:val="bottom"/>
            <w:gridSpan w:val="10"/>
          </w:tcPr>
          <w:p>
            <w:pPr>
              <w:ind w:left="2440"/>
              <w:spacing w:after="0"/>
              <w:rPr>
                <w:sz w:val="20"/>
                <w:szCs w:val="20"/>
                <w:color w:val="auto"/>
              </w:rPr>
            </w:pPr>
            <w:r>
              <w:rPr>
                <w:rFonts w:ascii="Arial" w:cs="Arial" w:eastAsia="Arial" w:hAnsi="Arial"/>
                <w:sz w:val="20"/>
                <w:szCs w:val="20"/>
                <w:color w:val="auto"/>
                <w:w w:val="91"/>
              </w:rPr>
              <w:t>(I)  in the case of a Foreign Lender claiming the benefits of an income tax treaty to which the</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4"/>
              </w:rPr>
              <w:t>United States is a party (x) with respect to payments of interest under any Loan Document, executed originals of IRS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4"/>
              </w:rPr>
              <w:t>Form W-8BEN or W8BEN-E, as applicable, establishing an exemption from, or reduction of, U.S. federal withholding</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2"/>
              </w:rPr>
              <w:t>Tax pursuant to the “interest” article of such tax treaty and (y) with respect to any other applicable payments under any</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2"/>
              </w:rPr>
              <w:t>Loan Document, IRS Form W-8BEN or W8BEN-E, as applicable, establishing an exemption from, or reduction of, U.S.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rPr>
              <w:t>federal withholding Tax pursuant to the “business profits” or “other income” article of such tax treaty;</w:t>
            </w:r>
          </w:p>
        </w:tc>
      </w:tr>
      <w:tr>
        <w:trPr>
          <w:trHeight w:val="418"/>
        </w:trPr>
        <w:tc>
          <w:tcPr>
            <w:tcW w:w="1320" w:type="dxa"/>
            <w:vAlign w:val="bottom"/>
          </w:tcPr>
          <w:p>
            <w:pPr>
              <w:spacing w:after="0"/>
              <w:rPr>
                <w:sz w:val="24"/>
                <w:szCs w:val="24"/>
                <w:color w:val="auto"/>
              </w:rPr>
            </w:pPr>
          </w:p>
        </w:tc>
        <w:tc>
          <w:tcPr>
            <w:tcW w:w="9920" w:type="dxa"/>
            <w:vAlign w:val="bottom"/>
            <w:gridSpan w:val="10"/>
          </w:tcPr>
          <w:p>
            <w:pPr>
              <w:ind w:left="2440"/>
              <w:spacing w:after="0"/>
              <w:rPr>
                <w:sz w:val="20"/>
                <w:szCs w:val="20"/>
                <w:color w:val="auto"/>
              </w:rPr>
            </w:pPr>
            <w:r>
              <w:rPr>
                <w:rFonts w:ascii="Arial" w:cs="Arial" w:eastAsia="Arial" w:hAnsi="Arial"/>
                <w:sz w:val="20"/>
                <w:szCs w:val="20"/>
                <w:color w:val="auto"/>
              </w:rPr>
              <w:t>(II)  executed originals of IRS Form W-8ECI;</w:t>
            </w:r>
          </w:p>
        </w:tc>
      </w:tr>
      <w:tr>
        <w:trPr>
          <w:trHeight w:val="418"/>
        </w:trPr>
        <w:tc>
          <w:tcPr>
            <w:tcW w:w="1320" w:type="dxa"/>
            <w:vAlign w:val="bottom"/>
          </w:tcPr>
          <w:p>
            <w:pPr>
              <w:spacing w:after="0"/>
              <w:rPr>
                <w:sz w:val="24"/>
                <w:szCs w:val="24"/>
                <w:color w:val="auto"/>
              </w:rPr>
            </w:pPr>
          </w:p>
        </w:tc>
        <w:tc>
          <w:tcPr>
            <w:tcW w:w="9920" w:type="dxa"/>
            <w:vAlign w:val="bottom"/>
            <w:gridSpan w:val="10"/>
          </w:tcPr>
          <w:p>
            <w:pPr>
              <w:ind w:left="2440"/>
              <w:spacing w:after="0"/>
              <w:rPr>
                <w:sz w:val="20"/>
                <w:szCs w:val="20"/>
                <w:color w:val="auto"/>
              </w:rPr>
            </w:pPr>
            <w:r>
              <w:rPr>
                <w:rFonts w:ascii="Arial" w:cs="Arial" w:eastAsia="Arial" w:hAnsi="Arial"/>
                <w:sz w:val="20"/>
                <w:szCs w:val="20"/>
                <w:color w:val="auto"/>
                <w:w w:val="98"/>
              </w:rPr>
              <w:t>(III) in the case of a Foreign Lender claiming the benefits of the exemption for portfolio</w:t>
            </w:r>
          </w:p>
        </w:tc>
      </w:tr>
      <w:tr>
        <w:trPr>
          <w:trHeight w:val="225"/>
        </w:trPr>
        <w:tc>
          <w:tcPr>
            <w:tcW w:w="1320" w:type="dxa"/>
            <w:vAlign w:val="bottom"/>
          </w:tcPr>
          <w:p>
            <w:pPr>
              <w:spacing w:after="0"/>
              <w:rPr>
                <w:sz w:val="19"/>
                <w:szCs w:val="19"/>
                <w:color w:val="auto"/>
              </w:rPr>
            </w:pPr>
          </w:p>
        </w:tc>
        <w:tc>
          <w:tcPr>
            <w:tcW w:w="9920" w:type="dxa"/>
            <w:vAlign w:val="bottom"/>
            <w:gridSpan w:val="10"/>
          </w:tcPr>
          <w:p>
            <w:pPr>
              <w:ind w:left="180"/>
              <w:spacing w:after="0" w:line="226" w:lineRule="exact"/>
              <w:rPr>
                <w:sz w:val="20"/>
                <w:szCs w:val="20"/>
                <w:color w:val="auto"/>
              </w:rPr>
            </w:pPr>
            <w:r>
              <w:rPr>
                <w:rFonts w:ascii="Arial" w:cs="Arial" w:eastAsia="Arial" w:hAnsi="Arial"/>
                <w:sz w:val="20"/>
                <w:szCs w:val="20"/>
                <w:color w:val="auto"/>
                <w:w w:val="92"/>
              </w:rPr>
              <w:t>interest under Section 881(c) of the Code, (x) a certificate substantially in the form of Exhibit G-1 to the effect that such</w:t>
            </w:r>
          </w:p>
        </w:tc>
      </w:tr>
      <w:tr>
        <w:trPr>
          <w:trHeight w:val="20"/>
        </w:trPr>
        <w:tc>
          <w:tcPr>
            <w:tcW w:w="1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5"/>
        </w:trPr>
        <w:tc>
          <w:tcPr>
            <w:tcW w:w="1320" w:type="dxa"/>
            <w:vAlign w:val="bottom"/>
          </w:tcPr>
          <w:p>
            <w:pPr>
              <w:spacing w:after="0"/>
              <w:rPr>
                <w:sz w:val="24"/>
                <w:szCs w:val="24"/>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1"/>
              </w:rPr>
              <w:t>Foreign Lender is not a “bank” within the meaning of Section 881(c)(3)(A) of the Code, a “10 percent shareholder” of the</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5"/>
              </w:rPr>
              <w:t>Borrowers within the meaning of Section 881(c)(3)(B) of the Code, or a “controlled foreign corporation” described in</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2"/>
              </w:rPr>
              <w:t>Section 881(c)(3)(C) of the Code (a “U.S. Tax Compliance Certificate”) and (y) executed originals of IRS Form W-8BEN</w:t>
            </w:r>
          </w:p>
        </w:tc>
      </w:tr>
      <w:tr>
        <w:trPr>
          <w:trHeight w:val="270"/>
        </w:trPr>
        <w:tc>
          <w:tcPr>
            <w:tcW w:w="1320" w:type="dxa"/>
            <w:vAlign w:val="bottom"/>
          </w:tcPr>
          <w:p>
            <w:pPr>
              <w:spacing w:after="0"/>
              <w:rPr>
                <w:sz w:val="23"/>
                <w:szCs w:val="23"/>
                <w:color w:val="auto"/>
              </w:rPr>
            </w:pPr>
          </w:p>
        </w:tc>
        <w:tc>
          <w:tcPr>
            <w:tcW w:w="5180" w:type="dxa"/>
            <w:vAlign w:val="bottom"/>
            <w:gridSpan w:val="3"/>
          </w:tcPr>
          <w:p>
            <w:pPr>
              <w:ind w:left="180"/>
              <w:spacing w:after="0"/>
              <w:rPr>
                <w:sz w:val="20"/>
                <w:szCs w:val="20"/>
                <w:color w:val="auto"/>
              </w:rPr>
            </w:pPr>
            <w:r>
              <w:rPr>
                <w:rFonts w:ascii="Arial" w:cs="Arial" w:eastAsia="Arial" w:hAnsi="Arial"/>
                <w:sz w:val="20"/>
                <w:szCs w:val="20"/>
                <w:color w:val="auto"/>
              </w:rPr>
              <w:t>or W8BEN-E, as applicable; or</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405"/>
        </w:trPr>
        <w:tc>
          <w:tcPr>
            <w:tcW w:w="1320" w:type="dxa"/>
            <w:vAlign w:val="bottom"/>
          </w:tcPr>
          <w:p>
            <w:pPr>
              <w:spacing w:after="0"/>
              <w:rPr>
                <w:sz w:val="24"/>
                <w:szCs w:val="24"/>
                <w:color w:val="auto"/>
              </w:rPr>
            </w:pPr>
          </w:p>
        </w:tc>
        <w:tc>
          <w:tcPr>
            <w:tcW w:w="9920" w:type="dxa"/>
            <w:vAlign w:val="bottom"/>
            <w:gridSpan w:val="10"/>
          </w:tcPr>
          <w:p>
            <w:pPr>
              <w:ind w:left="2440"/>
              <w:spacing w:after="0"/>
              <w:rPr>
                <w:sz w:val="20"/>
                <w:szCs w:val="20"/>
                <w:color w:val="auto"/>
              </w:rPr>
            </w:pPr>
            <w:r>
              <w:rPr>
                <w:rFonts w:ascii="Arial" w:cs="Arial" w:eastAsia="Arial" w:hAnsi="Arial"/>
                <w:sz w:val="20"/>
                <w:szCs w:val="20"/>
                <w:color w:val="auto"/>
                <w:w w:val="96"/>
              </w:rPr>
              <w:t>(IV) to the extent a Foreign Lender is not the beneficial owner, executed originals of IRS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9"/>
              </w:rPr>
              <w:t>Form W-8IMY, accompanied by IRS Form W-8ECI, IRS Form W-8BEN or W8BEN-E, as applicable, a U.S. Tax</w:t>
            </w:r>
          </w:p>
        </w:tc>
      </w:tr>
      <w:tr>
        <w:trPr>
          <w:trHeight w:val="225"/>
        </w:trPr>
        <w:tc>
          <w:tcPr>
            <w:tcW w:w="1320" w:type="dxa"/>
            <w:vAlign w:val="bottom"/>
          </w:tcPr>
          <w:p>
            <w:pPr>
              <w:spacing w:after="0"/>
              <w:rPr>
                <w:sz w:val="19"/>
                <w:szCs w:val="19"/>
                <w:color w:val="auto"/>
              </w:rPr>
            </w:pPr>
          </w:p>
        </w:tc>
        <w:tc>
          <w:tcPr>
            <w:tcW w:w="9920" w:type="dxa"/>
            <w:vAlign w:val="bottom"/>
            <w:gridSpan w:val="10"/>
          </w:tcPr>
          <w:p>
            <w:pPr>
              <w:ind w:left="180"/>
              <w:spacing w:after="0" w:line="226" w:lineRule="exact"/>
              <w:rPr>
                <w:sz w:val="20"/>
                <w:szCs w:val="20"/>
                <w:color w:val="auto"/>
              </w:rPr>
            </w:pPr>
            <w:r>
              <w:rPr>
                <w:rFonts w:ascii="Arial" w:cs="Arial" w:eastAsia="Arial" w:hAnsi="Arial"/>
                <w:sz w:val="20"/>
                <w:szCs w:val="20"/>
                <w:color w:val="auto"/>
                <w:w w:val="93"/>
              </w:rPr>
              <w:t>Compliance Certificate substantially in the form of Exhibit G-2 or Exhibit G-3, IRS Form W-9, and/or other certification</w:t>
            </w:r>
          </w:p>
        </w:tc>
      </w:tr>
      <w:tr>
        <w:trPr>
          <w:trHeight w:val="20"/>
        </w:trPr>
        <w:tc>
          <w:tcPr>
            <w:tcW w:w="13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89"/>
              </w:rPr>
              <w:t>documents from each beneficial owner, as applicable; provided that if the Foreign Lender is a partnership and one or more</w:t>
            </w:r>
          </w:p>
        </w:tc>
      </w:tr>
      <w:tr>
        <w:trPr>
          <w:trHeight w:val="20"/>
        </w:trPr>
        <w:tc>
          <w:tcPr>
            <w:tcW w:w="13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294"/>
        </w:trPr>
        <w:tc>
          <w:tcPr>
            <w:tcW w:w="1320" w:type="dxa"/>
            <w:vAlign w:val="bottom"/>
          </w:tcPr>
          <w:p>
            <w:pPr>
              <w:spacing w:after="0"/>
              <w:rPr>
                <w:sz w:val="24"/>
                <w:szCs w:val="24"/>
                <w:color w:val="auto"/>
              </w:rPr>
            </w:pPr>
          </w:p>
        </w:tc>
        <w:tc>
          <w:tcPr>
            <w:tcW w:w="9920" w:type="dxa"/>
            <w:vAlign w:val="bottom"/>
            <w:gridSpan w:val="10"/>
          </w:tcPr>
          <w:p>
            <w:pPr>
              <w:ind w:left="180"/>
              <w:spacing w:after="0"/>
              <w:rPr>
                <w:sz w:val="20"/>
                <w:szCs w:val="20"/>
                <w:color w:val="auto"/>
              </w:rPr>
            </w:pPr>
            <w:r>
              <w:rPr>
                <w:rFonts w:ascii="Arial" w:cs="Arial" w:eastAsia="Arial" w:hAnsi="Arial"/>
                <w:sz w:val="20"/>
                <w:szCs w:val="20"/>
                <w:color w:val="auto"/>
                <w:w w:val="91"/>
              </w:rPr>
              <w:t>direct or indirect partners of such Foreign Lender are claiming the portfolio interest exemption, such Foreign Lender may</w:t>
            </w:r>
          </w:p>
        </w:tc>
      </w:tr>
      <w:tr>
        <w:trPr>
          <w:trHeight w:val="226"/>
        </w:trPr>
        <w:tc>
          <w:tcPr>
            <w:tcW w:w="1320" w:type="dxa"/>
            <w:vAlign w:val="bottom"/>
          </w:tcPr>
          <w:p>
            <w:pPr>
              <w:spacing w:after="0"/>
              <w:rPr>
                <w:sz w:val="19"/>
                <w:szCs w:val="19"/>
                <w:color w:val="auto"/>
              </w:rPr>
            </w:pPr>
          </w:p>
        </w:tc>
        <w:tc>
          <w:tcPr>
            <w:tcW w:w="9920" w:type="dxa"/>
            <w:vAlign w:val="bottom"/>
            <w:gridSpan w:val="10"/>
          </w:tcPr>
          <w:p>
            <w:pPr>
              <w:ind w:left="180"/>
              <w:spacing w:after="0" w:line="226" w:lineRule="exact"/>
              <w:rPr>
                <w:sz w:val="20"/>
                <w:szCs w:val="20"/>
                <w:color w:val="auto"/>
              </w:rPr>
            </w:pPr>
            <w:r>
              <w:rPr>
                <w:rFonts w:ascii="Arial" w:cs="Arial" w:eastAsia="Arial" w:hAnsi="Arial"/>
                <w:sz w:val="20"/>
                <w:szCs w:val="20"/>
                <w:color w:val="auto"/>
                <w:w w:val="95"/>
              </w:rPr>
              <w:t>provide a U.S. Tax Compliance Certificate substantially in the form of Exhibit G-4 on behalf of each such direct and</w:t>
            </w:r>
          </w:p>
        </w:tc>
      </w:tr>
      <w:tr>
        <w:trPr>
          <w:trHeight w:val="294"/>
        </w:trPr>
        <w:tc>
          <w:tcPr>
            <w:tcW w:w="1320" w:type="dxa"/>
            <w:vAlign w:val="bottom"/>
          </w:tcPr>
          <w:p>
            <w:pPr>
              <w:spacing w:after="0"/>
              <w:rPr>
                <w:sz w:val="24"/>
                <w:szCs w:val="24"/>
                <w:color w:val="auto"/>
              </w:rPr>
            </w:pPr>
          </w:p>
        </w:tc>
        <w:tc>
          <w:tcPr>
            <w:tcW w:w="5180" w:type="dxa"/>
            <w:vAlign w:val="bottom"/>
            <w:gridSpan w:val="3"/>
          </w:tcPr>
          <w:p>
            <w:pPr>
              <w:ind w:left="180"/>
              <w:spacing w:after="0"/>
              <w:rPr>
                <w:sz w:val="20"/>
                <w:szCs w:val="20"/>
                <w:color w:val="auto"/>
              </w:rPr>
            </w:pPr>
            <w:r>
              <w:rPr>
                <w:rFonts w:ascii="Arial" w:cs="Arial" w:eastAsia="Arial" w:hAnsi="Arial"/>
                <w:sz w:val="20"/>
                <w:szCs w:val="20"/>
                <w:color w:val="auto"/>
              </w:rPr>
              <w:t>indirect partner;</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19"/>
        </w:trPr>
        <w:tc>
          <w:tcPr>
            <w:tcW w:w="13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20"/>
                <w:szCs w:val="20"/>
                <w:color w:val="auto"/>
              </w:rPr>
              <w:t>(C)</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gridSpan w:val="5"/>
          </w:tcPr>
          <w:p>
            <w:pPr>
              <w:ind w:left="160"/>
              <w:spacing w:after="0"/>
              <w:rPr>
                <w:sz w:val="20"/>
                <w:szCs w:val="20"/>
                <w:color w:val="auto"/>
              </w:rPr>
            </w:pPr>
            <w:r>
              <w:rPr>
                <w:rFonts w:ascii="Arial" w:cs="Arial" w:eastAsia="Arial" w:hAnsi="Arial"/>
                <w:sz w:val="20"/>
                <w:szCs w:val="20"/>
                <w:color w:val="auto"/>
              </w:rPr>
              <w:t>any Foreign Lender shall, to the extent it is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4"/>
              </w:rPr>
              <w:t>legally entitled to do so, deliver to the Lead Borrower and the Agent (in such number of copies as</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1"/>
              </w:rPr>
              <w:t>shall be requested by the recipient) on or prior to the date on which such Foreign Lender becomes a</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3"/>
              </w:rPr>
              <w:t>Lender under this Agreement (and from time to time thereafter upon the reasonable request of the</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1"/>
              </w:rPr>
              <w:t>Lead Borrower or the Agent), executed originals of any other form prescribed by applicable Law as a</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w w:val="95"/>
              </w:rPr>
              <w:t>basis for claiming exemption from or a reduction in U.S. federal withholding Tax, duly completed,</w:t>
            </w:r>
          </w:p>
        </w:tc>
      </w:tr>
      <w:tr>
        <w:trPr>
          <w:trHeight w:val="270"/>
        </w:trPr>
        <w:tc>
          <w:tcPr>
            <w:tcW w:w="1320" w:type="dxa"/>
            <w:vAlign w:val="bottom"/>
          </w:tcPr>
          <w:p>
            <w:pPr>
              <w:spacing w:after="0"/>
              <w:rPr>
                <w:sz w:val="23"/>
                <w:szCs w:val="23"/>
                <w:color w:val="auto"/>
              </w:rPr>
            </w:pPr>
          </w:p>
        </w:tc>
        <w:tc>
          <w:tcPr>
            <w:tcW w:w="9920" w:type="dxa"/>
            <w:vAlign w:val="bottom"/>
            <w:gridSpan w:val="10"/>
          </w:tcPr>
          <w:p>
            <w:pPr>
              <w:ind w:left="1780"/>
              <w:spacing w:after="0"/>
              <w:rPr>
                <w:sz w:val="20"/>
                <w:szCs w:val="20"/>
                <w:color w:val="auto"/>
              </w:rPr>
            </w:pPr>
            <w:r>
              <w:rPr>
                <w:rFonts w:ascii="Arial" w:cs="Arial" w:eastAsia="Arial" w:hAnsi="Arial"/>
                <w:sz w:val="20"/>
                <w:szCs w:val="20"/>
                <w:color w:val="auto"/>
              </w:rPr>
              <w:t>together with such supplementary documentation as may be prescribed by</w:t>
            </w:r>
          </w:p>
        </w:tc>
      </w:tr>
      <w:tr>
        <w:trPr>
          <w:trHeight w:val="551"/>
        </w:trPr>
        <w:tc>
          <w:tcPr>
            <w:tcW w:w="132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4480" w:type="dxa"/>
            <w:vAlign w:val="bottom"/>
            <w:gridSpan w:val="2"/>
          </w:tcPr>
          <w:p>
            <w:pPr>
              <w:ind w:left="4140"/>
              <w:spacing w:after="0"/>
              <w:rPr>
                <w:sz w:val="20"/>
                <w:szCs w:val="20"/>
                <w:color w:val="auto"/>
              </w:rPr>
            </w:pPr>
            <w:r>
              <w:rPr>
                <w:rFonts w:ascii="Arial" w:cs="Arial" w:eastAsia="Arial" w:hAnsi="Arial"/>
                <w:sz w:val="20"/>
                <w:szCs w:val="20"/>
                <w:color w:val="auto"/>
                <w:w w:val="89"/>
              </w:rPr>
              <w:t>-91-</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83"/>
        </w:trPr>
        <w:tc>
          <w:tcPr>
            <w:tcW w:w="13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95" w:name="page96"/>
    <w:bookmarkEnd w:id="95"/>
    <w:p>
      <w:pPr>
        <w:ind w:left="3080" w:right="180"/>
        <w:spacing w:after="0" w:line="303" w:lineRule="auto"/>
        <w:rPr>
          <w:sz w:val="20"/>
          <w:szCs w:val="20"/>
          <w:color w:val="auto"/>
        </w:rPr>
      </w:pPr>
      <w:r>
        <w:rPr>
          <w:rFonts w:ascii="Arial" w:cs="Arial" w:eastAsia="Arial" w:hAnsi="Arial"/>
          <w:sz w:val="20"/>
          <w:szCs w:val="20"/>
          <w:color w:val="auto"/>
        </w:rPr>
        <w:t>applicable Law to permit the Lead Borrower or the Agent to determine the withholding or deduction required to be made; and</w:t>
      </w:r>
    </w:p>
    <w:p>
      <w:pPr>
        <w:spacing w:after="0" w:line="108" w:lineRule="exact"/>
        <w:rPr>
          <w:sz w:val="20"/>
          <w:szCs w:val="20"/>
          <w:color w:val="auto"/>
        </w:rPr>
      </w:pPr>
    </w:p>
    <w:p>
      <w:pPr>
        <w:ind w:left="3080" w:firstLine="2782"/>
        <w:spacing w:after="0" w:line="317" w:lineRule="auto"/>
        <w:rPr>
          <w:sz w:val="20"/>
          <w:szCs w:val="20"/>
          <w:color w:val="auto"/>
        </w:rPr>
      </w:pPr>
      <w:r>
        <w:rPr>
          <w:rFonts w:ascii="Arial" w:cs="Arial" w:eastAsia="Arial" w:hAnsi="Arial"/>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Lead Borrower and the Agent at the time or times prescribed by law and at such time or times reasonably requested by the Lead Borrower or the Agent such documentation prescribed by applicable Law (including as prescribed by Section 1471(b)(3)(C)(i) of the Code) and such additional documentation reasonably requested by the Lead Borrower or the Agent as may be necessary for the Lead Borrower and the Agent, as applicable,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94" w:lineRule="exact"/>
        <w:rPr>
          <w:sz w:val="20"/>
          <w:szCs w:val="20"/>
          <w:color w:val="auto"/>
        </w:rPr>
      </w:pPr>
    </w:p>
    <w:p>
      <w:pPr>
        <w:ind w:left="2320" w:right="220" w:firstLine="2024"/>
        <w:spacing w:after="0" w:line="288" w:lineRule="auto"/>
        <w:rPr>
          <w:sz w:val="20"/>
          <w:szCs w:val="20"/>
          <w:color w:val="auto"/>
        </w:rPr>
      </w:pPr>
      <w:r>
        <w:rPr>
          <w:rFonts w:ascii="Arial" w:cs="Arial" w:eastAsia="Arial" w:hAnsi="Arial"/>
          <w:sz w:val="20"/>
          <w:szCs w:val="20"/>
          <w:color w:val="auto"/>
        </w:rPr>
        <w:t xml:space="preserve">(iii) 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Lead Borrower and the Agent, in writing of its legal inability to do so.</w:t>
      </w:r>
    </w:p>
    <w:p>
      <w:pPr>
        <w:spacing w:after="0" w:line="125" w:lineRule="exact"/>
        <w:rPr>
          <w:sz w:val="20"/>
          <w:szCs w:val="20"/>
          <w:color w:val="auto"/>
        </w:rPr>
      </w:pPr>
    </w:p>
    <w:p>
      <w:pPr>
        <w:ind w:left="280" w:hanging="197"/>
        <w:spacing w:after="0" w:line="316" w:lineRule="auto"/>
        <w:rPr>
          <w:sz w:val="20"/>
          <w:szCs w:val="20"/>
          <w:color w:val="auto"/>
        </w:rPr>
      </w:pPr>
      <w:r>
        <w:rPr>
          <w:rFonts w:ascii="Arial" w:cs="Arial" w:eastAsia="Arial" w:hAnsi="Arial"/>
          <w:sz w:val="18"/>
          <w:szCs w:val="18"/>
          <w:color w:val="auto"/>
        </w:rPr>
        <w:t>(f)</w:t>
      </w: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230"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96" w:name="page97"/>
    <w:bookmarkEnd w:id="96"/>
    <w:p>
      <w:pPr>
        <w:ind w:left="340" w:right="100" w:hanging="230"/>
        <w:spacing w:after="0" w:line="292" w:lineRule="auto"/>
        <w:rPr>
          <w:sz w:val="20"/>
          <w:szCs w:val="20"/>
          <w:color w:val="auto"/>
        </w:rPr>
      </w:pPr>
      <w:r>
        <w:rPr>
          <w:rFonts w:ascii="Arial" w:cs="Arial" w:eastAsia="Arial" w:hAnsi="Arial"/>
          <w:sz w:val="20"/>
          <w:szCs w:val="20"/>
          <w:color w:val="auto"/>
        </w:rPr>
        <w:t>(g)</w:t>
      </w:r>
      <w:r>
        <w:rPr>
          <w:rFonts w:ascii="Arial" w:cs="Arial" w:eastAsia="Arial" w:hAnsi="Arial"/>
          <w:sz w:val="20"/>
          <w:szCs w:val="20"/>
          <w:u w:val="single" w:color="auto"/>
          <w:color w:val="auto"/>
        </w:rPr>
        <w:t>FATCA</w:t>
      </w:r>
      <w:r>
        <w:rPr>
          <w:rFonts w:ascii="Arial" w:cs="Arial" w:eastAsia="Arial" w:hAnsi="Arial"/>
          <w:sz w:val="20"/>
          <w:szCs w:val="20"/>
          <w:color w:val="auto"/>
        </w:rPr>
        <w:t>. For purposes of determining withholding Taxes imposed under FATCA, from and after the effective date of this Agreement, the Borrowers, and the Agent shall treat (and the Lenders hereby authorize the Agent to treat) this Agreement as not qualifying as a “grandfathered obligation” within the meaning of Treasury Regulation Section 1.1471-2(b)(2)(i).</w:t>
      </w:r>
    </w:p>
    <w:p>
      <w:pPr>
        <w:spacing w:after="0" w:line="119" w:lineRule="exact"/>
        <w:rPr>
          <w:sz w:val="20"/>
          <w:szCs w:val="20"/>
          <w:color w:val="auto"/>
        </w:rPr>
      </w:pPr>
    </w:p>
    <w:p>
      <w:pPr>
        <w:ind w:left="340" w:right="60" w:hanging="230"/>
        <w:spacing w:after="0" w:line="292" w:lineRule="auto"/>
        <w:rPr>
          <w:sz w:val="20"/>
          <w:szCs w:val="20"/>
          <w:color w:val="auto"/>
        </w:rPr>
      </w:pPr>
      <w:r>
        <w:rPr>
          <w:rFonts w:ascii="Arial" w:cs="Arial" w:eastAsia="Arial" w:hAnsi="Arial"/>
          <w:sz w:val="20"/>
          <w:szCs w:val="20"/>
          <w:color w:val="auto"/>
        </w:rPr>
        <w:t>(h)</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Agent or any assignment of rights by, or the replacement of, a Lender or the L/C Issuer, the termination of the Commitments and the repayment, satisfaction or discharge of all other Obligations.</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3.02 Illegality</w:t>
      </w:r>
    </w:p>
    <w:p>
      <w:pPr>
        <w:spacing w:after="0" w:line="195" w:lineRule="exact"/>
        <w:rPr>
          <w:sz w:val="20"/>
          <w:szCs w:val="20"/>
          <w:color w:val="auto"/>
        </w:rPr>
      </w:pPr>
    </w:p>
    <w:p>
      <w:pPr>
        <w:ind w:firstLine="8"/>
        <w:spacing w:after="0" w:line="315" w:lineRule="auto"/>
        <w:tabs>
          <w:tab w:leader="none" w:pos="1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Subject to the provisions set forth in </w:t>
      </w:r>
      <w:r>
        <w:rPr>
          <w:rFonts w:ascii="Arial" w:cs="Arial" w:eastAsia="Arial" w:hAnsi="Arial"/>
          <w:sz w:val="18"/>
          <w:szCs w:val="18"/>
          <w:u w:val="single" w:color="auto"/>
          <w:color w:val="auto"/>
        </w:rPr>
        <w:t>Section 3.03(a)(i)</w:t>
      </w:r>
      <w:r>
        <w:rPr>
          <w:rFonts w:ascii="Arial" w:cs="Arial" w:eastAsia="Arial" w:hAnsi="Arial"/>
          <w:sz w:val="18"/>
          <w:szCs w:val="18"/>
          <w:color w:val="auto"/>
        </w:rPr>
        <w:t xml:space="preserve"> below, if any Lender determines that any Law has made it unlawful, or that any Governmental Authority has asserted that it is unlawful, for any Lender or its applicable Lending Office to make, maintain or fund LIBOR Rate Loans, or to determine or charge interest rates based upon the LIBOR Rate, or any Governmental Authority has imposed material restrictions on the authority of such Lender to purchase or sell, or to take deposits of, Dollars in the London interbank market, then, on notice thereof by such Lender to the Lead Borrower through the Agent, (i) any obligation of such Lender to make or continue LIBOR Rate Loans or to Convert Base Rate Loans to LIBOR Rate Loans shall be suspended, and (ii) if such notice asserts the illegality of such Lender making or maintaining Base Rate Loans the interest rate on which is determined by reference to the LIBOR Rate component of the Base Rate, the interest rate on which Base Rate Loans of such Lender shall, if necessary to avoid such illegality, be determined by the Agent without reference to the LIBOR Rate component of the Base Rate, in each case, until such Lender notifies the Agent and the Lead Borrower that the circumstances giving rise to such determination no longer exist. Upon receipt of such notice, (x) the Borrowers shall, upon demand from such Lender (with a copy to the Agent), prepay or, if applicable, Convert all LIBOR Rate Loans of such Lender to Base Rate Loans (the interest rate on which Base Rate Loans of such Lender shall, if necessary to avoid such illegality, be determined by the Agent without reference to the LIBOR Rate component of the Base Rate), either on the last day of the Interest Period therefor, if such Lender may lawfully continue to maintain such LIBOR Rate Loans to such day, or immediately, if such Lender may not lawfully continue to maintain such LIBOR Rate Loans and (y) if such notice asserts the illegality of such Lender determining or charging interest rates based upon the LIBOR Rate, the Agent shall during the period of such suspension compute the Base Rate applicable to such Lender without reference to the LIBOR Rate component thereof until the Agent is advised in writing by such Lender that it is no longer illegal for such Lender to determine or charge interest rates based upon the LIBOR Rate. Upon any such prepayment or Conversion, the Borrowers shall also pay accrued interest on the amount so prepaid or Converted.</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3.03 Inability to Determine Rates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Temporary Unavailability of LIBOR Rate</w:t>
      </w:r>
      <w:r>
        <w:rPr>
          <w:rFonts w:ascii="Arial" w:cs="Arial" w:eastAsia="Arial" w:hAnsi="Arial"/>
          <w:sz w:val="20"/>
          <w:szCs w:val="20"/>
          <w:color w:val="auto"/>
        </w:rPr>
        <w:t>. If prior to the commencement of any Interest Period for a LIBOR Borrowing:</w:t>
      </w:r>
    </w:p>
    <w:p>
      <w:pPr>
        <w:spacing w:after="0" w:line="189" w:lineRule="exact"/>
        <w:rPr>
          <w:sz w:val="20"/>
          <w:szCs w:val="20"/>
          <w:color w:val="auto"/>
        </w:rPr>
      </w:pPr>
    </w:p>
    <w:p>
      <w:pPr>
        <w:ind w:left="2340" w:right="240" w:firstLine="1351"/>
        <w:spacing w:after="0" w:line="292" w:lineRule="auto"/>
        <w:tabs>
          <w:tab w:leader="none" w:pos="513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Agent determines (which determination shall be conclusive absent manifest error) that adequate and reasonable means do not exist for ascertaining the Adjusted LIBOR Rate or the LIBOR Rate, as applicable, for such Interest Period; or</w:t>
      </w:r>
    </w:p>
    <w:p>
      <w:pPr>
        <w:spacing w:after="0" w:line="22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97" w:name="page98"/>
    <w:bookmarkEnd w:id="97"/>
    <w:p>
      <w:pPr>
        <w:jc w:val="both"/>
        <w:ind w:left="2340" w:right="60" w:firstLine="1305"/>
        <w:spacing w:after="0" w:line="292" w:lineRule="auto"/>
        <w:tabs>
          <w:tab w:leader="none" w:pos="5134"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Agent is advised by Required Lenders that the Adjusted LIBOR Rate or the LIBOR Rate, as applicable, for such Interest Period will not adequately and fairly reflect the cost of making or maintaining their Loans included in such Borrowing for such Interest Period,</w:t>
      </w:r>
    </w:p>
    <w:p>
      <w:pPr>
        <w:spacing w:after="0" w:line="119"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color w:val="auto"/>
        </w:rPr>
        <w:t>then the Agent shall give notice thereof to the Lead Borrower and Lenders as promptly as practicable thereafter and, until the Agent notifies the Lead Borrower and Lenders that the circumstances giving rise to such notice no longer exist, (x) any Committed Loan Notice that requests the conversion of any Borrowing to, or continuation of any Borrowing as, a LIBOR Borrowing shall be ineffective, and (y) if any request for a Credit Extension requests a LIBOR Borrowing, such Borrowing shall be made as an Base Rate Loan.</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189" w:lineRule="exact"/>
        <w:rPr>
          <w:sz w:val="20"/>
          <w:szCs w:val="20"/>
          <w:color w:val="auto"/>
        </w:rPr>
      </w:pPr>
    </w:p>
    <w:p>
      <w:pPr>
        <w:ind w:left="2340" w:firstLine="1351"/>
        <w:spacing w:after="0" w:line="316" w:lineRule="auto"/>
        <w:tabs>
          <w:tab w:leader="none" w:pos="513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Benchmark Replacement</w:t>
      </w:r>
      <w:r>
        <w:rPr>
          <w:rFonts w:ascii="Arial" w:cs="Arial" w:eastAsia="Arial" w:hAnsi="Arial"/>
          <w:sz w:val="18"/>
          <w:szCs w:val="18"/>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Lenders without any amendment to, or further action or consent of any other party to, this Agreement or any other Loan Document (other than Benchmark Replacement Conforming Changes made in accordance with clause (b) below) so long as the Agent has not received, by such time, written notice of objection to such Benchmark Replacement from Lenders comprising the Required Lenders.</w:t>
      </w:r>
    </w:p>
    <w:p>
      <w:pPr>
        <w:spacing w:after="0" w:line="108" w:lineRule="exact"/>
        <w:rPr>
          <w:rFonts w:ascii="Arial" w:cs="Arial" w:eastAsia="Arial" w:hAnsi="Arial"/>
          <w:sz w:val="18"/>
          <w:szCs w:val="18"/>
          <w:color w:val="auto"/>
        </w:rPr>
      </w:pPr>
    </w:p>
    <w:p>
      <w:pPr>
        <w:ind w:left="2340" w:right="160" w:firstLine="1305"/>
        <w:spacing w:after="0" w:line="286" w:lineRule="auto"/>
        <w:tabs>
          <w:tab w:leader="none" w:pos="513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10" w:lineRule="exact"/>
        <w:rPr>
          <w:rFonts w:ascii="Arial" w:cs="Arial" w:eastAsia="Arial" w:hAnsi="Arial"/>
          <w:sz w:val="20"/>
          <w:szCs w:val="20"/>
          <w:color w:val="auto"/>
        </w:rPr>
      </w:pPr>
    </w:p>
    <w:p>
      <w:pPr>
        <w:ind w:left="2340" w:right="80" w:firstLine="1259"/>
        <w:spacing w:after="0" w:line="286" w:lineRule="auto"/>
        <w:tabs>
          <w:tab w:leader="none" w:pos="5134"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The Agent will promptly notify the Lead Borrower and Lenders of (i) any occurrence of a Benchmark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w:t>
      </w:r>
    </w:p>
    <w:p>
      <w:pPr>
        <w:spacing w:after="0" w:line="24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98" w:name="page99"/>
    <w:bookmarkEnd w:id="98"/>
    <w:p>
      <w:pPr>
        <w:ind w:left="2320"/>
        <w:spacing w:after="0" w:line="301" w:lineRule="auto"/>
        <w:rPr>
          <w:sz w:val="20"/>
          <w:szCs w:val="20"/>
          <w:color w:val="auto"/>
        </w:rPr>
      </w:pPr>
      <w:r>
        <w:rPr>
          <w:rFonts w:ascii="Arial" w:cs="Arial" w:eastAsia="Arial" w:hAnsi="Arial"/>
          <w:sz w:val="19"/>
          <w:szCs w:val="19"/>
          <w:color w:val="auto"/>
        </w:rPr>
        <w:t>Benchmark Unavailability Period, provided that the failure to give such notice under this clause (v) shall not affect the commencement or conclusion of any Benchmark Unavailability Period. Any determination, decision or election that may be made by the Agent or, if applicable, any Lender (or group of Lenders) pursuant to this Section 3.03(b),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3.03(b).</w:t>
      </w:r>
    </w:p>
    <w:p>
      <w:pPr>
        <w:spacing w:after="0" w:line="116" w:lineRule="exact"/>
        <w:rPr>
          <w:sz w:val="20"/>
          <w:szCs w:val="20"/>
          <w:color w:val="auto"/>
        </w:rPr>
      </w:pPr>
    </w:p>
    <w:p>
      <w:pPr>
        <w:ind w:left="2320" w:firstLine="1268"/>
        <w:spacing w:after="0" w:line="299" w:lineRule="auto"/>
        <w:tabs>
          <w:tab w:leader="none" w:pos="511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04" w:lineRule="exact"/>
        <w:rPr>
          <w:rFonts w:ascii="Arial" w:cs="Arial" w:eastAsia="Arial" w:hAnsi="Arial"/>
          <w:sz w:val="19"/>
          <w:szCs w:val="19"/>
          <w:color w:val="auto"/>
        </w:rPr>
      </w:pPr>
    </w:p>
    <w:p>
      <w:pPr>
        <w:ind w:left="2320" w:right="100" w:firstLine="1314"/>
        <w:spacing w:after="0" w:line="362" w:lineRule="auto"/>
        <w:tabs>
          <w:tab w:leader="none" w:pos="511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Upon the commencement of a Benchmark Unavailability Period, the Lead Borrower may revoke any pending request for a Borrowing of, conversion to or continuation of any Loans to be made, converted or continued with respect to the then-current Benchmark during any Benchmark Unavailability Period and, failing that, each Borrower will be deemed to have converted any such request into a request for a Borrowing of or conversion to Base Rate Loans. During any Benchmark Unavailability Period or at any time that a tenor for the then-current Benchmark is not an Available Tenor, (i) the obligation of Lenders to make or maintain Loans with respect to such Benchmark shall be suspended, (ii) any request for a Borrowing of, conversion to or continuation of Loans with respect to such Benchmark shall be ineffective and will be deemed to have been a request for a Borrowing of or conversion to Base Rate Loans, and (iii) the component of the Base Rate based upon the then-current Benchmark or such tenor for such Benchmark, as applicable, will not be used in any determination of the Base Rate.</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3.04 Increased Costs; Reserves on LIBOR Rate Loans</w:t>
      </w:r>
      <w:r>
        <w:rPr>
          <w:rFonts w:ascii="Arial" w:cs="Arial" w:eastAsia="Arial" w:hAnsi="Arial"/>
          <w:sz w:val="20"/>
          <w:szCs w:val="20"/>
          <w:color w:val="auto"/>
        </w:rPr>
        <w:t>.</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75" w:lineRule="exact"/>
        <w:rPr>
          <w:sz w:val="20"/>
          <w:szCs w:val="20"/>
          <w:color w:val="auto"/>
        </w:rPr>
      </w:pPr>
    </w:p>
    <w:p>
      <w:pPr>
        <w:ind w:left="5120" w:hanging="1449"/>
        <w:spacing w:after="0"/>
        <w:tabs>
          <w:tab w:leader="none" w:pos="51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w:t>
      </w:r>
    </w:p>
    <w:p>
      <w:pPr>
        <w:spacing w:after="0" w:line="86" w:lineRule="exact"/>
        <w:rPr>
          <w:rFonts w:ascii="Arial" w:cs="Arial" w:eastAsia="Arial" w:hAnsi="Arial"/>
          <w:sz w:val="16"/>
          <w:szCs w:val="16"/>
          <w:color w:val="auto"/>
        </w:rPr>
      </w:pPr>
    </w:p>
    <w:p>
      <w:pPr>
        <w:ind w:left="2320"/>
        <w:spacing w:after="0"/>
        <w:rPr>
          <w:rFonts w:ascii="Arial" w:cs="Arial" w:eastAsia="Arial" w:hAnsi="Arial"/>
          <w:sz w:val="16"/>
          <w:szCs w:val="16"/>
          <w:color w:val="auto"/>
        </w:rPr>
      </w:pPr>
      <w:r>
        <w:rPr>
          <w:rFonts w:ascii="Arial" w:cs="Arial" w:eastAsia="Arial" w:hAnsi="Arial"/>
          <w:sz w:val="20"/>
          <w:szCs w:val="20"/>
          <w:color w:val="auto"/>
        </w:rPr>
        <w:t>loan, insurance charge or similar requirement against assets of, deposits with or for the</w:t>
      </w:r>
    </w:p>
    <w:p>
      <w:pPr>
        <w:spacing w:after="0" w:line="310" w:lineRule="exact"/>
        <w:rPr>
          <w:sz w:val="20"/>
          <w:szCs w:val="20"/>
          <w:color w:val="auto"/>
        </w:rPr>
      </w:pPr>
    </w:p>
    <w:p>
      <w:pPr>
        <w:spacing w:after="0"/>
        <w:tabs>
          <w:tab w:leader="none" w:pos="542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253365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99" w:name="page100"/>
    <w:bookmarkEnd w:id="99"/>
    <w:p>
      <w:pPr>
        <w:ind w:left="2340" w:right="60"/>
        <w:spacing w:after="0" w:line="303" w:lineRule="auto"/>
        <w:rPr>
          <w:sz w:val="20"/>
          <w:szCs w:val="20"/>
          <w:color w:val="auto"/>
        </w:rPr>
      </w:pPr>
      <w:r>
        <w:rPr>
          <w:rFonts w:ascii="Arial" w:cs="Arial" w:eastAsia="Arial" w:hAnsi="Arial"/>
          <w:sz w:val="20"/>
          <w:szCs w:val="20"/>
          <w:color w:val="auto"/>
        </w:rPr>
        <w:t>account of, or credit extended or participated in by, any Lender (except any reserve requirement reflected in the LIBOR Rate) or the L/C Issuer;</w:t>
      </w:r>
    </w:p>
    <w:p>
      <w:pPr>
        <w:spacing w:after="0" w:line="108" w:lineRule="exact"/>
        <w:rPr>
          <w:sz w:val="20"/>
          <w:szCs w:val="20"/>
          <w:color w:val="auto"/>
        </w:rPr>
      </w:pPr>
    </w:p>
    <w:p>
      <w:pPr>
        <w:ind w:left="2340" w:right="80" w:firstLine="1305"/>
        <w:spacing w:after="0" w:line="288" w:lineRule="auto"/>
        <w:tabs>
          <w:tab w:leader="none" w:pos="5134"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11" w:lineRule="exact"/>
        <w:rPr>
          <w:rFonts w:ascii="Arial" w:cs="Arial" w:eastAsia="Arial" w:hAnsi="Arial"/>
          <w:sz w:val="20"/>
          <w:szCs w:val="20"/>
          <w:color w:val="auto"/>
        </w:rPr>
      </w:pPr>
    </w:p>
    <w:p>
      <w:pPr>
        <w:jc w:val="both"/>
        <w:ind w:left="2340" w:right="20" w:firstLine="1259"/>
        <w:spacing w:after="0" w:line="292" w:lineRule="auto"/>
        <w:tabs>
          <w:tab w:leader="none" w:pos="5134" w:val="left"/>
        </w:tabs>
        <w:numPr>
          <w:ilvl w:val="0"/>
          <w:numId w:val="73"/>
        </w:numPr>
        <w:rPr>
          <w:rFonts w:ascii="Arial" w:cs="Arial" w:eastAsia="Arial" w:hAnsi="Arial"/>
          <w:sz w:val="20"/>
          <w:szCs w:val="20"/>
          <w:color w:val="auto"/>
        </w:rPr>
      </w:pPr>
      <w:r>
        <w:rPr>
          <w:rFonts w:ascii="Arial" w:cs="Arial" w:eastAsia="Arial" w:hAnsi="Arial"/>
          <w:sz w:val="20"/>
          <w:szCs w:val="20"/>
          <w:color w:val="auto"/>
        </w:rPr>
        <w:t>impose on any Lender or the L/C Issuer or the London interbank market any other condition, cost or expense affecting this Agreement or Loans made by such Lender or any Letter of Credit or participation therein;</w:t>
      </w:r>
    </w:p>
    <w:p>
      <w:pPr>
        <w:spacing w:after="0" w:line="119" w:lineRule="exact"/>
        <w:rPr>
          <w:sz w:val="20"/>
          <w:szCs w:val="20"/>
          <w:color w:val="auto"/>
        </w:rPr>
      </w:pPr>
    </w:p>
    <w:p>
      <w:pPr>
        <w:ind w:right="60"/>
        <w:spacing w:after="0" w:line="285"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LIBOR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Loan Parties will pay to such Lender or the L/C Issuer, as the case may be, such additional amount or amounts as will compensate such Lender or the L/C Issuer, as the case may be, for such additional costs incurred or reduction suffered.</w:t>
      </w:r>
    </w:p>
    <w:p>
      <w:pPr>
        <w:spacing w:after="0" w:line="127" w:lineRule="exact"/>
        <w:rPr>
          <w:sz w:val="20"/>
          <w:szCs w:val="20"/>
          <w:color w:val="auto"/>
        </w:rPr>
      </w:pPr>
    </w:p>
    <w:p>
      <w:pPr>
        <w:ind w:left="340" w:hanging="230"/>
        <w:spacing w:after="0" w:line="318"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or liquidity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Loan Parties will pay to such Lender or the L/C Issuer, as the case may be, such additional amount or amounts as will compensate such Lender or the L/C Issuer or such Lender’s or the L/C Issuer’s holding company for any such reduction suffered.</w:t>
      </w:r>
    </w:p>
    <w:p>
      <w:pPr>
        <w:spacing w:after="0" w:line="92" w:lineRule="exact"/>
        <w:rPr>
          <w:sz w:val="20"/>
          <w:szCs w:val="20"/>
          <w:color w:val="auto"/>
        </w:rPr>
      </w:pPr>
    </w:p>
    <w:p>
      <w:pPr>
        <w:ind w:left="320" w:right="40" w:hanging="219"/>
        <w:spacing w:after="0" w:line="329" w:lineRule="auto"/>
        <w:rPr>
          <w:sz w:val="20"/>
          <w:szCs w:val="20"/>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the Agent, any Lender, or the L/C Issuer setting forth the amount or amounts necessary to compensate such Lender or the L/C Issuer or its holding company, as the case may be, as specified in subsection (a) or (b) of this Section and delivered to the Lead Borrower shall be conclusive absent manifest error. The Loan Parties shall pay such Lender or the L/C Issuer, as the case may be, the amount shown as due on any such certificate within ten (10) days after receipt thereof.</w:t>
      </w:r>
    </w:p>
    <w:p>
      <w:pPr>
        <w:spacing w:after="0" w:line="94" w:lineRule="exact"/>
        <w:rPr>
          <w:sz w:val="20"/>
          <w:szCs w:val="20"/>
          <w:color w:val="auto"/>
        </w:rPr>
      </w:pPr>
    </w:p>
    <w:p>
      <w:pPr>
        <w:ind w:left="340" w:right="40" w:hanging="230"/>
        <w:spacing w:after="0" w:line="338"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shall not be required to compensate a Lender or the L/C Issuer pursuant to the foregoing provisions of this</w:t>
      </w:r>
    </w:p>
    <w:p>
      <w:pPr>
        <w:spacing w:after="0" w:line="20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00" w:name="page101"/>
    <w:bookmarkEnd w:id="100"/>
    <w:p>
      <w:pPr>
        <w:ind w:left="100"/>
        <w:spacing w:after="0" w:line="329" w:lineRule="auto"/>
        <w:rPr>
          <w:sz w:val="20"/>
          <w:szCs w:val="20"/>
          <w:color w:val="auto"/>
        </w:rPr>
      </w:pPr>
      <w:r>
        <w:rPr>
          <w:rFonts w:ascii="Arial" w:cs="Arial" w:eastAsia="Arial" w:hAnsi="Arial"/>
          <w:sz w:val="18"/>
          <w:szCs w:val="18"/>
          <w:color w:val="auto"/>
        </w:rPr>
        <w:t>Section for any increased costs incurred or reductions suffered more than nine months prior to the date that such Lender or the L/C Issuer, as the case may be, notifies the Lead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94" w:lineRule="exact"/>
        <w:rPr>
          <w:sz w:val="20"/>
          <w:szCs w:val="20"/>
          <w:color w:val="auto"/>
        </w:rPr>
      </w:pPr>
    </w:p>
    <w:p>
      <w:pPr>
        <w:ind w:left="320" w:right="20" w:hanging="219"/>
        <w:spacing w:after="0" w:line="284" w:lineRule="auto"/>
        <w:rPr>
          <w:sz w:val="20"/>
          <w:szCs w:val="20"/>
          <w:color w:val="auto"/>
        </w:rPr>
      </w:pPr>
      <w:r>
        <w:rPr>
          <w:rFonts w:ascii="Arial" w:cs="Arial" w:eastAsia="Arial" w:hAnsi="Arial"/>
          <w:sz w:val="20"/>
          <w:szCs w:val="20"/>
          <w:color w:val="auto"/>
        </w:rPr>
        <w:t>(e)</w:t>
      </w:r>
      <w:r>
        <w:rPr>
          <w:rFonts w:ascii="Arial" w:cs="Arial" w:eastAsia="Arial" w:hAnsi="Arial"/>
          <w:sz w:val="20"/>
          <w:szCs w:val="20"/>
          <w:u w:val="single" w:color="auto"/>
          <w:color w:val="auto"/>
        </w:rPr>
        <w:t>Reserves on LIBOR Rate Loans</w:t>
      </w:r>
      <w:r>
        <w:rPr>
          <w:rFonts w:ascii="Arial" w:cs="Arial" w:eastAsia="Arial" w:hAnsi="Arial"/>
          <w:sz w:val="20"/>
          <w:szCs w:val="20"/>
          <w:color w:val="auto"/>
        </w:rPr>
        <w:t xml:space="preserve">. The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LIBOR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Lead Borrower shall have received at least 10 days’ prior notice (with a copy to the Agent) of such additional interest from such Lender. If a Lender fails to give notice ten (10) days prior to the relevant Interest Payment Date, such additional interest shall be due and payable ten (10) days from receipt of such notice.</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3.05 Compensation for Losses</w:t>
      </w:r>
    </w:p>
    <w:p>
      <w:pPr>
        <w:spacing w:after="0" w:line="195" w:lineRule="exact"/>
        <w:rPr>
          <w:sz w:val="20"/>
          <w:szCs w:val="20"/>
          <w:color w:val="auto"/>
        </w:rPr>
      </w:pPr>
    </w:p>
    <w:p>
      <w:pPr>
        <w:ind w:right="180" w:firstLine="8"/>
        <w:spacing w:after="0" w:line="303" w:lineRule="auto"/>
        <w:tabs>
          <w:tab w:leader="none" w:pos="148" w:val="left"/>
        </w:tabs>
        <w:numPr>
          <w:ilvl w:val="0"/>
          <w:numId w:val="74"/>
        </w:numPr>
        <w:rPr>
          <w:rFonts w:ascii="Arial" w:cs="Arial" w:eastAsia="Arial" w:hAnsi="Arial"/>
          <w:sz w:val="20"/>
          <w:szCs w:val="20"/>
          <w:color w:val="auto"/>
        </w:rPr>
      </w:pPr>
      <w:r>
        <w:rPr>
          <w:rFonts w:ascii="Arial" w:cs="Arial" w:eastAsia="Arial" w:hAnsi="Arial"/>
          <w:sz w:val="20"/>
          <w:szCs w:val="20"/>
          <w:color w:val="auto"/>
        </w:rPr>
        <w:t>Upon demand of any Lender (with a copy to the Agent) from time to time, the Borrowers shall promptly compensate such Lender for and hold such Lender harmless from any loss, cost or expense incurred by it as a result of:</w:t>
      </w:r>
    </w:p>
    <w:p>
      <w:pPr>
        <w:spacing w:after="0" w:line="107" w:lineRule="exact"/>
        <w:rPr>
          <w:rFonts w:ascii="Arial" w:cs="Arial" w:eastAsia="Arial" w:hAnsi="Arial"/>
          <w:sz w:val="20"/>
          <w:szCs w:val="20"/>
          <w:color w:val="auto"/>
        </w:rPr>
      </w:pPr>
    </w:p>
    <w:p>
      <w:pPr>
        <w:jc w:val="both"/>
        <w:ind w:left="1600" w:right="240" w:firstLine="799"/>
        <w:spacing w:after="0" w:line="292" w:lineRule="auto"/>
        <w:tabs>
          <w:tab w:leader="none" w:pos="2997"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05" w:lineRule="exact"/>
        <w:rPr>
          <w:rFonts w:ascii="Arial" w:cs="Arial" w:eastAsia="Arial" w:hAnsi="Arial"/>
          <w:sz w:val="20"/>
          <w:szCs w:val="20"/>
          <w:color w:val="auto"/>
        </w:rPr>
      </w:pPr>
    </w:p>
    <w:p>
      <w:pPr>
        <w:ind w:left="1600" w:right="200" w:firstLine="799"/>
        <w:spacing w:after="0" w:line="292" w:lineRule="auto"/>
        <w:tabs>
          <w:tab w:leader="none" w:pos="2997"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any failure by the Borrowers (for a reason other than the failure of such Lender to make a Loan) to prepay, borrow, continue or Convert any Loan other than a Base Rate Loan on the date or in the amount notified by the Lead Borrower; or</w:t>
      </w:r>
    </w:p>
    <w:p>
      <w:pPr>
        <w:spacing w:after="0" w:line="119" w:lineRule="exact"/>
        <w:rPr>
          <w:rFonts w:ascii="Arial" w:cs="Arial" w:eastAsia="Arial" w:hAnsi="Arial"/>
          <w:sz w:val="20"/>
          <w:szCs w:val="20"/>
          <w:color w:val="auto"/>
        </w:rPr>
      </w:pPr>
    </w:p>
    <w:p>
      <w:pPr>
        <w:ind w:left="1600" w:right="20" w:firstLine="799"/>
        <w:spacing w:after="0" w:line="303" w:lineRule="auto"/>
        <w:tabs>
          <w:tab w:leader="none" w:pos="2997" w:val="left"/>
        </w:tabs>
        <w:numPr>
          <w:ilvl w:val="1"/>
          <w:numId w:val="74"/>
        </w:numPr>
        <w:rPr>
          <w:rFonts w:ascii="Arial" w:cs="Arial" w:eastAsia="Arial" w:hAnsi="Arial"/>
          <w:sz w:val="20"/>
          <w:szCs w:val="20"/>
          <w:color w:val="auto"/>
        </w:rPr>
      </w:pPr>
      <w:r>
        <w:rPr>
          <w:rFonts w:ascii="Arial" w:cs="Arial" w:eastAsia="Arial" w:hAnsi="Arial"/>
          <w:sz w:val="20"/>
          <w:szCs w:val="20"/>
          <w:color w:val="auto"/>
        </w:rPr>
        <w:t xml:space="preserve">any assignment of a LIBOR Rate Loan on a day other than the last day of the Interest Period therefor as a result of a request by the Lead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08"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w:t>
      </w:r>
    </w:p>
    <w:p>
      <w:pPr>
        <w:spacing w:after="0" w:line="106" w:lineRule="exact"/>
        <w:rPr>
          <w:sz w:val="20"/>
          <w:szCs w:val="20"/>
          <w:color w:val="auto"/>
        </w:rPr>
      </w:pPr>
    </w:p>
    <w:p>
      <w:pPr>
        <w:ind w:right="160"/>
        <w:spacing w:after="0" w:line="338" w:lineRule="auto"/>
        <w:rPr>
          <w:sz w:val="20"/>
          <w:szCs w:val="20"/>
          <w:color w:val="auto"/>
        </w:rPr>
      </w:pPr>
      <w:r>
        <w:rPr>
          <w:rFonts w:ascii="Arial" w:cs="Arial" w:eastAsia="Arial" w:hAnsi="Arial"/>
          <w:sz w:val="18"/>
          <w:szCs w:val="18"/>
          <w:color w:val="auto"/>
        </w:rPr>
        <w:t xml:space="preserve">For purposes of calculating amounts payable by the Borrowers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LIBOR Rate Loan made by it at the LIBOR Rate for such Loan by a matching deposit or other borrowing in the London interbank market for a comparable amount and for a comparable period, whether or not such LIBOR Rate Loan was in fact so funded.</w:t>
      </w:r>
    </w:p>
    <w:p>
      <w:pPr>
        <w:spacing w:after="0" w:line="205"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01" w:name="page102"/>
    <w:bookmarkEnd w:id="101"/>
    <w:p>
      <w:pPr>
        <w:ind w:left="832"/>
        <w:spacing w:after="0"/>
        <w:rPr>
          <w:sz w:val="20"/>
          <w:szCs w:val="20"/>
          <w:color w:val="auto"/>
        </w:rPr>
      </w:pPr>
      <w:r>
        <w:rPr>
          <w:rFonts w:ascii="Arial" w:cs="Arial" w:eastAsia="Arial" w:hAnsi="Arial"/>
          <w:sz w:val="20"/>
          <w:szCs w:val="20"/>
          <w:b w:val="1"/>
          <w:bCs w:val="1"/>
          <w:color w:val="auto"/>
        </w:rPr>
        <w:t>3.06 Mitigation Obligations; Replacement of Lenders</w:t>
      </w:r>
      <w:r>
        <w:rPr>
          <w:rFonts w:ascii="Arial" w:cs="Arial" w:eastAsia="Arial" w:hAnsi="Arial"/>
          <w:sz w:val="20"/>
          <w:szCs w:val="20"/>
          <w:color w:val="auto"/>
        </w:rPr>
        <w:t>.</w:t>
      </w:r>
    </w:p>
    <w:p>
      <w:pPr>
        <w:spacing w:after="0" w:line="195" w:lineRule="exact"/>
        <w:rPr>
          <w:sz w:val="20"/>
          <w:szCs w:val="20"/>
          <w:color w:val="auto"/>
        </w:rPr>
      </w:pPr>
    </w:p>
    <w:p>
      <w:pPr>
        <w:ind w:left="312" w:hanging="219"/>
        <w:spacing w:after="0" w:line="313"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Borrowers are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w:t>
      </w:r>
    </w:p>
    <w:p>
      <w:pPr>
        <w:ind w:left="312" w:right="40"/>
        <w:spacing w:after="0" w:line="288" w:lineRule="auto"/>
        <w:rPr>
          <w:sz w:val="20"/>
          <w:szCs w:val="20"/>
          <w:color w:val="auto"/>
        </w:rPr>
      </w:pPr>
      <w:r>
        <w:rPr>
          <w:rFonts w:ascii="Arial" w:cs="Arial" w:eastAsia="Arial" w:hAnsi="Arial"/>
          <w:sz w:val="20"/>
          <w:szCs w:val="20"/>
          <w:u w:val="single" w:color="auto"/>
          <w:color w:val="auto"/>
        </w:rPr>
        <w:t>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as the case may be, in the future, or eliminate the need for the notice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as applicable, and (ii) in each case,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11" w:lineRule="exact"/>
        <w:rPr>
          <w:sz w:val="20"/>
          <w:szCs w:val="20"/>
          <w:color w:val="auto"/>
        </w:rPr>
      </w:pPr>
    </w:p>
    <w:p>
      <w:pPr>
        <w:ind w:left="332" w:right="20" w:hanging="230"/>
        <w:spacing w:after="0" w:line="288"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Borrowers are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Borrowers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19"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3.07 Survival</w:t>
      </w:r>
    </w:p>
    <w:p>
      <w:pPr>
        <w:spacing w:after="0" w:line="195" w:lineRule="exact"/>
        <w:rPr>
          <w:sz w:val="20"/>
          <w:szCs w:val="20"/>
          <w:color w:val="auto"/>
        </w:rPr>
      </w:pPr>
    </w:p>
    <w:p>
      <w:pPr>
        <w:ind w:left="-8" w:right="160" w:firstLine="8"/>
        <w:spacing w:after="0" w:line="303" w:lineRule="auto"/>
        <w:tabs>
          <w:tab w:leader="none" w:pos="1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Revolving Commitments, repayment of all other Obligations hereunder, and resignation of the Agent.</w:t>
      </w:r>
    </w:p>
    <w:p>
      <w:pPr>
        <w:spacing w:after="0" w:line="88"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3.08 Designation of Lead Borrower as Borrowers’ Agent; Joint and Several Liability.</w:t>
      </w:r>
    </w:p>
    <w:p>
      <w:pPr>
        <w:spacing w:after="0" w:line="195" w:lineRule="exact"/>
        <w:rPr>
          <w:sz w:val="20"/>
          <w:szCs w:val="20"/>
          <w:color w:val="auto"/>
        </w:rPr>
      </w:pPr>
    </w:p>
    <w:p>
      <w:pPr>
        <w:ind w:left="312" w:right="80" w:hanging="219"/>
        <w:spacing w:after="0" w:line="302" w:lineRule="auto"/>
        <w:rPr>
          <w:sz w:val="20"/>
          <w:szCs w:val="20"/>
          <w:color w:val="auto"/>
        </w:rPr>
      </w:pPr>
      <w:r>
        <w:rPr>
          <w:rFonts w:ascii="Arial" w:cs="Arial" w:eastAsia="Arial" w:hAnsi="Arial"/>
          <w:sz w:val="19"/>
          <w:szCs w:val="19"/>
          <w:color w:val="auto"/>
        </w:rPr>
        <w:t>(a)Each Borrower hereby irrevocably designates and appoints the Lead Borrower as such Borrower’s agent to obtain Credit Extensions, the proceeds of which shall be available to each Borrower for such uses as are permitted under this Agreement. As the disclosed principal for its agent, each Borrower shall be obligated to each Credit Party on account of Credit Extensions so made as if made directly by the applicable Credit Party to such Borrower, notwithstanding the manner by which such Credit Extensions are recorded on the books and records of the Lead Borrower and of any other Borrower. In addition, each Loan Party other than the Borrowers hereby irrevocably designates and appoints the Lead Borrower as such Loan Party’s agent to represent such Loan Party in all respects under this Agreement and the other Loan Documents.</w:t>
      </w:r>
    </w:p>
    <w:p>
      <w:pPr>
        <w:spacing w:after="0" w:line="114" w:lineRule="exact"/>
        <w:rPr>
          <w:sz w:val="20"/>
          <w:szCs w:val="20"/>
          <w:color w:val="auto"/>
        </w:rPr>
      </w:pPr>
    </w:p>
    <w:p>
      <w:pPr>
        <w:ind w:left="332" w:right="60" w:hanging="230"/>
        <w:spacing w:after="0" w:line="320" w:lineRule="auto"/>
        <w:rPr>
          <w:sz w:val="20"/>
          <w:szCs w:val="20"/>
          <w:color w:val="auto"/>
        </w:rPr>
      </w:pPr>
      <w:r>
        <w:rPr>
          <w:rFonts w:ascii="Arial" w:cs="Arial" w:eastAsia="Arial" w:hAnsi="Arial"/>
          <w:sz w:val="18"/>
          <w:szCs w:val="18"/>
          <w:color w:val="auto"/>
        </w:rPr>
        <w:t>(b)Each Borrower recognizes that credit available to it hereunder is in excess of and on better terms than it otherwise could obtain on and for its own account and that one of the reasons therefor is its joining in the credit facility contemplated herein with all other Borrowers. Consequently, each Borrower shall have joint and several liability in respect of all Obligations, without regard to any defense (other than the defense of payment), setoff or counterclaim which may at any time be available to or be asserted by any other Loan Party against the Credit Parties, or by any other circumstance whatsoever (with or without notice to or knowledge of the Borrowers) which constitutes, or might be construed to constitute, an equitable or legal discharge of the Borrowers’ liability hereunder, in bankruptcy or in any other instance, and such Obligations of the Borrowers shall not be conditioned or contingent upon the pursuit by the Lenders or any other Person at any time of any right or remedy against any Borrower or against any other Person which may be or become liable in respect</w:t>
      </w:r>
    </w:p>
    <w:p>
      <w:pPr>
        <w:spacing w:after="0" w:line="209" w:lineRule="exact"/>
        <w:rPr>
          <w:sz w:val="20"/>
          <w:szCs w:val="20"/>
          <w:color w:val="auto"/>
        </w:rPr>
      </w:pPr>
    </w:p>
    <w:p>
      <w:pPr>
        <w:ind w:left="12"/>
        <w:spacing w:after="0"/>
        <w:tabs>
          <w:tab w:leader="none" w:pos="543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253365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0" w:right="359" w:bottom="1440" w:gutter="0" w:footer="0" w:header="0"/>
        </w:sectPr>
      </w:pPr>
    </w:p>
    <w:bookmarkStart w:id="102" w:name="page103"/>
    <w:bookmarkEnd w:id="102"/>
    <w:p>
      <w:pPr>
        <w:ind w:left="100"/>
        <w:spacing w:after="0" w:line="300" w:lineRule="auto"/>
        <w:rPr>
          <w:sz w:val="20"/>
          <w:szCs w:val="20"/>
          <w:color w:val="auto"/>
        </w:rPr>
      </w:pPr>
      <w:r>
        <w:rPr>
          <w:rFonts w:ascii="Arial" w:cs="Arial" w:eastAsia="Arial" w:hAnsi="Arial"/>
          <w:sz w:val="19"/>
          <w:szCs w:val="19"/>
          <w:color w:val="auto"/>
        </w:rPr>
        <w:t>of all or any part of the Obligations or against any Collateral or Facility Guaranty therefor or right of offset with respect thereto. Each Borrower hereby acknowledge that this Agreement is the independent and several obligation of each Borrower (regardless of which Borrower shall have delivered a Request for Credit Extension) and may be enforced against each Borrower separately, whether or not enforcement of any right or remedy hereunder has been sought against any other Borrower. Each Borrower hereby expressly waives, with respect to any of the Credit Extensions made to any other Borrower hereunder and any of the amounts owing hereunder by such other Loan Parties in respect of such Credit Extensions, diligence, presentment, demand of payment, protest and all notices whatsoever, and any requirement that the Agent, the L/C Issuer or any Lender exhaust any right, power or remedy or proceed against such other Loan Parties under this Agreement or any other agreement or instrument referred to herein or against any other Person under any other guarantee of, or security for, any of such amounts owing hereunder.</w:t>
      </w:r>
    </w:p>
    <w:p>
      <w:pPr>
        <w:spacing w:after="0" w:line="121" w:lineRule="exact"/>
        <w:rPr>
          <w:sz w:val="20"/>
          <w:szCs w:val="20"/>
          <w:color w:val="auto"/>
        </w:rPr>
      </w:pPr>
    </w:p>
    <w:p>
      <w:pPr>
        <w:ind w:left="320" w:right="100" w:hanging="219"/>
        <w:spacing w:after="0" w:line="292" w:lineRule="auto"/>
        <w:rPr>
          <w:sz w:val="20"/>
          <w:szCs w:val="20"/>
          <w:color w:val="auto"/>
        </w:rPr>
      </w:pPr>
      <w:r>
        <w:rPr>
          <w:rFonts w:ascii="Arial" w:cs="Arial" w:eastAsia="Arial" w:hAnsi="Arial"/>
          <w:sz w:val="20"/>
          <w:szCs w:val="20"/>
          <w:color w:val="auto"/>
        </w:rPr>
        <w:t>(c)The Lead Borrower shall act as a conduit for each Borrower (including itself, as a “Borrower”) on whose behalf the Lead Borrower has requested a Credit Extension. Neither the Agent nor any other Credit Party shall have any obligation to see to the application of such proceeds therefrom.</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IV</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4.01 Conditions of Effectiveness of this Agreement on the Closing Date</w:t>
      </w:r>
    </w:p>
    <w:p>
      <w:pPr>
        <w:spacing w:after="0" w:line="195" w:lineRule="exact"/>
        <w:rPr>
          <w:sz w:val="20"/>
          <w:szCs w:val="20"/>
          <w:color w:val="auto"/>
        </w:rPr>
      </w:pPr>
    </w:p>
    <w:p>
      <w:pPr>
        <w:ind w:right="640" w:firstLine="99"/>
        <w:spacing w:after="0" w:line="331" w:lineRule="auto"/>
        <w:rPr>
          <w:sz w:val="20"/>
          <w:szCs w:val="20"/>
          <w:color w:val="auto"/>
        </w:rPr>
      </w:pPr>
      <w:r>
        <w:rPr>
          <w:rFonts w:ascii="Arial" w:cs="Arial" w:eastAsia="Arial" w:hAnsi="Arial"/>
          <w:sz w:val="19"/>
          <w:szCs w:val="19"/>
          <w:color w:val="auto"/>
        </w:rPr>
        <w:t>The effectiveness of this Agreement on the Closing Date and the obligation of each Lender and L/C Issuer to make its initial Credit Extension hereunder on the Closing Date is subject to satisfaction or waiver of the following conditions precedent:</w:t>
      </w:r>
    </w:p>
    <w:p>
      <w:pPr>
        <w:spacing w:after="0" w:line="72" w:lineRule="exact"/>
        <w:rPr>
          <w:sz w:val="20"/>
          <w:szCs w:val="20"/>
          <w:color w:val="auto"/>
        </w:rPr>
      </w:pPr>
    </w:p>
    <w:p>
      <w:pPr>
        <w:ind w:left="1600" w:right="140" w:firstLine="799"/>
        <w:spacing w:after="0" w:line="288" w:lineRule="auto"/>
        <w:tabs>
          <w:tab w:leader="none" w:pos="2997"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Agent’s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Agent:</w:t>
      </w:r>
    </w:p>
    <w:p>
      <w:pPr>
        <w:spacing w:after="0" w:line="125" w:lineRule="exact"/>
        <w:rPr>
          <w:sz w:val="20"/>
          <w:szCs w:val="20"/>
          <w:color w:val="auto"/>
        </w:rPr>
      </w:pPr>
    </w:p>
    <w:p>
      <w:pPr>
        <w:ind w:left="1600" w:right="500" w:hanging="186"/>
        <w:spacing w:after="0" w:line="331" w:lineRule="auto"/>
        <w:rPr>
          <w:sz w:val="20"/>
          <w:szCs w:val="20"/>
          <w:color w:val="auto"/>
        </w:rPr>
      </w:pPr>
      <w:r>
        <w:rPr>
          <w:rFonts w:ascii="Arial" w:cs="Arial" w:eastAsia="Arial" w:hAnsi="Arial"/>
          <w:sz w:val="19"/>
          <w:szCs w:val="19"/>
          <w:color w:val="auto"/>
        </w:rPr>
        <w:t>(i)counterparts of this Agreement each properly executed by a Responsible Officer of the signing Loan Party and the Lenders sufficient in number for distribution to the Agent, each Lender and the Lead Borrower;</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(ii)a Note executed by the Borrowers in favor of each Lender requesting a Note;</w:t>
      </w:r>
    </w:p>
    <w:p>
      <w:pPr>
        <w:spacing w:after="0" w:line="175" w:lineRule="exact"/>
        <w:rPr>
          <w:sz w:val="20"/>
          <w:szCs w:val="20"/>
          <w:color w:val="auto"/>
        </w:rPr>
      </w:pPr>
    </w:p>
    <w:p>
      <w:pPr>
        <w:ind w:left="1600" w:right="80" w:hanging="296"/>
        <w:spacing w:after="0" w:line="286" w:lineRule="auto"/>
        <w:rPr>
          <w:sz w:val="20"/>
          <w:szCs w:val="20"/>
          <w:color w:val="auto"/>
        </w:rPr>
      </w:pPr>
      <w:r>
        <w:rPr>
          <w:rFonts w:ascii="Arial" w:cs="Arial" w:eastAsia="Arial" w:hAnsi="Arial"/>
          <w:sz w:val="20"/>
          <w:szCs w:val="20"/>
          <w:color w:val="auto"/>
        </w:rPr>
        <w:t>(iii)such certificates of resolutions or other action, incumbency certificates and/or other certificates of Responsible Officers of each Loan Party as the Agent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spacing w:after="0" w:line="124" w:lineRule="exact"/>
        <w:rPr>
          <w:sz w:val="20"/>
          <w:szCs w:val="20"/>
          <w:color w:val="auto"/>
        </w:rPr>
      </w:pPr>
    </w:p>
    <w:p>
      <w:pPr>
        <w:ind w:left="1600" w:right="360" w:hanging="285"/>
        <w:spacing w:after="0" w:line="303" w:lineRule="auto"/>
        <w:rPr>
          <w:sz w:val="20"/>
          <w:szCs w:val="20"/>
          <w:color w:val="auto"/>
        </w:rPr>
      </w:pPr>
      <w:r>
        <w:rPr>
          <w:rFonts w:ascii="Arial" w:cs="Arial" w:eastAsia="Arial" w:hAnsi="Arial"/>
          <w:sz w:val="20"/>
          <w:szCs w:val="20"/>
          <w:color w:val="auto"/>
        </w:rPr>
        <w:t>(iv)copies of each Loan Party’s Organization Documents and such other documents and certifications as the Agent may reasonably require to evidence that each Loan</w:t>
      </w:r>
    </w:p>
    <w:p>
      <w:pPr>
        <w:spacing w:after="0" w:line="22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253365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6" w:right="439" w:bottom="1440" w:gutter="0" w:footer="0" w:header="0"/>
        </w:sectPr>
      </w:pPr>
    </w:p>
    <w:bookmarkStart w:id="103" w:name="page104"/>
    <w:bookmarkEnd w:id="103"/>
    <w:p>
      <w:pPr>
        <w:ind w:left="1580" w:right="40"/>
        <w:spacing w:after="0" w:line="288" w:lineRule="auto"/>
        <w:rPr>
          <w:sz w:val="20"/>
          <w:szCs w:val="20"/>
          <w:color w:val="auto"/>
        </w:rPr>
      </w:pPr>
      <w:r>
        <w:rPr>
          <w:rFonts w:ascii="Arial" w:cs="Arial" w:eastAsia="Arial" w:hAnsi="Arial"/>
          <w:sz w:val="20"/>
          <w:szCs w:val="20"/>
          <w:color w:val="auto"/>
        </w:rPr>
        <w:t>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25" w:lineRule="exact"/>
        <w:rPr>
          <w:sz w:val="20"/>
          <w:szCs w:val="20"/>
          <w:color w:val="auto"/>
        </w:rPr>
      </w:pPr>
    </w:p>
    <w:p>
      <w:pPr>
        <w:ind w:left="1580" w:right="140" w:hanging="230"/>
        <w:spacing w:after="0" w:line="363" w:lineRule="auto"/>
        <w:rPr>
          <w:sz w:val="20"/>
          <w:szCs w:val="20"/>
          <w:color w:val="auto"/>
        </w:rPr>
      </w:pPr>
      <w:r>
        <w:rPr>
          <w:rFonts w:ascii="Arial" w:cs="Arial" w:eastAsia="Arial" w:hAnsi="Arial"/>
          <w:sz w:val="18"/>
          <w:szCs w:val="18"/>
          <w:color w:val="auto"/>
        </w:rPr>
        <w:t>(v)a favorable opinion of Greenberg Traurig, LLP, counsel to the Loan Parties, addressed to the Agent and each Lender, as to such matters concerning the Loan Parties and the Loan Documents as the Agent may reasonably request;</w:t>
      </w:r>
    </w:p>
    <w:p>
      <w:pPr>
        <w:spacing w:after="0" w:line="49" w:lineRule="exact"/>
        <w:rPr>
          <w:sz w:val="20"/>
          <w:szCs w:val="20"/>
          <w:color w:val="auto"/>
        </w:rPr>
      </w:pPr>
    </w:p>
    <w:p>
      <w:pPr>
        <w:ind w:left="1580" w:right="20" w:hanging="285"/>
        <w:spacing w:after="0" w:line="321" w:lineRule="auto"/>
        <w:rPr>
          <w:sz w:val="20"/>
          <w:szCs w:val="20"/>
          <w:color w:val="auto"/>
        </w:rPr>
      </w:pPr>
      <w:r>
        <w:rPr>
          <w:rFonts w:ascii="Arial" w:cs="Arial" w:eastAsia="Arial" w:hAnsi="Arial"/>
          <w:sz w:val="18"/>
          <w:szCs w:val="18"/>
          <w:color w:val="auto"/>
        </w:rPr>
        <w:t xml:space="preserve">(vi)a certificate of a Responsible Officer of the Lead Borrower certifying (A) that the conditions specified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have been satisfied, (B) that there has been no event or circumstance since July 31, 2021 that has had or could be reasonably expected to have, either individually or in the aggregate, a Material Adverse Effect, (C) to the Solvency of the Loan Parties as of the Closing Date after giving effect to the transactions contemplated hereby, and (D) 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101" w:lineRule="exact"/>
        <w:rPr>
          <w:sz w:val="20"/>
          <w:szCs w:val="20"/>
          <w:color w:val="auto"/>
        </w:rPr>
      </w:pPr>
    </w:p>
    <w:p>
      <w:pPr>
        <w:ind w:left="1580" w:right="180" w:hanging="340"/>
        <w:spacing w:after="0" w:line="331" w:lineRule="auto"/>
        <w:rPr>
          <w:sz w:val="20"/>
          <w:szCs w:val="20"/>
          <w:color w:val="auto"/>
        </w:rPr>
      </w:pPr>
      <w:r>
        <w:rPr>
          <w:rFonts w:ascii="Arial" w:cs="Arial" w:eastAsia="Arial" w:hAnsi="Arial"/>
          <w:sz w:val="19"/>
          <w:szCs w:val="19"/>
          <w:color w:val="auto"/>
        </w:rPr>
        <w:t>(vii)evidence that all insurance required to be maintained pursuant to the Loan Documents and all endorsements in favor of the Agent required under the Loan Documents have been obtained and are in effect;</w:t>
      </w:r>
    </w:p>
    <w:p>
      <w:pPr>
        <w:spacing w:after="0" w:line="86" w:lineRule="exact"/>
        <w:rPr>
          <w:sz w:val="20"/>
          <w:szCs w:val="20"/>
          <w:color w:val="auto"/>
        </w:rPr>
      </w:pPr>
    </w:p>
    <w:p>
      <w:pPr>
        <w:ind w:left="1580" w:right="60" w:hanging="395"/>
        <w:spacing w:after="0" w:line="287" w:lineRule="auto"/>
        <w:rPr>
          <w:sz w:val="20"/>
          <w:szCs w:val="20"/>
          <w:color w:val="auto"/>
        </w:rPr>
      </w:pPr>
      <w:r>
        <w:rPr>
          <w:rFonts w:ascii="Arial" w:cs="Arial" w:eastAsia="Arial" w:hAnsi="Arial"/>
          <w:sz w:val="20"/>
          <w:szCs w:val="20"/>
          <w:color w:val="auto"/>
        </w:rPr>
        <w:t>(viii)a payoff letter from the Existing Agent for the lenders under the Existing Credit Agreement, satisfactory in form and substance to the Agent, evidencing that the Existing Credit Agreement has been or concurrently with the Closing Date is being terminated, all obligations thereunder have been or concurrently with the Closing Date are being paid in full, and all Liens securing obligations under the Existing Credit Agreement have been or concurrently with the Closing Date are being released and terminated;</w:t>
      </w:r>
    </w:p>
    <w:p>
      <w:pPr>
        <w:spacing w:after="0" w:line="11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(ix)the Security Documents;</w:t>
      </w:r>
    </w:p>
    <w:p>
      <w:pPr>
        <w:spacing w:after="0" w:line="189"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(x)all other Loan Documents, each duly executed by the applicable Loan Parties;</w:t>
      </w:r>
    </w:p>
    <w:p>
      <w:pPr>
        <w:spacing w:after="0" w:line="189" w:lineRule="exact"/>
        <w:rPr>
          <w:sz w:val="20"/>
          <w:szCs w:val="20"/>
          <w:color w:val="auto"/>
        </w:rPr>
      </w:pPr>
    </w:p>
    <w:p>
      <w:pPr>
        <w:jc w:val="both"/>
        <w:ind w:left="1580" w:right="100" w:hanging="285"/>
        <w:spacing w:after="0" w:line="292" w:lineRule="auto"/>
        <w:rPr>
          <w:sz w:val="20"/>
          <w:szCs w:val="20"/>
          <w:color w:val="auto"/>
        </w:rPr>
      </w:pPr>
      <w:r>
        <w:rPr>
          <w:rFonts w:ascii="Arial" w:cs="Arial" w:eastAsia="Arial" w:hAnsi="Arial"/>
          <w:sz w:val="20"/>
          <w:szCs w:val="20"/>
          <w:color w:val="auto"/>
        </w:rPr>
        <w:t>(xi)an appraisal of all Eligible Inventory by a third party appraiser acceptable to the Agent, a field examination with respect to the Loan Parties, and all other diligence, reports, audits or certifications as the Agent may reasonably request, in each case in form and substance reasonably satisfactory to the Agent;</w:t>
      </w:r>
    </w:p>
    <w:p>
      <w:pPr>
        <w:spacing w:after="0" w:line="106" w:lineRule="exact"/>
        <w:rPr>
          <w:sz w:val="20"/>
          <w:szCs w:val="20"/>
          <w:color w:val="auto"/>
        </w:rPr>
      </w:pPr>
    </w:p>
    <w:p>
      <w:pPr>
        <w:jc w:val="center"/>
        <w:ind w:left="760"/>
        <w:spacing w:after="0"/>
        <w:rPr>
          <w:sz w:val="20"/>
          <w:szCs w:val="20"/>
          <w:color w:val="auto"/>
        </w:rPr>
      </w:pPr>
      <w:r>
        <w:rPr>
          <w:rFonts w:ascii="Arial" w:cs="Arial" w:eastAsia="Arial" w:hAnsi="Arial"/>
          <w:sz w:val="19"/>
          <w:szCs w:val="19"/>
          <w:color w:val="auto"/>
        </w:rPr>
        <w:t>(xii)results of searches or other evidence reasonably satisfactory to the Agent (in each case dated as of a date reasonably</w:t>
      </w:r>
    </w:p>
    <w:p>
      <w:pPr>
        <w:spacing w:after="0" w:line="52" w:lineRule="exact"/>
        <w:rPr>
          <w:sz w:val="20"/>
          <w:szCs w:val="20"/>
          <w:color w:val="auto"/>
        </w:rPr>
      </w:pPr>
    </w:p>
    <w:p>
      <w:pPr>
        <w:ind w:left="1580"/>
        <w:spacing w:after="0" w:line="288" w:lineRule="auto"/>
        <w:rPr>
          <w:sz w:val="20"/>
          <w:szCs w:val="20"/>
          <w:color w:val="auto"/>
        </w:rPr>
      </w:pPr>
      <w:r>
        <w:rPr>
          <w:rFonts w:ascii="Arial" w:cs="Arial" w:eastAsia="Arial" w:hAnsi="Arial"/>
          <w:sz w:val="20"/>
          <w:szCs w:val="20"/>
          <w:color w:val="auto"/>
        </w:rPr>
        <w:t>satisfactory to the Agent) indicating the absence of Liens on the assets of the Loan Parties, except for Permitted Encumbrances and Liens for which termination statements satisfactory to the Agent are being tendered concurrently with such extension of credit or other arrangements satisfactory to the Agent for the delivery of such termination statements have been made;</w:t>
      </w:r>
    </w:p>
    <w:p>
      <w:pPr>
        <w:spacing w:after="0" w:line="246"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406" w:right="379" w:bottom="1440" w:gutter="0" w:footer="0" w:header="0"/>
        </w:sectPr>
      </w:pPr>
    </w:p>
    <w:bookmarkStart w:id="104" w:name="page105"/>
    <w:bookmarkEnd w:id="104"/>
    <w:p>
      <w:pPr>
        <w:ind w:left="1580" w:right="80" w:hanging="395"/>
        <w:spacing w:after="0" w:line="303" w:lineRule="auto"/>
        <w:rPr>
          <w:sz w:val="20"/>
          <w:szCs w:val="20"/>
          <w:color w:val="auto"/>
        </w:rPr>
      </w:pPr>
      <w:r>
        <w:rPr>
          <w:rFonts w:ascii="Arial" w:cs="Arial" w:eastAsia="Arial" w:hAnsi="Arial"/>
          <w:sz w:val="19"/>
          <w:szCs w:val="19"/>
          <w:color w:val="auto"/>
        </w:rPr>
        <w:t xml:space="preserve">(xiii)(A) all documents and instruments, including Uniform Commercial Code financing statements, required by law or reasonably requested by the Agent to be filed, registered or recorded to create or perfect the first priority Liens intended to be created under the Loan Documents and all such documents and instruments shall have been so filed, registered or recorded to the satisfaction of the Agent, (B) the Credit Card Notifications, and Account Control Agreements required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shall have been obtained, and (C) control agreements with respect to the Loan Parties’ securities and investment accounts have been obtained;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(xiv)such other assurances, certificates, documents, consents or opinions as the Agent reasonably may require.</w:t>
      </w:r>
    </w:p>
    <w:p>
      <w:pPr>
        <w:spacing w:after="0" w:line="175" w:lineRule="exact"/>
        <w:rPr>
          <w:sz w:val="20"/>
          <w:szCs w:val="20"/>
          <w:color w:val="auto"/>
        </w:rPr>
      </w:pPr>
    </w:p>
    <w:p>
      <w:pPr>
        <w:ind w:left="1580" w:right="300" w:firstLine="799"/>
        <w:spacing w:after="0" w:line="292" w:lineRule="auto"/>
        <w:tabs>
          <w:tab w:leader="none" w:pos="29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After giving effect to (i) the funding under the Loans, (ii) any charges to the Loan Account made in connection with the credit facility contemplated hereby and (iii) all Letters of Credit to be issued at, or immediately subsequent to, the Closing Date, Availability shall be not less than $60,000,000.</w:t>
      </w:r>
    </w:p>
    <w:p>
      <w:pPr>
        <w:spacing w:after="0" w:line="119" w:lineRule="exact"/>
        <w:rPr>
          <w:rFonts w:ascii="Arial" w:cs="Arial" w:eastAsia="Arial" w:hAnsi="Arial"/>
          <w:sz w:val="20"/>
          <w:szCs w:val="20"/>
          <w:color w:val="auto"/>
        </w:rPr>
      </w:pPr>
    </w:p>
    <w:p>
      <w:pPr>
        <w:ind w:left="1580" w:right="340" w:firstLine="799"/>
        <w:spacing w:after="0" w:line="331" w:lineRule="auto"/>
        <w:tabs>
          <w:tab w:leader="none" w:pos="2977"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Agent shall have received a Borrowing Base Certificate dated the Closing Date, relating to the month ended on September 30, 2021, and executed by a Responsible Officer of the Lead Borrower.</w:t>
      </w:r>
    </w:p>
    <w:p>
      <w:pPr>
        <w:spacing w:after="0" w:line="85" w:lineRule="exact"/>
        <w:rPr>
          <w:rFonts w:ascii="Arial" w:cs="Arial" w:eastAsia="Arial" w:hAnsi="Arial"/>
          <w:sz w:val="19"/>
          <w:szCs w:val="19"/>
          <w:color w:val="auto"/>
        </w:rPr>
      </w:pPr>
    </w:p>
    <w:p>
      <w:pPr>
        <w:ind w:left="1580" w:firstLine="799"/>
        <w:spacing w:after="0" w:line="292" w:lineRule="auto"/>
        <w:tabs>
          <w:tab w:leader="none" w:pos="29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Agent shall be reasonably satisfied that any financial statements delivered to it and the Lenders fairly present the business and financial condition of the Loan Parties and that there has been no Material Adverse Effect since July 31, 2021.</w:t>
      </w:r>
    </w:p>
    <w:p>
      <w:pPr>
        <w:spacing w:after="0" w:line="105" w:lineRule="exact"/>
        <w:rPr>
          <w:rFonts w:ascii="Arial" w:cs="Arial" w:eastAsia="Arial" w:hAnsi="Arial"/>
          <w:sz w:val="20"/>
          <w:szCs w:val="20"/>
          <w:color w:val="auto"/>
        </w:rPr>
      </w:pPr>
    </w:p>
    <w:p>
      <w:pPr>
        <w:ind w:left="1580" w:right="120" w:firstLine="799"/>
        <w:spacing w:after="0" w:line="285" w:lineRule="auto"/>
        <w:tabs>
          <w:tab w:leader="none" w:pos="29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Agent and the Lenders shall have received and be satisfied with (i) reasonably detailed financial projections and business assumptions for the Lead Borrower and its Subsidiaries (x) on a monthly basis through the period ending January 29, 2022, which shall include an Availability model, Consolidated income statement, and statement of cash flow, and (y) on an annual basis for each of the three years thereafter, which shall include a Consolidated income statement and balance sheet, in each case prepared in conformity with GAAP and consistent with the Loan Parties’ then current practices and (ii) such other information (financial or otherwise) reasonably requested by the Agent.</w:t>
      </w:r>
    </w:p>
    <w:p>
      <w:pPr>
        <w:spacing w:after="0" w:line="126" w:lineRule="exact"/>
        <w:rPr>
          <w:rFonts w:ascii="Arial" w:cs="Arial" w:eastAsia="Arial" w:hAnsi="Arial"/>
          <w:sz w:val="20"/>
          <w:szCs w:val="20"/>
          <w:color w:val="auto"/>
        </w:rPr>
      </w:pPr>
    </w:p>
    <w:p>
      <w:pPr>
        <w:ind w:left="1580" w:firstLine="799"/>
        <w:spacing w:after="0" w:line="303" w:lineRule="auto"/>
        <w:tabs>
          <w:tab w:leader="none" w:pos="29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There shall not be pending any litigation or other proceeding, the result of which, either individually or in the aggregate, could reasonably be expected to have a Material Adverse Effect.</w:t>
      </w:r>
    </w:p>
    <w:p>
      <w:pPr>
        <w:spacing w:after="0" w:line="107" w:lineRule="exact"/>
        <w:rPr>
          <w:rFonts w:ascii="Arial" w:cs="Arial" w:eastAsia="Arial" w:hAnsi="Arial"/>
          <w:sz w:val="20"/>
          <w:szCs w:val="20"/>
          <w:color w:val="auto"/>
        </w:rPr>
      </w:pPr>
    </w:p>
    <w:p>
      <w:pPr>
        <w:ind w:left="2980" w:hanging="601"/>
        <w:spacing w:after="0"/>
        <w:tabs>
          <w:tab w:leader="none" w:pos="2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There shall not have occurred any default of any Material Contract of any Loan Party.</w:t>
      </w:r>
    </w:p>
    <w:p>
      <w:pPr>
        <w:spacing w:after="0" w:line="175" w:lineRule="exact"/>
        <w:rPr>
          <w:rFonts w:ascii="Arial" w:cs="Arial" w:eastAsia="Arial" w:hAnsi="Arial"/>
          <w:sz w:val="20"/>
          <w:szCs w:val="20"/>
          <w:color w:val="auto"/>
        </w:rPr>
      </w:pPr>
    </w:p>
    <w:p>
      <w:pPr>
        <w:ind w:left="1580" w:right="840" w:firstLine="799"/>
        <w:spacing w:after="0" w:line="303" w:lineRule="auto"/>
        <w:tabs>
          <w:tab w:leader="none" w:pos="2977"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consummation of the transactions contemplated hereby shall not violate any Law or any Organization Document.</w:t>
      </w:r>
    </w:p>
    <w:p>
      <w:pPr>
        <w:spacing w:after="0" w:line="107" w:lineRule="exact"/>
        <w:rPr>
          <w:rFonts w:ascii="Arial" w:cs="Arial" w:eastAsia="Arial" w:hAnsi="Arial"/>
          <w:sz w:val="20"/>
          <w:szCs w:val="20"/>
          <w:color w:val="auto"/>
        </w:rPr>
      </w:pPr>
    </w:p>
    <w:p>
      <w:pPr>
        <w:ind w:left="1580" w:right="40" w:firstLine="799"/>
        <w:spacing w:after="0" w:line="438" w:lineRule="auto"/>
        <w:tabs>
          <w:tab w:leader="none" w:pos="29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fees required to be paid to the Agent or the Arranger on or before the Closing Date shall have been paid in full, and all fees required to be paid to the Lenders on or before the Closing Date shall have been paid in full.</w:t>
      </w:r>
    </w:p>
    <w:p>
      <w:pPr>
        <w:spacing w:after="0" w:line="138"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406" w:right="419" w:bottom="1440" w:gutter="0" w:footer="0" w:header="0"/>
        </w:sectPr>
      </w:pPr>
    </w:p>
    <w:bookmarkStart w:id="105" w:name="page106"/>
    <w:bookmarkEnd w:id="105"/>
    <w:p>
      <w:pPr>
        <w:ind w:left="1600" w:right="20" w:firstLine="799"/>
        <w:spacing w:after="0" w:line="287" w:lineRule="auto"/>
        <w:tabs>
          <w:tab w:leader="none" w:pos="2997"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Borrowers shall have paid all fees, charges and disbursements of counsel to the Agent to the extent invoiced prior to or on the Closing Date,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Borrowers and the Agent).</w:t>
      </w:r>
    </w:p>
    <w:p>
      <w:pPr>
        <w:spacing w:after="0" w:line="123" w:lineRule="exact"/>
        <w:rPr>
          <w:rFonts w:ascii="Arial" w:cs="Arial" w:eastAsia="Arial" w:hAnsi="Arial"/>
          <w:sz w:val="20"/>
          <w:szCs w:val="20"/>
          <w:color w:val="auto"/>
        </w:rPr>
      </w:pPr>
    </w:p>
    <w:p>
      <w:pPr>
        <w:ind w:left="1600" w:right="20" w:firstLine="799"/>
        <w:spacing w:after="0" w:line="303" w:lineRule="auto"/>
        <w:tabs>
          <w:tab w:leader="none" w:pos="2997" w:val="left"/>
        </w:tabs>
        <w:numPr>
          <w:ilvl w:val="0"/>
          <w:numId w:val="78"/>
        </w:numPr>
        <w:rPr>
          <w:rFonts w:ascii="Arial" w:cs="Arial" w:eastAsia="Arial" w:hAnsi="Arial"/>
          <w:sz w:val="19"/>
          <w:szCs w:val="19"/>
          <w:color w:val="auto"/>
        </w:rPr>
      </w:pPr>
      <w:r>
        <w:rPr>
          <w:rFonts w:ascii="Arial" w:cs="Arial" w:eastAsia="Arial" w:hAnsi="Arial"/>
          <w:sz w:val="19"/>
          <w:szCs w:val="19"/>
          <w:color w:val="auto"/>
        </w:rPr>
        <w:t>Upon the reasonable request of the Agent or any Lender made at least ten (10) days prior to the Closing Date, the Lead Borrower shall have provided to the Agent and such Lender the documentation and other information so requested in connection with applicable “know your customer”, Anti-Corruption Laws and Anti-Money Laundering, including the Act, in each case at least five (5) days prior to the Closing Date. At least five (5) days prior to the Closing Date, any Borrower that qualifies as a “legal entity customer” under the Beneficial Ownership Regulation shall deliver a Beneficial Ownership Certification in relation to such Borrower.</w:t>
      </w:r>
    </w:p>
    <w:p>
      <w:pPr>
        <w:spacing w:after="0" w:line="99" w:lineRule="exact"/>
        <w:rPr>
          <w:rFonts w:ascii="Arial" w:cs="Arial" w:eastAsia="Arial" w:hAnsi="Arial"/>
          <w:sz w:val="19"/>
          <w:szCs w:val="19"/>
          <w:color w:val="auto"/>
        </w:rPr>
      </w:pPr>
    </w:p>
    <w:p>
      <w:pPr>
        <w:ind w:left="1600" w:right="340" w:firstLine="799"/>
        <w:spacing w:after="0" w:line="303" w:lineRule="auto"/>
        <w:tabs>
          <w:tab w:leader="none" w:pos="2997"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 material changes in governmental regulations or policies affecting any Loan Party or any Credit Party shall have occurred prior to the Closing Date.</w:t>
      </w:r>
    </w:p>
    <w:p>
      <w:pPr>
        <w:spacing w:after="0" w:line="107" w:lineRule="exact"/>
        <w:rPr>
          <w:rFonts w:ascii="Arial" w:cs="Arial" w:eastAsia="Arial" w:hAnsi="Arial"/>
          <w:sz w:val="20"/>
          <w:szCs w:val="20"/>
          <w:color w:val="auto"/>
        </w:rPr>
      </w:pPr>
    </w:p>
    <w:p>
      <w:pPr>
        <w:ind w:left="1600" w:right="60" w:firstLine="799"/>
        <w:spacing w:after="0" w:line="292" w:lineRule="auto"/>
        <w:tabs>
          <w:tab w:leader="none" w:pos="2997"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There shall not have occurred any disruption or material adverse change in the United States financial or capital markets in general that has had, in the reasonable opinion of the Agent, a material adverse effect on the market for loan syndications or adversely affecting the syndication of the Loans.</w:t>
      </w:r>
    </w:p>
    <w:p>
      <w:pPr>
        <w:spacing w:after="0" w:line="119"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proposed Closing Date specifying its objection thereto.</w:t>
      </w:r>
    </w:p>
    <w:p>
      <w:pPr>
        <w:spacing w:after="0" w:line="74"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4.02 Conditions to all Credit Extensions</w:t>
      </w:r>
    </w:p>
    <w:p>
      <w:pPr>
        <w:spacing w:after="0" w:line="195" w:lineRule="exact"/>
        <w:rPr>
          <w:sz w:val="20"/>
          <w:szCs w:val="20"/>
          <w:color w:val="auto"/>
        </w:rPr>
      </w:pPr>
    </w:p>
    <w:p>
      <w:pPr>
        <w:jc w:val="both"/>
        <w:ind w:right="100" w:firstLine="8"/>
        <w:spacing w:after="0" w:line="292" w:lineRule="auto"/>
        <w:tabs>
          <w:tab w:leader="none" w:pos="148"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obligation of each Revolving Lender to honor any Request for Credit Extension (other than a Committed Loan Notice requesting only a Conversion of Committed Loans to the other Type, or a continuation of LIBOR Rate Loans) and of each L/C Issuer to issue each Letter of Credit is subject to the following conditions precedent:</w:t>
      </w:r>
    </w:p>
    <w:p>
      <w:pPr>
        <w:spacing w:after="0" w:line="119" w:lineRule="exact"/>
        <w:rPr>
          <w:rFonts w:ascii="Arial" w:cs="Arial" w:eastAsia="Arial" w:hAnsi="Arial"/>
          <w:sz w:val="20"/>
          <w:szCs w:val="20"/>
          <w:color w:val="auto"/>
        </w:rPr>
      </w:pPr>
    </w:p>
    <w:p>
      <w:pPr>
        <w:ind w:left="1600" w:right="160" w:firstLine="799"/>
        <w:spacing w:after="0" w:line="302" w:lineRule="auto"/>
        <w:tabs>
          <w:tab w:leader="none" w:pos="2997"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in any other Loan Document, or which are contained in any document furnished at any time under or in connection herewith or therewith, shall be true and correct in all material respects on and as of the date of such Credit Extension, except (i) to the extent that such representations and warranties specifically refer to an earlier date, in which case they shall be true and correct as of such earlier date, (ii) in the case of any representation and warranty qualified by materiality, they shall be true and correct in all respects and (iii)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the representations and warranties contained in subsections (a) and (b) of</w:t>
      </w:r>
    </w:p>
    <w:p>
      <w:pPr>
        <w:spacing w:after="0" w:line="22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06" w:name="page107"/>
    <w:bookmarkEnd w:id="106"/>
    <w:p>
      <w:pPr>
        <w:ind w:left="1600" w:right="500"/>
        <w:spacing w:after="0" w:line="303" w:lineRule="auto"/>
        <w:rPr>
          <w:sz w:val="20"/>
          <w:szCs w:val="20"/>
          <w:color w:val="auto"/>
        </w:rPr>
      </w:pP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shall be deemed to refer to the most recent statements furnished pursuant to clauses (a) and (b), (and if applicable, clause (c)), respectively,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08" w:lineRule="exact"/>
        <w:rPr>
          <w:sz w:val="20"/>
          <w:szCs w:val="20"/>
          <w:color w:val="auto"/>
        </w:rPr>
      </w:pPr>
    </w:p>
    <w:p>
      <w:pPr>
        <w:ind w:left="1600" w:right="420" w:firstLine="799"/>
        <w:spacing w:after="0" w:line="303" w:lineRule="auto"/>
        <w:tabs>
          <w:tab w:leader="none" w:pos="2997" w:val="left"/>
        </w:tabs>
        <w:numPr>
          <w:ilvl w:val="0"/>
          <w:numId w:val="80"/>
        </w:numPr>
        <w:rPr>
          <w:rFonts w:ascii="Arial" w:cs="Arial" w:eastAsia="Arial" w:hAnsi="Arial"/>
          <w:sz w:val="20"/>
          <w:szCs w:val="20"/>
          <w:color w:val="auto"/>
        </w:rPr>
      </w:pPr>
      <w:r>
        <w:rPr>
          <w:rFonts w:ascii="Arial" w:cs="Arial" w:eastAsia="Arial" w:hAnsi="Arial"/>
          <w:sz w:val="20"/>
          <w:szCs w:val="20"/>
          <w:color w:val="auto"/>
        </w:rPr>
        <w:t>No Default or Event of Default shall exist, or would result from such proposed Credit Extension or from the application of the proceeds thereof.</w:t>
      </w:r>
    </w:p>
    <w:p>
      <w:pPr>
        <w:spacing w:after="0" w:line="94" w:lineRule="exact"/>
        <w:rPr>
          <w:rFonts w:ascii="Arial" w:cs="Arial" w:eastAsia="Arial" w:hAnsi="Arial"/>
          <w:sz w:val="20"/>
          <w:szCs w:val="20"/>
          <w:color w:val="auto"/>
        </w:rPr>
      </w:pPr>
    </w:p>
    <w:p>
      <w:pPr>
        <w:ind w:left="1600" w:right="20" w:firstLine="799"/>
        <w:spacing w:after="0" w:line="303" w:lineRule="auto"/>
        <w:tabs>
          <w:tab w:leader="none" w:pos="2997"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Agent and, if applicable, the L/C Issuer or the Swing Line Lender shall have received a Request for Credit Extension in accordance with the requirements hereof.</w:t>
      </w:r>
    </w:p>
    <w:p>
      <w:pPr>
        <w:spacing w:after="0" w:line="107" w:lineRule="exact"/>
        <w:rPr>
          <w:rFonts w:ascii="Arial" w:cs="Arial" w:eastAsia="Arial" w:hAnsi="Arial"/>
          <w:sz w:val="20"/>
          <w:szCs w:val="20"/>
          <w:color w:val="auto"/>
        </w:rPr>
      </w:pPr>
    </w:p>
    <w:p>
      <w:pPr>
        <w:ind w:left="1600" w:right="640" w:firstLine="799"/>
        <w:spacing w:after="0" w:line="303" w:lineRule="auto"/>
        <w:tabs>
          <w:tab w:leader="none" w:pos="2997" w:val="left"/>
        </w:tabs>
        <w:numPr>
          <w:ilvl w:val="0"/>
          <w:numId w:val="80"/>
        </w:numPr>
        <w:rPr>
          <w:rFonts w:ascii="Arial" w:cs="Arial" w:eastAsia="Arial" w:hAnsi="Arial"/>
          <w:sz w:val="20"/>
          <w:szCs w:val="20"/>
          <w:color w:val="auto"/>
        </w:rPr>
      </w:pPr>
      <w:r>
        <w:rPr>
          <w:rFonts w:ascii="Arial" w:cs="Arial" w:eastAsia="Arial" w:hAnsi="Arial"/>
          <w:sz w:val="20"/>
          <w:szCs w:val="20"/>
          <w:color w:val="auto"/>
        </w:rPr>
        <w:t>After giving effect to the Credit Extension requested to be made on any such date and the use of proceeds thereof, Availability shall be greater than zero.</w:t>
      </w:r>
    </w:p>
    <w:p>
      <w:pPr>
        <w:spacing w:after="0" w:line="108"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 xml:space="preserve">Each Request for Credit Extension (other than a Committed Loan Notice requesting only a Conversion of Committed Loans to the other Type or a continuation of LIBOR Rate Loans) submitted by the Lead Borrower shall be deemed to be a representation and warranty by the Borrowers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have been satisfied on and as of the date of the applicable Credit Extension. The conditions set forth in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for the sole benefit of the Credit Parties but until the Required Lenders otherwise direct the Agent to cease making Loans and issuing Letters of Credit, the Revolving Lenders will fund their Applicable Percentage of all Loans and L/C Advances and participate in all Swing Line Loans and Letters of Credit whenever made or issued, which are requested by the Lead Borrower and which, notwithstanding the failure of the Loan Parties to comply with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agreed to by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the making of any such Loans or the issuance of any Letters of Credit shall not be deemed a modification or waiver by any Credit Party of the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on any future occasion or a waiver of any rights or the Credit Parties as a result of any such failure to comply.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95" w:lineRule="exact"/>
        <w:rPr>
          <w:sz w:val="20"/>
          <w:szCs w:val="20"/>
          <w:color w:val="auto"/>
        </w:rPr>
      </w:pPr>
    </w:p>
    <w:p>
      <w:pPr>
        <w:ind w:right="640"/>
        <w:spacing w:after="0" w:line="303" w:lineRule="auto"/>
        <w:rPr>
          <w:sz w:val="20"/>
          <w:szCs w:val="20"/>
          <w:color w:val="auto"/>
        </w:rPr>
      </w:pPr>
      <w:r>
        <w:rPr>
          <w:rFonts w:ascii="Arial" w:cs="Arial" w:eastAsia="Arial" w:hAnsi="Arial"/>
          <w:sz w:val="20"/>
          <w:szCs w:val="20"/>
          <w:color w:val="auto"/>
        </w:rPr>
        <w:t>To induce the Credit Parties to enter into this Agreement and to make Loans and to issue Letters of Credit hereunder, each Loan Party represents and warrants to the Agent and the other Credit Parties that:</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5.01 Existence, Qualification and Power</w:t>
      </w:r>
    </w:p>
    <w:p>
      <w:pPr>
        <w:spacing w:after="0" w:line="181" w:lineRule="exact"/>
        <w:rPr>
          <w:sz w:val="20"/>
          <w:szCs w:val="20"/>
          <w:color w:val="auto"/>
        </w:rPr>
      </w:pPr>
    </w:p>
    <w:p>
      <w:pPr>
        <w:ind w:right="60" w:firstLine="8"/>
        <w:spacing w:after="0" w:line="300" w:lineRule="auto"/>
        <w:tabs>
          <w:tab w:leader="none" w:pos="14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Each Loan Party (a) is a 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 </w:t>
      </w:r>
      <w:r>
        <w:rPr>
          <w:rFonts w:ascii="Arial" w:cs="Arial" w:eastAsia="Arial" w:hAnsi="Arial"/>
          <w:sz w:val="19"/>
          <w:szCs w:val="19"/>
          <w:u w:val="single" w:color="auto"/>
          <w:color w:val="auto"/>
        </w:rPr>
        <w:t>Schedule 5.01</w:t>
      </w:r>
      <w:r>
        <w:rPr>
          <w:rFonts w:ascii="Arial" w:cs="Arial" w:eastAsia="Arial" w:hAnsi="Arial"/>
          <w:sz w:val="19"/>
          <w:szCs w:val="19"/>
          <w:color w:val="auto"/>
        </w:rPr>
        <w:t xml:space="preserve"> annexed hereto sets forth, as of the Closing Date, each Loan Party’s name as it appears in official filings in its state of incorporation or organization, its state of incorporation or organization, organization type, organization number, if any, issued by its state of incorporation or organization, and its federal employer identification number.</w:t>
      </w:r>
    </w:p>
    <w:p>
      <w:pPr>
        <w:spacing w:after="0" w:line="23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07" w:name="page108"/>
    <w:bookmarkEnd w:id="107"/>
    <w:p>
      <w:pPr>
        <w:ind w:left="832"/>
        <w:spacing w:after="0"/>
        <w:rPr>
          <w:sz w:val="20"/>
          <w:szCs w:val="20"/>
          <w:color w:val="auto"/>
        </w:rPr>
      </w:pPr>
      <w:r>
        <w:rPr>
          <w:rFonts w:ascii="Arial" w:cs="Arial" w:eastAsia="Arial" w:hAnsi="Arial"/>
          <w:sz w:val="20"/>
          <w:szCs w:val="20"/>
          <w:b w:val="1"/>
          <w:bCs w:val="1"/>
          <w:color w:val="auto"/>
        </w:rPr>
        <w:t>5.02 Authorization; No Contravention</w:t>
      </w:r>
    </w:p>
    <w:p>
      <w:pPr>
        <w:spacing w:after="0" w:line="195" w:lineRule="exact"/>
        <w:rPr>
          <w:sz w:val="20"/>
          <w:szCs w:val="20"/>
          <w:color w:val="auto"/>
        </w:rPr>
      </w:pPr>
    </w:p>
    <w:p>
      <w:pPr>
        <w:ind w:left="-8" w:right="40" w:firstLine="8"/>
        <w:spacing w:after="0" w:line="321" w:lineRule="auto"/>
        <w:tabs>
          <w:tab w:leader="none" w:pos="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each Loan Document to which such Person is or is to be a party, has been duly 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 or (ii) any order, injunction, writ or decree of any Governmental Authority or any arbitral award to which such Person or its property is subject; (c) result in or require the creation of any Lien upon any asset of any Loan Party (other than Liens in favor of the Agent under the Security Documents); or (d) violate any Law.</w:t>
      </w:r>
    </w:p>
    <w:p>
      <w:pPr>
        <w:spacing w:after="0" w:line="81"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5.03 Governmental Authorization; Other Consents</w:t>
      </w:r>
    </w:p>
    <w:p>
      <w:pPr>
        <w:spacing w:after="0" w:line="195" w:lineRule="exact"/>
        <w:rPr>
          <w:sz w:val="20"/>
          <w:szCs w:val="20"/>
          <w:color w:val="auto"/>
        </w:rPr>
      </w:pPr>
    </w:p>
    <w:p>
      <w:pPr>
        <w:ind w:left="-8" w:right="100" w:firstLine="8"/>
        <w:spacing w:after="0" w:line="329" w:lineRule="auto"/>
        <w:tabs>
          <w:tab w:leader="none" w:pos="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or (b) such as have been obtained or made and are in full force and effect.</w:t>
      </w:r>
    </w:p>
    <w:p>
      <w:pPr>
        <w:spacing w:after="0" w:line="88"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5.04 Binding Effect</w:t>
      </w:r>
    </w:p>
    <w:p>
      <w:pPr>
        <w:spacing w:after="0" w:line="181" w:lineRule="exact"/>
        <w:rPr>
          <w:sz w:val="20"/>
          <w:szCs w:val="20"/>
          <w:color w:val="auto"/>
        </w:rPr>
      </w:pPr>
    </w:p>
    <w:p>
      <w:pPr>
        <w:jc w:val="both"/>
        <w:ind w:left="-8" w:firstLine="8"/>
        <w:spacing w:after="0" w:line="305" w:lineRule="auto"/>
        <w:tabs>
          <w:tab w:leader="none" w:pos="1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This Agreement has been, and each other Loan Document, when delivered,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4"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5.05 Financial Statements; No Material Adverse Effect</w:t>
      </w:r>
      <w:r>
        <w:rPr>
          <w:rFonts w:ascii="Arial" w:cs="Arial" w:eastAsia="Arial" w:hAnsi="Arial"/>
          <w:sz w:val="20"/>
          <w:szCs w:val="20"/>
          <w:color w:val="auto"/>
        </w:rPr>
        <w:t>.</w:t>
      </w:r>
    </w:p>
    <w:p>
      <w:pPr>
        <w:spacing w:after="0" w:line="195" w:lineRule="exact"/>
        <w:rPr>
          <w:sz w:val="20"/>
          <w:szCs w:val="20"/>
          <w:color w:val="auto"/>
        </w:rPr>
      </w:pPr>
    </w:p>
    <w:p>
      <w:pPr>
        <w:ind w:left="312" w:right="160" w:hanging="219"/>
        <w:spacing w:after="0" w:line="286" w:lineRule="auto"/>
        <w:rPr>
          <w:sz w:val="20"/>
          <w:szCs w:val="20"/>
          <w:color w:val="auto"/>
        </w:rPr>
      </w:pPr>
      <w:r>
        <w:rPr>
          <w:rFonts w:ascii="Arial" w:cs="Arial" w:eastAsia="Arial" w:hAnsi="Arial"/>
          <w:sz w:val="20"/>
          <w:szCs w:val="20"/>
          <w:color w:val="auto"/>
        </w:rPr>
        <w:t>(a)The Audited Financial Statements (i) were prepared in accordance with GAAP consistently applied throughout the period covered thereby, except as otherwise expressly noted therein; (ii) fairly present the financial condition of the Lead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Lead Borrower and its Subsidiaries as of the date thereof, including liabilities for taxes, material commitments and Indebtedness.</w:t>
      </w:r>
    </w:p>
    <w:p>
      <w:pPr>
        <w:spacing w:after="0" w:line="111" w:lineRule="exact"/>
        <w:rPr>
          <w:sz w:val="20"/>
          <w:szCs w:val="20"/>
          <w:color w:val="auto"/>
        </w:rPr>
      </w:pPr>
    </w:p>
    <w:p>
      <w:pPr>
        <w:ind w:left="332" w:right="100" w:hanging="230"/>
        <w:spacing w:after="0" w:line="329" w:lineRule="auto"/>
        <w:rPr>
          <w:sz w:val="20"/>
          <w:szCs w:val="20"/>
          <w:color w:val="auto"/>
        </w:rPr>
      </w:pPr>
      <w:r>
        <w:rPr>
          <w:rFonts w:ascii="Arial" w:cs="Arial" w:eastAsia="Arial" w:hAnsi="Arial"/>
          <w:sz w:val="18"/>
          <w:szCs w:val="18"/>
          <w:color w:val="auto"/>
        </w:rPr>
        <w:t>(b)The unaudited Consolidated balance sheet of the Lead Borrower and its Subsidiaries dated July 31, 2021, and the related Consolidated statements of income or operations, Shareholders’ Equity and cash flows for the Fiscal Month ended on that date (i) were prepared in accordance with GAAP consistently applied throughout the period covered thereby, except as otherwise expressly noted therein, and (ii) fairly present the financial condition of the Lead Borrower and its Subsidiaries as of the date thereof</w:t>
      </w:r>
    </w:p>
    <w:p>
      <w:pPr>
        <w:spacing w:after="0" w:line="215"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0" w:right="359" w:bottom="1440" w:gutter="0" w:footer="0" w:header="0"/>
        </w:sectPr>
      </w:pPr>
    </w:p>
    <w:bookmarkStart w:id="108" w:name="page109"/>
    <w:bookmarkEnd w:id="108"/>
    <w:p>
      <w:pPr>
        <w:ind w:left="92" w:right="300"/>
        <w:spacing w:after="0" w:line="303" w:lineRule="auto"/>
        <w:rPr>
          <w:sz w:val="20"/>
          <w:szCs w:val="20"/>
          <w:color w:val="auto"/>
        </w:rPr>
      </w:pPr>
      <w:r>
        <w:rPr>
          <w:rFonts w:ascii="Arial" w:cs="Arial" w:eastAsia="Arial" w:hAnsi="Arial"/>
          <w:sz w:val="20"/>
          <w:szCs w:val="20"/>
          <w:color w:val="auto"/>
        </w:rPr>
        <w:t>and their results of operations for the period covered thereby, subject, in the case of clauses (i) and (ii), to the absence of footnotes and to normal year-end audit adjustments.</w:t>
      </w:r>
    </w:p>
    <w:p>
      <w:pPr>
        <w:spacing w:after="0" w:line="108" w:lineRule="exact"/>
        <w:rPr>
          <w:sz w:val="20"/>
          <w:szCs w:val="20"/>
          <w:color w:val="auto"/>
        </w:rPr>
      </w:pPr>
    </w:p>
    <w:p>
      <w:pPr>
        <w:ind w:left="312" w:right="120" w:hanging="219"/>
        <w:spacing w:after="0" w:line="303" w:lineRule="auto"/>
        <w:rPr>
          <w:sz w:val="20"/>
          <w:szCs w:val="20"/>
          <w:color w:val="auto"/>
        </w:rPr>
      </w:pPr>
      <w:r>
        <w:rPr>
          <w:rFonts w:ascii="Arial" w:cs="Arial" w:eastAsia="Arial" w:hAnsi="Arial"/>
          <w:sz w:val="20"/>
          <w:szCs w:val="20"/>
          <w:color w:val="auto"/>
        </w:rPr>
        <w:t>(c)Since July 31, 2021, there has been no event or circumstance, either individually or in the aggregate, that has had or could reasonably be expected to have a Material Adverse Effect.</w:t>
      </w:r>
    </w:p>
    <w:p>
      <w:pPr>
        <w:spacing w:after="0" w:line="94" w:lineRule="exact"/>
        <w:rPr>
          <w:sz w:val="20"/>
          <w:szCs w:val="20"/>
          <w:color w:val="auto"/>
        </w:rPr>
      </w:pPr>
    </w:p>
    <w:p>
      <w:pPr>
        <w:ind w:left="332" w:right="20" w:hanging="230"/>
        <w:spacing w:after="0" w:line="287" w:lineRule="auto"/>
        <w:rPr>
          <w:sz w:val="20"/>
          <w:szCs w:val="20"/>
          <w:color w:val="auto"/>
        </w:rPr>
      </w:pPr>
      <w:r>
        <w:rPr>
          <w:rFonts w:ascii="Arial" w:cs="Arial" w:eastAsia="Arial" w:hAnsi="Arial"/>
          <w:sz w:val="20"/>
          <w:szCs w:val="20"/>
          <w:color w:val="auto"/>
        </w:rPr>
        <w:t>(d)To the best knowledge of the Lead Borrower, no Internal Control Event exists or has occurred since the date of the Audited Financial Statements that has resulted in or could reasonably be expected to result in a misstatement in any material respect, (i) in any financial information delivered or to be delivered to the Agent or the Lenders, (ii) of the Borrowing Base, (iii) of covenant compliance calculations provided hereunder or (iv) of the assets, liabilities, financial condition or results of operations of the Lead Borrower and its Subsidiaries on a Consolidated basis.</w:t>
      </w:r>
    </w:p>
    <w:p>
      <w:pPr>
        <w:spacing w:after="0" w:line="123" w:lineRule="exact"/>
        <w:rPr>
          <w:sz w:val="20"/>
          <w:szCs w:val="20"/>
          <w:color w:val="auto"/>
        </w:rPr>
      </w:pPr>
    </w:p>
    <w:p>
      <w:pPr>
        <w:ind w:left="312" w:right="120" w:hanging="219"/>
        <w:spacing w:after="0" w:line="308" w:lineRule="auto"/>
        <w:rPr>
          <w:sz w:val="20"/>
          <w:szCs w:val="20"/>
          <w:color w:val="auto"/>
        </w:rPr>
      </w:pPr>
      <w:r>
        <w:rPr>
          <w:rFonts w:ascii="Arial" w:cs="Arial" w:eastAsia="Arial" w:hAnsi="Arial"/>
          <w:sz w:val="19"/>
          <w:szCs w:val="19"/>
          <w:color w:val="auto"/>
        </w:rPr>
        <w:t xml:space="preserve">(e)The Consolidated forecasted balance sheet and statements of income and cash flows of the Lead Borrower and its Subsidiaries delivered pursuant to </w:t>
      </w:r>
      <w:r>
        <w:rPr>
          <w:rFonts w:ascii="Arial" w:cs="Arial" w:eastAsia="Arial" w:hAnsi="Arial"/>
          <w:sz w:val="19"/>
          <w:szCs w:val="19"/>
          <w:u w:val="single" w:color="auto"/>
          <w:color w:val="auto"/>
        </w:rPr>
        <w:t>Section 4.01(e)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6.01(d)</w:t>
      </w:r>
      <w:r>
        <w:rPr>
          <w:rFonts w:ascii="Arial" w:cs="Arial" w:eastAsia="Arial" w:hAnsi="Arial"/>
          <w:sz w:val="19"/>
          <w:szCs w:val="19"/>
          <w:color w:val="auto"/>
        </w:rPr>
        <w:t>, as applicable, were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101"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5.06 Litigation</w:t>
      </w:r>
    </w:p>
    <w:p>
      <w:pPr>
        <w:spacing w:after="0" w:line="181" w:lineRule="exact"/>
        <w:rPr>
          <w:sz w:val="20"/>
          <w:szCs w:val="20"/>
          <w:color w:val="auto"/>
        </w:rPr>
      </w:pPr>
    </w:p>
    <w:p>
      <w:pPr>
        <w:ind w:left="-8" w:right="20" w:firstLine="8"/>
        <w:spacing w:after="0" w:line="305" w:lineRule="auto"/>
        <w:tabs>
          <w:tab w:leader="none" w:pos="1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There are no actions, suits, proceedings, claims or disputes pending or, to the knowledge of the Loan Parties threatened in writing,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except as specifically disclosed in </w:t>
      </w:r>
      <w:r>
        <w:rPr>
          <w:rFonts w:ascii="Arial" w:cs="Arial" w:eastAsia="Arial" w:hAnsi="Arial"/>
          <w:sz w:val="19"/>
          <w:szCs w:val="19"/>
          <w:u w:val="single" w:color="auto"/>
          <w:color w:val="auto"/>
        </w:rPr>
        <w:t>Schedule 5.06</w:t>
      </w:r>
      <w:r>
        <w:rPr>
          <w:rFonts w:ascii="Arial" w:cs="Arial" w:eastAsia="Arial" w:hAnsi="Arial"/>
          <w:sz w:val="19"/>
          <w:szCs w:val="19"/>
          <w:color w:val="auto"/>
        </w:rPr>
        <w:t>, either individually or in the aggregate, if determined adversely, could reasonably be expected to have a Material Adverse Effect.</w:t>
      </w:r>
    </w:p>
    <w:p>
      <w:pPr>
        <w:spacing w:after="0" w:line="104"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5.07 No Default</w:t>
      </w:r>
    </w:p>
    <w:p>
      <w:pPr>
        <w:spacing w:after="0" w:line="195" w:lineRule="exact"/>
        <w:rPr>
          <w:sz w:val="20"/>
          <w:szCs w:val="20"/>
          <w:color w:val="auto"/>
        </w:rPr>
      </w:pPr>
    </w:p>
    <w:p>
      <w:pPr>
        <w:ind w:left="-8" w:right="60" w:firstLine="8"/>
        <w:spacing w:after="0" w:line="292" w:lineRule="auto"/>
        <w:tabs>
          <w:tab w:leader="none" w:pos="1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 Loan Party or any Subsidiary is in default under or with respect to, or party to, any Material Contract or any Material Indebtedness. No Default or Event of Default has occurred and is continuing or would result from the consummation of the transactions contemplated by this Agreement or any other Loan Document.</w:t>
      </w:r>
    </w:p>
    <w:p>
      <w:pPr>
        <w:spacing w:after="0" w:line="100"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5.08 Ownership of Property; Liens</w:t>
      </w:r>
    </w:p>
    <w:p>
      <w:pPr>
        <w:spacing w:after="0" w:line="195" w:lineRule="exact"/>
        <w:rPr>
          <w:sz w:val="20"/>
          <w:szCs w:val="20"/>
          <w:color w:val="auto"/>
        </w:rPr>
      </w:pPr>
    </w:p>
    <w:p>
      <w:pPr>
        <w:ind w:left="312" w:right="20" w:hanging="219"/>
        <w:spacing w:after="0" w:line="305" w:lineRule="auto"/>
        <w:rPr>
          <w:sz w:val="20"/>
          <w:szCs w:val="20"/>
          <w:color w:val="auto"/>
        </w:rPr>
      </w:pPr>
      <w:r>
        <w:rPr>
          <w:rFonts w:ascii="Arial" w:cs="Arial" w:eastAsia="Arial" w:hAnsi="Arial"/>
          <w:sz w:val="19"/>
          <w:szCs w:val="19"/>
          <w:color w:val="auto"/>
        </w:rPr>
        <w:t xml:space="preserve">(a)Each of the Loan Parties has good record and marketable title in fee simple to or valid leasehold interests in, all Real Estate necessary or used in the ordinary conduct of its business, except for such defects in title as could not, individually or in the aggregate, reasonably be expected to have a Material Adverse Effect. Each of the Loan Parties has good and marketable title to, valid leasehold interests in, or valid licenses to use all personal property and assets material to the ordinary conduct of its business. The property of the Loan Parties are subject to no Liens, other than Liens permitted by </w:t>
      </w:r>
      <w:r>
        <w:rPr>
          <w:rFonts w:ascii="Arial" w:cs="Arial" w:eastAsia="Arial" w:hAnsi="Arial"/>
          <w:sz w:val="19"/>
          <w:szCs w:val="19"/>
          <w:u w:val="single" w:color="auto"/>
          <w:color w:val="auto"/>
        </w:rPr>
        <w:t>Section 7.01.</w:t>
      </w:r>
    </w:p>
    <w:p>
      <w:pPr>
        <w:spacing w:after="0" w:line="110" w:lineRule="exact"/>
        <w:rPr>
          <w:sz w:val="20"/>
          <w:szCs w:val="20"/>
          <w:color w:val="auto"/>
        </w:rPr>
      </w:pPr>
    </w:p>
    <w:p>
      <w:pPr>
        <w:ind w:left="332" w:hanging="230"/>
        <w:spacing w:after="0" w:line="308" w:lineRule="auto"/>
        <w:rPr>
          <w:sz w:val="20"/>
          <w:szCs w:val="20"/>
          <w:color w:val="auto"/>
        </w:rPr>
      </w:pPr>
      <w:r>
        <w:rPr>
          <w:rFonts w:ascii="Arial" w:cs="Arial" w:eastAsia="Arial" w:hAnsi="Arial"/>
          <w:sz w:val="19"/>
          <w:szCs w:val="19"/>
          <w:u w:val="single" w:color="auto"/>
          <w:color w:val="auto"/>
        </w:rPr>
        <w:t>(b)Schedule 5.08(b)(1)</w:t>
      </w:r>
      <w:r>
        <w:rPr>
          <w:rFonts w:ascii="Arial" w:cs="Arial" w:eastAsia="Arial" w:hAnsi="Arial"/>
          <w:sz w:val="19"/>
          <w:szCs w:val="19"/>
          <w:color w:val="auto"/>
        </w:rPr>
        <w:t xml:space="preserve"> sets forth the address (including street address, county and state) of all Real Estate (excluding Leases) that is owned by the Loan Parties, together with a list of the holders of any mortgage or other Lien thereon as of the Closing Date. Each Loan Party has good, marketable and insurable fee simple title to the Real Estate owned by such Loan Party or such Subsidiary, free and clear of all Liens, other than Permitted Encumbrances. </w:t>
      </w:r>
      <w:r>
        <w:rPr>
          <w:rFonts w:ascii="Arial" w:cs="Arial" w:eastAsia="Arial" w:hAnsi="Arial"/>
          <w:sz w:val="19"/>
          <w:szCs w:val="19"/>
          <w:u w:val="single" w:color="auto"/>
          <w:color w:val="auto"/>
        </w:rPr>
        <w:t>Schedule 5.08(b)(2)</w:t>
      </w:r>
      <w:r>
        <w:rPr>
          <w:rFonts w:ascii="Arial" w:cs="Arial" w:eastAsia="Arial" w:hAnsi="Arial"/>
          <w:sz w:val="19"/>
          <w:szCs w:val="19"/>
          <w:color w:val="auto"/>
        </w:rPr>
        <w:t xml:space="preserve"> sets forth the address (including</w:t>
      </w:r>
    </w:p>
    <w:p>
      <w:pPr>
        <w:spacing w:after="0" w:line="215"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06" w:right="339" w:bottom="1440" w:gutter="0" w:footer="0" w:header="0"/>
        </w:sectPr>
      </w:pPr>
    </w:p>
    <w:bookmarkStart w:id="109" w:name="page110"/>
    <w:bookmarkEnd w:id="109"/>
    <w:p>
      <w:pPr>
        <w:ind w:left="92" w:right="180"/>
        <w:spacing w:after="0" w:line="292" w:lineRule="auto"/>
        <w:rPr>
          <w:sz w:val="20"/>
          <w:szCs w:val="20"/>
          <w:color w:val="auto"/>
        </w:rPr>
      </w:pPr>
      <w:r>
        <w:rPr>
          <w:rFonts w:ascii="Arial" w:cs="Arial" w:eastAsia="Arial" w:hAnsi="Arial"/>
          <w:sz w:val="20"/>
          <w:szCs w:val="20"/>
          <w:color w:val="auto"/>
        </w:rPr>
        <w:t>street address, county and state) of all Leases of the Loan Parties, together with the name of each lessor and its contact information with respect to each such Lease as of the Closing Date. Each of such Leases is in full force and effect and the Loan Parties are not in default of the terms thereof.</w:t>
      </w:r>
    </w:p>
    <w:p>
      <w:pPr>
        <w:spacing w:after="0" w:line="113"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5.09 Environmental Compliance.</w:t>
      </w:r>
    </w:p>
    <w:p>
      <w:pPr>
        <w:spacing w:after="0" w:line="181" w:lineRule="exact"/>
        <w:rPr>
          <w:sz w:val="20"/>
          <w:szCs w:val="20"/>
          <w:color w:val="auto"/>
        </w:rPr>
      </w:pPr>
    </w:p>
    <w:p>
      <w:pPr>
        <w:ind w:left="312" w:right="120" w:hanging="219"/>
        <w:spacing w:after="0" w:line="308" w:lineRule="auto"/>
        <w:rPr>
          <w:sz w:val="20"/>
          <w:szCs w:val="20"/>
          <w:color w:val="auto"/>
        </w:rPr>
      </w:pPr>
      <w:r>
        <w:rPr>
          <w:rFonts w:ascii="Arial" w:cs="Arial" w:eastAsia="Arial" w:hAnsi="Arial"/>
          <w:sz w:val="19"/>
          <w:szCs w:val="19"/>
          <w:color w:val="auto"/>
        </w:rPr>
        <w:t>(a)No Loan Party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spacing w:after="0" w:line="107" w:lineRule="exact"/>
        <w:rPr>
          <w:sz w:val="20"/>
          <w:szCs w:val="20"/>
          <w:color w:val="auto"/>
        </w:rPr>
      </w:pPr>
    </w:p>
    <w:p>
      <w:pPr>
        <w:ind w:left="332" w:right="180" w:hanging="230"/>
        <w:spacing w:after="0" w:line="321" w:lineRule="auto"/>
        <w:rPr>
          <w:sz w:val="20"/>
          <w:szCs w:val="20"/>
          <w:color w:val="auto"/>
        </w:rPr>
      </w:pPr>
      <w:r>
        <w:rPr>
          <w:rFonts w:ascii="Arial" w:cs="Arial" w:eastAsia="Arial" w:hAnsi="Arial"/>
          <w:sz w:val="18"/>
          <w:szCs w:val="18"/>
          <w:color w:val="auto"/>
        </w:rPr>
        <w:t>(b)None of the properties currently or formerly owned or operated by any Loan Party is listed or proposed for listing on the NPL or on the CERCLIS or any analogous foreign, state or local list or is adjacent to any such property;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to the best of the knowledge of the Loan Parties, on any property formerly owned or operated by any Loan Party; there is no asbestos or asbestos-containing material on any property currently owned or operated by any Loan Party; and Hazardous Materials have not been released, discharged or disposed of on any property currently or formerly owned or operated by any Loan Party.</w:t>
      </w:r>
    </w:p>
    <w:p>
      <w:pPr>
        <w:spacing w:after="0" w:line="101" w:lineRule="exact"/>
        <w:rPr>
          <w:sz w:val="20"/>
          <w:szCs w:val="20"/>
          <w:color w:val="auto"/>
        </w:rPr>
      </w:pPr>
    </w:p>
    <w:p>
      <w:pPr>
        <w:ind w:left="312" w:right="20" w:hanging="219"/>
        <w:spacing w:after="0" w:line="303" w:lineRule="auto"/>
        <w:rPr>
          <w:sz w:val="20"/>
          <w:szCs w:val="20"/>
          <w:color w:val="auto"/>
        </w:rPr>
      </w:pPr>
      <w:r>
        <w:rPr>
          <w:rFonts w:ascii="Arial" w:cs="Arial" w:eastAsia="Arial" w:hAnsi="Arial"/>
          <w:sz w:val="19"/>
          <w:szCs w:val="19"/>
          <w:color w:val="auto"/>
        </w:rPr>
        <w:t>(c)No Loan Party is undertaking, and no Loan Party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have been disposed of in a manner not reasonably expected to result in material liability to any Loan Party.</w:t>
      </w:r>
    </w:p>
    <w:p>
      <w:pPr>
        <w:spacing w:after="0" w:line="94"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5.10 Insurance</w:t>
      </w:r>
    </w:p>
    <w:p>
      <w:pPr>
        <w:spacing w:after="0" w:line="195" w:lineRule="exact"/>
        <w:rPr>
          <w:sz w:val="20"/>
          <w:szCs w:val="20"/>
          <w:color w:val="auto"/>
        </w:rPr>
      </w:pPr>
    </w:p>
    <w:p>
      <w:pPr>
        <w:ind w:left="-8" w:right="100" w:firstLine="8"/>
        <w:spacing w:after="0" w:line="302" w:lineRule="auto"/>
        <w:tabs>
          <w:tab w:leader="none" w:pos="1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The properties of the Loan Parties are insured with financially sound and reputable insurance companies which are not Affiliates of the Loan Parties, in such amounts (after giving effect to any self-insurance compatible with the following standards),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operates. </w:t>
      </w:r>
      <w:r>
        <w:rPr>
          <w:rFonts w:ascii="Arial" w:cs="Arial" w:eastAsia="Arial" w:hAnsi="Arial"/>
          <w:sz w:val="19"/>
          <w:szCs w:val="19"/>
          <w:u w:val="single" w:color="auto"/>
          <w:color w:val="auto"/>
        </w:rPr>
        <w:t>Schedule 5.10</w:t>
      </w:r>
      <w:r>
        <w:rPr>
          <w:rFonts w:ascii="Arial" w:cs="Arial" w:eastAsia="Arial" w:hAnsi="Arial"/>
          <w:sz w:val="19"/>
          <w:szCs w:val="19"/>
          <w:color w:val="auto"/>
        </w:rPr>
        <w:t xml:space="preserve"> sets forth a description of all insurance maintained by or on behalf of the Loan Parties as of the Closing Date. As of the Closing Date, each insurance policy listed on </w:t>
      </w:r>
      <w:r>
        <w:rPr>
          <w:rFonts w:ascii="Arial" w:cs="Arial" w:eastAsia="Arial" w:hAnsi="Arial"/>
          <w:sz w:val="19"/>
          <w:szCs w:val="19"/>
          <w:u w:val="single" w:color="auto"/>
          <w:color w:val="auto"/>
        </w:rPr>
        <w:t>Schedule 5.10</w:t>
      </w:r>
      <w:r>
        <w:rPr>
          <w:rFonts w:ascii="Arial" w:cs="Arial" w:eastAsia="Arial" w:hAnsi="Arial"/>
          <w:sz w:val="19"/>
          <w:szCs w:val="19"/>
          <w:color w:val="auto"/>
        </w:rPr>
        <w:t xml:space="preserve"> is in full force and effect and all premiums in respect thereof that are due and payable have been paid.</w:t>
      </w:r>
    </w:p>
    <w:p>
      <w:pPr>
        <w:spacing w:after="0" w:line="108"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5.11 Taxes</w:t>
      </w:r>
    </w:p>
    <w:p>
      <w:pPr>
        <w:spacing w:after="0" w:line="181" w:lineRule="exact"/>
        <w:rPr>
          <w:sz w:val="20"/>
          <w:szCs w:val="20"/>
          <w:color w:val="auto"/>
        </w:rPr>
      </w:pPr>
    </w:p>
    <w:p>
      <w:pPr>
        <w:ind w:left="-8" w:firstLine="8"/>
        <w:spacing w:after="0" w:line="303" w:lineRule="auto"/>
        <w:tabs>
          <w:tab w:leader="none" w:pos="14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Loan Parties have filed all Federal, state and other tax returns and reports required to be filed, and have paid all Federal, state and other taxes, assessments, fees and other governmental charges levied or</w:t>
      </w:r>
    </w:p>
    <w:p>
      <w:pPr>
        <w:spacing w:after="0" w:line="229"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6" w:right="359" w:bottom="1440" w:gutter="0" w:footer="0" w:header="0"/>
        </w:sectPr>
      </w:pPr>
    </w:p>
    <w:bookmarkStart w:id="110" w:name="page111"/>
    <w:bookmarkEnd w:id="110"/>
    <w:p>
      <w:pPr>
        <w:ind w:right="140"/>
        <w:spacing w:after="0" w:line="325" w:lineRule="auto"/>
        <w:rPr>
          <w:sz w:val="20"/>
          <w:szCs w:val="20"/>
          <w:color w:val="auto"/>
        </w:rPr>
      </w:pPr>
      <w:r>
        <w:rPr>
          <w:rFonts w:ascii="Arial" w:cs="Arial" w:eastAsia="Arial" w:hAnsi="Arial"/>
          <w:sz w:val="18"/>
          <w:szCs w:val="18"/>
          <w:color w:val="auto"/>
        </w:rPr>
        <w:t>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has been filed and which contest effectively suspends the collection of the contested obligation and the enforcement of any Lien securing such obligation. There is no proposed tax assessment against any Loan Party that would, if made, have a Material Adverse Effect. No Loan Party or any Subsidiary thereof is a party to any tax sharing agreement.</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5.12 ERISA Compliance</w:t>
      </w:r>
      <w:r>
        <w:rPr>
          <w:rFonts w:ascii="Arial" w:cs="Arial" w:eastAsia="Arial" w:hAnsi="Arial"/>
          <w:sz w:val="20"/>
          <w:szCs w:val="20"/>
          <w:color w:val="auto"/>
        </w:rPr>
        <w:t>.</w:t>
      </w:r>
    </w:p>
    <w:p>
      <w:pPr>
        <w:spacing w:after="0" w:line="181" w:lineRule="exact"/>
        <w:rPr>
          <w:sz w:val="20"/>
          <w:szCs w:val="20"/>
          <w:color w:val="auto"/>
        </w:rPr>
      </w:pPr>
    </w:p>
    <w:p>
      <w:pPr>
        <w:ind w:left="320" w:right="60" w:hanging="219"/>
        <w:spacing w:after="0" w:line="323" w:lineRule="auto"/>
        <w:rPr>
          <w:sz w:val="20"/>
          <w:szCs w:val="20"/>
          <w:color w:val="auto"/>
        </w:rPr>
      </w:pPr>
      <w:r>
        <w:rPr>
          <w:rFonts w:ascii="Arial" w:cs="Arial" w:eastAsia="Arial" w:hAnsi="Arial"/>
          <w:sz w:val="18"/>
          <w:szCs w:val="18"/>
          <w:color w:val="auto"/>
        </w:rPr>
        <w:t>(a)Each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Lead Borrower, nothing has occurred that would prevent or cause the loss of such tax-qualified status.</w:t>
      </w:r>
    </w:p>
    <w:p>
      <w:pPr>
        <w:spacing w:after="0" w:line="97" w:lineRule="exact"/>
        <w:rPr>
          <w:sz w:val="20"/>
          <w:szCs w:val="20"/>
          <w:color w:val="auto"/>
        </w:rPr>
      </w:pPr>
    </w:p>
    <w:p>
      <w:pPr>
        <w:ind w:left="340" w:hanging="230"/>
        <w:spacing w:after="0" w:line="288" w:lineRule="auto"/>
        <w:rPr>
          <w:sz w:val="20"/>
          <w:szCs w:val="20"/>
          <w:color w:val="auto"/>
        </w:rPr>
      </w:pPr>
      <w:r>
        <w:rPr>
          <w:rFonts w:ascii="Arial" w:cs="Arial" w:eastAsia="Arial" w:hAnsi="Arial"/>
          <w:sz w:val="20"/>
          <w:szCs w:val="20"/>
          <w:color w:val="auto"/>
        </w:rPr>
        <w:t>(b)There are no pending or, to the best knowledge of the Lead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25" w:lineRule="exact"/>
        <w:rPr>
          <w:sz w:val="20"/>
          <w:szCs w:val="20"/>
          <w:color w:val="auto"/>
        </w:rPr>
      </w:pPr>
    </w:p>
    <w:p>
      <w:pPr>
        <w:ind w:left="320" w:right="80" w:hanging="219"/>
        <w:spacing w:after="0" w:line="317" w:lineRule="auto"/>
        <w:rPr>
          <w:sz w:val="20"/>
          <w:szCs w:val="20"/>
          <w:color w:val="auto"/>
        </w:rPr>
      </w:pPr>
      <w:r>
        <w:rPr>
          <w:rFonts w:ascii="Arial" w:cs="Arial" w:eastAsia="Arial" w:hAnsi="Arial"/>
          <w:sz w:val="18"/>
          <w:szCs w:val="18"/>
          <w:color w:val="auto"/>
        </w:rPr>
        <w:t>(c)(i) No ERISA Event has occurred, and neither the Lead Borrower nor any ERISA Affiliate is aware of any fact, event or circumstance that could reasonably be expected to constitute or result in an ERISA Event with respect to any Pension Plan; (ii) the Lead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80% or higher and neither the Lead Borrower nor any ERISA Affiliate knows of any facts or circumstances that could reasonably be expected to cause the funding target attainment percentage for any such plan to drop below 80% as of the most recent valuation date; (iv) neither the Lead Borrower nor any ERISA Affiliate has incurred any liability to the PBGC other than for the payment of premiums, and there are no premium payments which have become due that are unpaid; (v) neither the Lead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94" w:lineRule="exact"/>
        <w:rPr>
          <w:sz w:val="20"/>
          <w:szCs w:val="20"/>
          <w:color w:val="auto"/>
        </w:rPr>
      </w:pPr>
    </w:p>
    <w:p>
      <w:pPr>
        <w:ind w:left="340" w:hanging="230"/>
        <w:spacing w:after="0" w:line="292" w:lineRule="auto"/>
        <w:rPr>
          <w:sz w:val="20"/>
          <w:szCs w:val="20"/>
          <w:color w:val="auto"/>
        </w:rPr>
      </w:pPr>
      <w:r>
        <w:rPr>
          <w:rFonts w:ascii="Arial" w:cs="Arial" w:eastAsia="Arial" w:hAnsi="Arial"/>
          <w:sz w:val="20"/>
          <w:szCs w:val="20"/>
          <w:color w:val="auto"/>
        </w:rPr>
        <w:t>(d)Each Loan Party represents and warrants as of the Closing Date that each Loan Party is not and will not be using “plan assets” (within the meaning of 29 CFR § 2510.3-101, as modified by Section 3(42) of ERISA) of one or more Plans in connection with the Loans, the Letters of Credit or the Commitments.</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5.13 Subsidiaries; Equity Interests</w:t>
      </w:r>
    </w:p>
    <w:p>
      <w:pPr>
        <w:spacing w:after="0" w:line="31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11" w:name="page112"/>
    <w:bookmarkEnd w:id="111"/>
    <w:p>
      <w:pPr>
        <w:ind w:left="-8" w:right="60" w:firstLine="8"/>
        <w:spacing w:after="0" w:line="300" w:lineRule="auto"/>
        <w:tabs>
          <w:tab w:leader="none" w:pos="1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As of the Closing Date, the Loan Parties have no Subsidiaries other than those specifically disclosed in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which Schedule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except for those created under the Security Documents. Except as set forth in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there are no outstanding rights to purchase any Equity Interests in any Subsidiary. As of the Closing Date, the Loan Parties have no equity investments in any other corporation or entity other than those specifically disclosed in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All of the outstanding Equity Interests in the Loan Parties have been validly issued, and are fully paid and non-assessable and are owned in the amounts specified on Part (c)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free and clear of all Liens except for those created under the Security Documents. The copies of the Organization Documents of each Loan Party and each amendment thereto delivered to the Agent on the Closing Date are true and correct copies of each such document, each of which is valid and in full force and effect.</w:t>
      </w:r>
    </w:p>
    <w:p>
      <w:pPr>
        <w:spacing w:after="0" w:line="108"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5.14 Margin Regulations; Investment Company Act.</w:t>
      </w:r>
    </w:p>
    <w:p>
      <w:pPr>
        <w:spacing w:after="0" w:line="181" w:lineRule="exact"/>
        <w:rPr>
          <w:sz w:val="20"/>
          <w:szCs w:val="20"/>
          <w:color w:val="auto"/>
        </w:rPr>
      </w:pPr>
    </w:p>
    <w:p>
      <w:pPr>
        <w:ind w:left="312" w:hanging="219"/>
        <w:spacing w:after="0" w:line="286" w:lineRule="auto"/>
        <w:rPr>
          <w:sz w:val="20"/>
          <w:szCs w:val="20"/>
          <w:color w:val="auto"/>
        </w:rPr>
      </w:pPr>
      <w:r>
        <w:rPr>
          <w:rFonts w:ascii="Arial" w:cs="Arial" w:eastAsia="Arial" w:hAnsi="Arial"/>
          <w:sz w:val="20"/>
          <w:szCs w:val="20"/>
          <w:color w:val="auto"/>
        </w:rPr>
        <w:t>(a)No Loan Party is engaged or will be engaged, principally or as one of its important activities, in the business of 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spacing w:after="0" w:line="124" w:lineRule="exact"/>
        <w:rPr>
          <w:sz w:val="20"/>
          <w:szCs w:val="20"/>
          <w:color w:val="auto"/>
        </w:rPr>
      </w:pPr>
    </w:p>
    <w:p>
      <w:pPr>
        <w:ind w:left="332" w:right="200" w:hanging="230"/>
        <w:spacing w:after="0" w:line="303" w:lineRule="auto"/>
        <w:rPr>
          <w:sz w:val="20"/>
          <w:szCs w:val="20"/>
          <w:color w:val="auto"/>
        </w:rPr>
      </w:pPr>
      <w:r>
        <w:rPr>
          <w:rFonts w:ascii="Arial" w:cs="Arial" w:eastAsia="Arial" w:hAnsi="Arial"/>
          <w:sz w:val="20"/>
          <w:szCs w:val="20"/>
          <w:color w:val="auto"/>
        </w:rPr>
        <w:t>(b)None of the Loan Parties, any Person Controlling any Loan Party, or any Subsidiary is or is required to be registered as an “investment company” under the Investment Company Act of 1940, as amended.</w:t>
      </w:r>
    </w:p>
    <w:p>
      <w:pPr>
        <w:spacing w:after="0" w:line="102"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5.15 Disclosure</w:t>
      </w:r>
    </w:p>
    <w:p>
      <w:pPr>
        <w:spacing w:after="0" w:line="181" w:lineRule="exact"/>
        <w:rPr>
          <w:sz w:val="20"/>
          <w:szCs w:val="20"/>
          <w:color w:val="auto"/>
        </w:rPr>
      </w:pPr>
    </w:p>
    <w:p>
      <w:pPr>
        <w:ind w:left="-8" w:right="40" w:firstLine="8"/>
        <w:spacing w:after="0" w:line="319" w:lineRule="auto"/>
        <w:tabs>
          <w:tab w:leader="none" w:pos="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Each Loan Party has disclosed to the Agent and the Lenders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represent only that such information was prepared in good faith based upon assumptions believed to be reasonable at the time. As of the Closing Date, the information included in the Beneficial Ownership Certification, if applicable, is true and correct in all respects.</w:t>
      </w:r>
    </w:p>
    <w:p>
      <w:pPr>
        <w:spacing w:after="0" w:line="96"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5.16 Compliance with Laws</w:t>
      </w:r>
    </w:p>
    <w:p>
      <w:pPr>
        <w:spacing w:after="0" w:line="195" w:lineRule="exact"/>
        <w:rPr>
          <w:sz w:val="20"/>
          <w:szCs w:val="20"/>
          <w:color w:val="auto"/>
        </w:rPr>
      </w:pPr>
    </w:p>
    <w:p>
      <w:pPr>
        <w:ind w:left="-8" w:right="260" w:firstLine="8"/>
        <w:spacing w:after="0" w:line="303" w:lineRule="auto"/>
        <w:tabs>
          <w:tab w:leader="none" w:pos="1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of the Loan Parties is in compliance in all material respects with the requirements of all Laws and all orders, writs, injunctions and decrees applicable to it or to its properties, except in such instances in</w:t>
      </w:r>
    </w:p>
    <w:p>
      <w:pPr>
        <w:spacing w:after="0" w:line="216"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406" w:right="379" w:bottom="1440" w:gutter="0" w:footer="0" w:header="0"/>
        </w:sectPr>
      </w:pPr>
    </w:p>
    <w:bookmarkStart w:id="112" w:name="page113"/>
    <w:bookmarkEnd w:id="112"/>
    <w:p>
      <w:pPr>
        <w:jc w:val="both"/>
        <w:ind w:right="80"/>
        <w:spacing w:after="0" w:line="292" w:lineRule="auto"/>
        <w:rPr>
          <w:sz w:val="20"/>
          <w:szCs w:val="20"/>
          <w:color w:val="auto"/>
        </w:rPr>
      </w:pPr>
      <w:r>
        <w:rPr>
          <w:rFonts w:ascii="Arial" w:cs="Arial" w:eastAsia="Arial" w:hAnsi="Arial"/>
          <w:sz w:val="20"/>
          <w:szCs w:val="20"/>
          <w:color w:val="auto"/>
        </w:rPr>
        <w:t>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5.17 Intellectual Property; Licenses, Etc.</w:t>
      </w:r>
    </w:p>
    <w:p>
      <w:pPr>
        <w:spacing w:after="0" w:line="181" w:lineRule="exact"/>
        <w:rPr>
          <w:sz w:val="20"/>
          <w:szCs w:val="20"/>
          <w:color w:val="auto"/>
        </w:rPr>
      </w:pPr>
    </w:p>
    <w:p>
      <w:pPr>
        <w:ind w:right="40" w:firstLine="8"/>
        <w:spacing w:after="0" w:line="323" w:lineRule="auto"/>
        <w:tabs>
          <w:tab w:leader="none" w:pos="1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Loan Parties own, or possess the right to use, all of the Intellectual Property, licenses, permits and other authorizations that are reasonably necessary for the operation of their respective businesses, without conflict with the rights of any other Person. To the best knowledge of the Lead Borrower, no slogan or other advertising device, product, process, method, substance, part or other material now employed, or now contemplated to be employed, by any Loan Party infringes upon any rights held by any other Person. Except as specifically disclosed in </w:t>
      </w:r>
      <w:r>
        <w:rPr>
          <w:rFonts w:ascii="Arial" w:cs="Arial" w:eastAsia="Arial" w:hAnsi="Arial"/>
          <w:sz w:val="18"/>
          <w:szCs w:val="18"/>
          <w:u w:val="single" w:color="auto"/>
          <w:color w:val="auto"/>
        </w:rPr>
        <w:t>Schedule 5.17</w:t>
      </w:r>
      <w:r>
        <w:rPr>
          <w:rFonts w:ascii="Arial" w:cs="Arial" w:eastAsia="Arial" w:hAnsi="Arial"/>
          <w:sz w:val="18"/>
          <w:szCs w:val="18"/>
          <w:color w:val="auto"/>
        </w:rPr>
        <w:t>, no claim or litigation regarding any of the foregoing is pending or, to the best knowledge of the Lead Borrower, threatened, which, either individually or in the aggregate, could reasonably be expected to have a Material Adverse Effect.</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5.18 Labor Matters</w:t>
      </w:r>
      <w:r>
        <w:rPr>
          <w:rFonts w:ascii="Arial" w:cs="Arial" w:eastAsia="Arial" w:hAnsi="Arial"/>
          <w:sz w:val="20"/>
          <w:szCs w:val="20"/>
          <w:color w:val="auto"/>
        </w:rPr>
        <w:t>.</w:t>
      </w:r>
    </w:p>
    <w:p>
      <w:pPr>
        <w:spacing w:after="0" w:line="19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 xml:space="preserve">There are no strikes, lockouts, slowdowns or other material labor disputes against any Loan Party pending or, to the knowledge of any Loan Party, threatened. The hours worked by and payments made to employees of the Loan Parties comply with the Fair Labor Standards Act and any other applicable federal, state, local or foreign Law dealing with such matters. No Loan Party has incurred any liability or obligation under the Worker Adjustment and Retraining Act or similar state Law. All payments due from any Loan Party, or for which any claim may be made against any Loan Party, on account of wages and employee health and welfare insurance and other benefits, have been paid or properly accrued in accordance with GAAP as a liability on the books of such Loan Party. Except as set forth on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no Loan Party is a party to or bound by any collective bargaining agreement, management agreement, employment agreement, bonus, restricted stock, stock option, or stock appreciation plan or agreement or any similar plan, agreement or arrangement. There are no representation proceedings pending or, to any Loan Party’s knowledge, threatened to be filed with the National Labor Relations Board, and no labor organization or group of employees of any Loan Party has made a pending demand for recognition. There are no complaints, unfair labor practice charges, grievances, arbitrations, unfair employment practices charges or any other claims or complaints against any Loan Party pending or, to the knowledge of any Loan Party, threatened to be filed with any Governmental Authority or arbitrator based on, arising out of, in connection with, or otherwise relating to the employment or termination of employment of any employee of any Loan Party. The consummation of the transactions contemplated by the Loan Documents will not give rise to any right of termination or right of renegotiation on the part of any union under any collective bargaining agreement to which any Loan Party is bound.</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5.19 Security Documents</w:t>
      </w:r>
      <w:r>
        <w:rPr>
          <w:rFonts w:ascii="Arial" w:cs="Arial" w:eastAsia="Arial" w:hAnsi="Arial"/>
          <w:sz w:val="20"/>
          <w:szCs w:val="20"/>
          <w:color w:val="auto"/>
        </w:rPr>
        <w:t>.</w:t>
      </w:r>
    </w:p>
    <w:p>
      <w:pPr>
        <w:spacing w:after="0" w:line="195" w:lineRule="exact"/>
        <w:rPr>
          <w:sz w:val="20"/>
          <w:szCs w:val="20"/>
          <w:color w:val="auto"/>
        </w:rPr>
      </w:pPr>
    </w:p>
    <w:p>
      <w:pPr>
        <w:ind w:left="100" w:right="80" w:firstLine="1498"/>
        <w:spacing w:after="0" w:line="286" w:lineRule="auto"/>
        <w:rPr>
          <w:sz w:val="20"/>
          <w:szCs w:val="20"/>
          <w:color w:val="auto"/>
        </w:rPr>
      </w:pPr>
      <w:r>
        <w:rPr>
          <w:rFonts w:ascii="Arial" w:cs="Arial" w:eastAsia="Arial" w:hAnsi="Arial"/>
          <w:sz w:val="20"/>
          <w:szCs w:val="20"/>
          <w:color w:val="auto"/>
        </w:rPr>
        <w:t>The Security Agreement creates in favor of the Agent, for the benefit of the Secured Parties (as defined in the Security Agreement)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w:t>
      </w:r>
    </w:p>
    <w:p>
      <w:pPr>
        <w:spacing w:after="0" w:line="24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13" w:name="page114"/>
    <w:bookmarkEnd w:id="113"/>
    <w:p>
      <w:pPr>
        <w:ind w:left="100" w:right="20"/>
        <w:spacing w:after="0" w:line="287" w:lineRule="auto"/>
        <w:rPr>
          <w:sz w:val="20"/>
          <w:szCs w:val="20"/>
          <w:color w:val="auto"/>
        </w:rPr>
      </w:pPr>
      <w:r>
        <w:rPr>
          <w:rFonts w:ascii="Arial" w:cs="Arial" w:eastAsia="Arial" w:hAnsi="Arial"/>
          <w:sz w:val="20"/>
          <w:szCs w:val="20"/>
          <w:color w:val="auto"/>
        </w:rPr>
        <w:t>Agreement. Upon such filings and/or the obtaining of “control” (as defined in the UCC), the Agent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5.20 Solvency</w:t>
      </w:r>
    </w:p>
    <w:p>
      <w:pPr>
        <w:spacing w:after="0" w:line="181" w:lineRule="exact"/>
        <w:rPr>
          <w:sz w:val="20"/>
          <w:szCs w:val="20"/>
          <w:color w:val="auto"/>
        </w:rPr>
      </w:pPr>
    </w:p>
    <w:p>
      <w:pPr>
        <w:ind w:right="80"/>
        <w:spacing w:after="0" w:line="329" w:lineRule="auto"/>
        <w:rPr>
          <w:sz w:val="20"/>
          <w:szCs w:val="20"/>
          <w:color w:val="auto"/>
        </w:rPr>
      </w:pPr>
      <w:r>
        <w:rPr>
          <w:rFonts w:ascii="Arial" w:cs="Arial" w:eastAsia="Arial" w:hAnsi="Arial"/>
          <w:sz w:val="18"/>
          <w:szCs w:val="18"/>
          <w:color w:val="auto"/>
        </w:rPr>
        <w:t>After giving effect to the transactions contemplated by this Agreement, and before and after giving effect to each Credit Extension, the Loan Parties, on a Consolidated basis, are and will be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5.21 Deposit Accounts; Credit Card Arrangements</w:t>
      </w:r>
      <w:r>
        <w:rPr>
          <w:rFonts w:ascii="Arial" w:cs="Arial" w:eastAsia="Arial" w:hAnsi="Arial"/>
          <w:sz w:val="20"/>
          <w:szCs w:val="20"/>
          <w:color w:val="auto"/>
        </w:rPr>
        <w:t>.</w:t>
      </w:r>
    </w:p>
    <w:p>
      <w:pPr>
        <w:spacing w:after="0" w:line="195" w:lineRule="exact"/>
        <w:rPr>
          <w:sz w:val="20"/>
          <w:szCs w:val="20"/>
          <w:color w:val="auto"/>
        </w:rPr>
      </w:pPr>
    </w:p>
    <w:p>
      <w:pPr>
        <w:jc w:val="both"/>
        <w:ind w:left="320" w:right="720" w:hanging="219"/>
        <w:spacing w:after="0" w:line="338" w:lineRule="auto"/>
        <w:rPr>
          <w:sz w:val="20"/>
          <w:szCs w:val="20"/>
          <w:color w:val="auto"/>
        </w:rPr>
      </w:pPr>
      <w:r>
        <w:rPr>
          <w:rFonts w:ascii="Arial" w:cs="Arial" w:eastAsia="Arial" w:hAnsi="Arial"/>
          <w:sz w:val="18"/>
          <w:szCs w:val="18"/>
          <w:color w:val="auto"/>
        </w:rPr>
        <w:t xml:space="preserve">(a)Annexed hereto as </w:t>
      </w:r>
      <w:r>
        <w:rPr>
          <w:rFonts w:ascii="Arial" w:cs="Arial" w:eastAsia="Arial" w:hAnsi="Arial"/>
          <w:sz w:val="18"/>
          <w:szCs w:val="18"/>
          <w:u w:val="single" w:color="auto"/>
          <w:color w:val="auto"/>
        </w:rPr>
        <w:t>Schedule 5.21(a)</w:t>
      </w:r>
      <w:r>
        <w:rPr>
          <w:rFonts w:ascii="Arial" w:cs="Arial" w:eastAsia="Arial" w:hAnsi="Arial"/>
          <w:sz w:val="18"/>
          <w:szCs w:val="18"/>
          <w:color w:val="auto"/>
        </w:rPr>
        <w:t xml:space="preserve"> is a list of all DDAs maintained by the Loan Parties as of the Closing Date, which Schedule includes, with respect to each DDA (i) the name and address of the depository; (ii) the account number(s) maintained with such depository; (iii) a contact person at such depository, and (iv) the identification of each Controlled Account Bank.</w:t>
      </w:r>
    </w:p>
    <w:p>
      <w:pPr>
        <w:spacing w:after="0" w:line="70" w:lineRule="exact"/>
        <w:rPr>
          <w:sz w:val="20"/>
          <w:szCs w:val="20"/>
          <w:color w:val="auto"/>
        </w:rPr>
      </w:pPr>
    </w:p>
    <w:p>
      <w:pPr>
        <w:jc w:val="both"/>
        <w:ind w:left="340" w:right="160" w:hanging="230"/>
        <w:spacing w:after="0" w:line="292" w:lineRule="auto"/>
        <w:rPr>
          <w:sz w:val="20"/>
          <w:szCs w:val="20"/>
          <w:color w:val="auto"/>
        </w:rPr>
      </w:pPr>
      <w:r>
        <w:rPr>
          <w:rFonts w:ascii="Arial" w:cs="Arial" w:eastAsia="Arial" w:hAnsi="Arial"/>
          <w:sz w:val="20"/>
          <w:szCs w:val="20"/>
          <w:color w:val="auto"/>
        </w:rPr>
        <w:t xml:space="preserve">(b)Annexed hereto as </w:t>
      </w:r>
      <w:r>
        <w:rPr>
          <w:rFonts w:ascii="Arial" w:cs="Arial" w:eastAsia="Arial" w:hAnsi="Arial"/>
          <w:sz w:val="20"/>
          <w:szCs w:val="20"/>
          <w:u w:val="single" w:color="auto"/>
          <w:color w:val="auto"/>
        </w:rPr>
        <w:t>Schedule 5.21(b)</w:t>
      </w:r>
      <w:r>
        <w:rPr>
          <w:rFonts w:ascii="Arial" w:cs="Arial" w:eastAsia="Arial" w:hAnsi="Arial"/>
          <w:sz w:val="20"/>
          <w:szCs w:val="20"/>
          <w:color w:val="auto"/>
        </w:rPr>
        <w:t xml:space="preserve"> is a list describing all arrangements as of the Closing Date to which any Loan Party is a party with respect to the processing and/or payment to such Loan Party of the proceeds of any credit card charges and debit card charges for sales made by such Loan Party.</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5.22 Brokers</w:t>
      </w:r>
    </w:p>
    <w:p>
      <w:pPr>
        <w:spacing w:after="0" w:line="195" w:lineRule="exact"/>
        <w:rPr>
          <w:sz w:val="20"/>
          <w:szCs w:val="20"/>
          <w:color w:val="auto"/>
        </w:rPr>
      </w:pPr>
    </w:p>
    <w:p>
      <w:pPr>
        <w:ind w:right="40" w:firstLine="8"/>
        <w:spacing w:after="0" w:line="363" w:lineRule="auto"/>
        <w:tabs>
          <w:tab w:leader="none" w:pos="1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broker or finder brought about the obtaining, making or closing of the Loans or transactions contemplated by the Loan Documents, and no Loan Party or Affiliate thereof has any obligation to any Person in respect of any finder’s or brokerage fees in connection therewith.</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5.23 Customer and Trade Relations</w:t>
      </w:r>
    </w:p>
    <w:p>
      <w:pPr>
        <w:spacing w:after="0" w:line="195" w:lineRule="exact"/>
        <w:rPr>
          <w:sz w:val="20"/>
          <w:szCs w:val="20"/>
          <w:color w:val="auto"/>
        </w:rPr>
      </w:pPr>
    </w:p>
    <w:p>
      <w:pPr>
        <w:ind w:right="860" w:firstLine="8"/>
        <w:spacing w:after="0" w:line="331" w:lineRule="auto"/>
        <w:tabs>
          <w:tab w:leader="none" w:pos="148"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There exists no actual or, to the knowledge of any Loan Party, threatened, termination or cancellation of, or any material adverse modification or change in the business relationship of any Loan Party with any supplier material to its operations.</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5.24 Material Contracts</w:t>
      </w:r>
    </w:p>
    <w:p>
      <w:pPr>
        <w:spacing w:after="0" w:line="181" w:lineRule="exact"/>
        <w:rPr>
          <w:sz w:val="20"/>
          <w:szCs w:val="20"/>
          <w:color w:val="auto"/>
        </w:rPr>
      </w:pPr>
    </w:p>
    <w:p>
      <w:pPr>
        <w:ind w:firstLine="8"/>
        <w:spacing w:after="0" w:line="288" w:lineRule="auto"/>
        <w:tabs>
          <w:tab w:leader="none" w:pos="148"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Schedule 5.24</w:t>
      </w:r>
      <w:r>
        <w:rPr>
          <w:rFonts w:ascii="Arial" w:cs="Arial" w:eastAsia="Arial" w:hAnsi="Arial"/>
          <w:sz w:val="20"/>
          <w:szCs w:val="20"/>
          <w:color w:val="auto"/>
        </w:rPr>
        <w:t xml:space="preserve"> sets forth all Material Contracts to which any Loan Party is a party or is bound as of the Closing Date. The Loan Parties have delivered true, correct and complete copies of such Material Contracts to the Agent on or before the Closing Date. The Loan Parties are not in breach or in default in any material respect of or under any Material Contract and have not received any notice of default under, or of the intention of any other party thereto to terminate, any Material Contract.</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5.25 Casualty</w:t>
      </w:r>
    </w:p>
    <w:p>
      <w:pPr>
        <w:spacing w:after="0" w:line="31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14" w:name="page115"/>
    <w:bookmarkEnd w:id="114"/>
    <w:p>
      <w:pPr>
        <w:ind w:right="20" w:firstLine="8"/>
        <w:spacing w:after="0" w:line="338" w:lineRule="auto"/>
        <w:tabs>
          <w:tab w:leader="none" w:pos="1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5.26 EEA Financial Institution.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None of the Loan Parties is an EEA Financial Institution.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5.27 OFAC; Sanctions.</w:t>
      </w:r>
    </w:p>
    <w:p>
      <w:pPr>
        <w:spacing w:after="0" w:line="195" w:lineRule="exact"/>
        <w:rPr>
          <w:sz w:val="20"/>
          <w:szCs w:val="20"/>
          <w:color w:val="auto"/>
        </w:rPr>
      </w:pPr>
    </w:p>
    <w:p>
      <w:pPr>
        <w:spacing w:after="0" w:line="317" w:lineRule="auto"/>
        <w:rPr>
          <w:sz w:val="20"/>
          <w:szCs w:val="20"/>
          <w:color w:val="auto"/>
        </w:rPr>
      </w:pPr>
      <w:r>
        <w:rPr>
          <w:rFonts w:ascii="Arial" w:cs="Arial" w:eastAsia="Arial" w:hAnsi="Arial"/>
          <w:sz w:val="18"/>
          <w:szCs w:val="18"/>
          <w:color w:val="auto"/>
        </w:rPr>
        <w:t>No Loan Party nor any of its Subsidiaries is in violation of any Sanctions</w:t>
      </w:r>
      <w:r>
        <w:rPr>
          <w:rFonts w:ascii="Arial" w:cs="Arial" w:eastAsia="Arial" w:hAnsi="Arial"/>
          <w:sz w:val="18"/>
          <w:szCs w:val="18"/>
          <w:i w:val="1"/>
          <w:iCs w:val="1"/>
          <w:color w:val="auto"/>
        </w:rPr>
        <w:t>.</w:t>
      </w:r>
      <w:r>
        <w:rPr>
          <w:rFonts w:ascii="Arial" w:cs="Arial" w:eastAsia="Arial" w:hAnsi="Arial"/>
          <w:sz w:val="18"/>
          <w:szCs w:val="18"/>
          <w:color w:val="auto"/>
        </w:rPr>
        <w:t xml:space="preserve">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by the Loan Parties and their Subsidiaries and their respective directors, officers, employees, agents and Affiliates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in all material respects.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applicable Sanctions, Anti-Corruption Laws or Anti-Money Laundering Laws by any Person (including any Credit Party or other individual or entity participating in any transaction).</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5.28 Beneficial Ownership 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As of the Closing Date, the information included in the Beneficial Ownership Certification is true and correct in all respects.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VI</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AFFIRMATIVE COVENANTS</w:t>
      </w:r>
    </w:p>
    <w:p>
      <w:pPr>
        <w:spacing w:after="0" w:line="181" w:lineRule="exact"/>
        <w:rPr>
          <w:sz w:val="20"/>
          <w:szCs w:val="20"/>
          <w:color w:val="auto"/>
        </w:rPr>
      </w:pPr>
    </w:p>
    <w:p>
      <w:pPr>
        <w:ind w:right="140"/>
        <w:spacing w:after="0" w:line="338"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claims for which a claim has not been asserted), or any Letter of Credit shall remain outstanding, the Loan Parties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6.01 Financial Statements</w:t>
      </w:r>
    </w:p>
    <w:p>
      <w:pPr>
        <w:spacing w:after="0" w:line="195"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Deliver to the Agent, in form and detail satisfactory to the Agent:</w:t>
      </w:r>
    </w:p>
    <w:p>
      <w:pPr>
        <w:spacing w:after="0" w:line="175" w:lineRule="exact"/>
        <w:rPr>
          <w:rFonts w:ascii="Arial" w:cs="Arial" w:eastAsia="Arial" w:hAnsi="Arial"/>
          <w:sz w:val="20"/>
          <w:szCs w:val="20"/>
          <w:color w:val="auto"/>
        </w:rPr>
      </w:pPr>
    </w:p>
    <w:p>
      <w:pPr>
        <w:jc w:val="both"/>
        <w:ind w:left="1600" w:right="200" w:firstLine="799"/>
        <w:spacing w:after="0" w:line="292" w:lineRule="auto"/>
        <w:tabs>
          <w:tab w:leader="none" w:pos="2997" w:val="left"/>
        </w:tabs>
        <w:numPr>
          <w:ilvl w:val="1"/>
          <w:numId w:val="97"/>
        </w:numPr>
        <w:rPr>
          <w:rFonts w:ascii="Arial" w:cs="Arial" w:eastAsia="Arial" w:hAnsi="Arial"/>
          <w:sz w:val="20"/>
          <w:szCs w:val="20"/>
          <w:color w:val="auto"/>
        </w:rPr>
      </w:pPr>
      <w:r>
        <w:rPr>
          <w:rFonts w:ascii="Arial" w:cs="Arial" w:eastAsia="Arial" w:hAnsi="Arial"/>
          <w:sz w:val="20"/>
          <w:szCs w:val="20"/>
          <w:color w:val="auto"/>
        </w:rPr>
        <w:t>as soon as available, but in any event within ninety-five (95) days after the end of each Fiscal Year of the Lead Borrower, a Consolidated and consolidating balance sheet of the Lead Borrower and its Subsidiaries as at the end of such Fiscal Year, and the related</w:t>
      </w:r>
    </w:p>
    <w:p>
      <w:pPr>
        <w:spacing w:after="0" w:line="24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15" w:name="page116"/>
    <w:bookmarkEnd w:id="115"/>
    <w:p>
      <w:pPr>
        <w:ind w:left="1580" w:right="20"/>
        <w:spacing w:after="0" w:line="319" w:lineRule="auto"/>
        <w:rPr>
          <w:sz w:val="20"/>
          <w:szCs w:val="20"/>
          <w:color w:val="auto"/>
        </w:rPr>
      </w:pPr>
      <w:r>
        <w:rPr>
          <w:rFonts w:ascii="Arial" w:cs="Arial" w:eastAsia="Arial" w:hAnsi="Arial"/>
          <w:sz w:val="18"/>
          <w:szCs w:val="18"/>
          <w:color w:val="auto"/>
        </w:rPr>
        <w:t>Consolidated and consolidating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Agent, which report and opinion shall be prepared in accordance with generally accepted auditing standards and shall not be subject to any “going concern” or like qualification or exception or any qualification or exception as to the scope of such audit; and such consolidating statements to be certified by a Responsible Officer of the Lead Borrower to the effect that such statements are fairly stated in all material respects when considered in relation to the Consolidated financial statements of the Lead Borrower and its Subsidiaries;</w:t>
      </w:r>
    </w:p>
    <w:p>
      <w:pPr>
        <w:spacing w:after="0" w:line="102" w:lineRule="exact"/>
        <w:rPr>
          <w:sz w:val="20"/>
          <w:szCs w:val="20"/>
          <w:color w:val="auto"/>
        </w:rPr>
      </w:pPr>
    </w:p>
    <w:p>
      <w:pPr>
        <w:ind w:left="1580" w:firstLine="799"/>
        <w:spacing w:after="0" w:line="300" w:lineRule="auto"/>
        <w:tabs>
          <w:tab w:leader="none" w:pos="2977"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within fifty (50) days after the end of each of the Fiscal Quarters of each Fiscal Year of the Lead Borrower, a Consolidated balance sheet of the Lead Borrower and its Subsidiaries as at the end of such Fiscal Quarter, and the related Consolidated statements of income or operations and cash flows for such Fiscal Quarter and for the portion of the Lead Borrower’s Fiscal Year then ended, setting forth in each case in comparative form the figures for (A) such period set forth in the projections delivered pursuant to </w:t>
      </w:r>
      <w:r>
        <w:rPr>
          <w:rFonts w:ascii="Arial" w:cs="Arial" w:eastAsia="Arial" w:hAnsi="Arial"/>
          <w:sz w:val="19"/>
          <w:szCs w:val="19"/>
          <w:u w:val="single" w:color="auto"/>
          <w:color w:val="auto"/>
        </w:rPr>
        <w:t>Section 6.01(d)</w:t>
      </w:r>
      <w:r>
        <w:rPr>
          <w:rFonts w:ascii="Arial" w:cs="Arial" w:eastAsia="Arial" w:hAnsi="Arial"/>
          <w:sz w:val="19"/>
          <w:szCs w:val="19"/>
          <w:color w:val="auto"/>
        </w:rPr>
        <w:t>, (B) the corresponding Fiscal Quarter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Quarter in accordance with GAAP, subject only to normal year-end audit adjustments and the absence of footnotes;</w:t>
      </w:r>
    </w:p>
    <w:p>
      <w:pPr>
        <w:spacing w:after="0" w:line="103" w:lineRule="exact"/>
        <w:rPr>
          <w:rFonts w:ascii="Arial" w:cs="Arial" w:eastAsia="Arial" w:hAnsi="Arial"/>
          <w:sz w:val="19"/>
          <w:szCs w:val="19"/>
          <w:color w:val="auto"/>
        </w:rPr>
      </w:pPr>
    </w:p>
    <w:p>
      <w:pPr>
        <w:ind w:left="1580" w:firstLine="799"/>
        <w:spacing w:after="0" w:line="300" w:lineRule="auto"/>
        <w:tabs>
          <w:tab w:leader="none" w:pos="2977"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within thirty (30) days after the end of each of the Fiscal Months of each fiscal year of the Lead Borrower, a Consolidated balance sheet of the Lead Borrower and its Subsidiaries as at the end of such Fiscal Month, and the related Consolidated statements of income or operations and cash flows for such Fiscal Month, and for the portion of the Lead Borrower’s Fiscal Year then ended, setting forth in each case in comparative form the figures for (A) such period set forth in the projections delivered pursuant to </w:t>
      </w:r>
      <w:r>
        <w:rPr>
          <w:rFonts w:ascii="Arial" w:cs="Arial" w:eastAsia="Arial" w:hAnsi="Arial"/>
          <w:sz w:val="19"/>
          <w:szCs w:val="19"/>
          <w:u w:val="single" w:color="auto"/>
          <w:color w:val="auto"/>
        </w:rPr>
        <w:t>Section 6.01(d)</w:t>
      </w:r>
      <w:r>
        <w:rPr>
          <w:rFonts w:ascii="Arial" w:cs="Arial" w:eastAsia="Arial" w:hAnsi="Arial"/>
          <w:sz w:val="19"/>
          <w:szCs w:val="19"/>
          <w:color w:val="auto"/>
        </w:rPr>
        <w:t>, (B) the corresponding Fiscal Month of the previous Fiscal Year and (C) the corresponding portion of the previous Fiscal Year, all in reasonable detail, such Consolidated statements to be certified by a Responsible Officer of the Lead Borrower as fairly presenting the financial condition, results of operations and cash flows of the Lead Borrower and its Subsidiaries as of the end of such Fiscal Month in accordance with GAAP, subject only to normal year-end audit adjustments and the absence of footnotes;</w:t>
      </w:r>
    </w:p>
    <w:p>
      <w:pPr>
        <w:spacing w:after="0" w:line="117" w:lineRule="exact"/>
        <w:rPr>
          <w:rFonts w:ascii="Arial" w:cs="Arial" w:eastAsia="Arial" w:hAnsi="Arial"/>
          <w:sz w:val="19"/>
          <w:szCs w:val="19"/>
          <w:color w:val="auto"/>
        </w:rPr>
      </w:pPr>
    </w:p>
    <w:p>
      <w:pPr>
        <w:ind w:left="740" w:right="140" w:hanging="3"/>
        <w:spacing w:after="0" w:line="305" w:lineRule="auto"/>
        <w:tabs>
          <w:tab w:leader="none" w:pos="1136" w:val="left"/>
        </w:tabs>
        <w:numPr>
          <w:ilvl w:val="0"/>
          <w:numId w:val="99"/>
        </w:numPr>
        <w:rPr>
          <w:rFonts w:ascii="Arial" w:cs="Arial" w:eastAsia="Arial" w:hAnsi="Arial"/>
          <w:sz w:val="19"/>
          <w:szCs w:val="19"/>
          <w:color w:val="auto"/>
        </w:rPr>
      </w:pPr>
      <w:r>
        <w:rPr>
          <w:rFonts w:ascii="Arial" w:cs="Arial" w:eastAsia="Arial" w:hAnsi="Arial"/>
          <w:sz w:val="19"/>
          <w:szCs w:val="19"/>
          <w:color w:val="auto"/>
        </w:rPr>
        <w:t>as soon as available, but in any event forty-five (45) days after the end of each Fiscal Year of the Lead Borrower, forecasts prepared by management of the Lead Borrower, in form satisfactory to the Agent, of Availability and of the consolidated balance sheets and statements of income or operations and cash flows of the Lead Borrower and its Subsidiaries on a monthly basis for the immediately following Fiscal Year (including the Fiscal Year in which the Maturity Date occurs), and as soon as available, any significant revisions to such forecast with respect to such Fiscal Year.</w:t>
      </w:r>
    </w:p>
    <w:p>
      <w:pPr>
        <w:spacing w:after="0" w:line="232"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116" w:name="page117"/>
    <w:bookmarkEnd w:id="116"/>
    <w:p>
      <w:pPr>
        <w:ind w:left="820"/>
        <w:spacing w:after="0"/>
        <w:rPr>
          <w:sz w:val="20"/>
          <w:szCs w:val="20"/>
          <w:color w:val="auto"/>
        </w:rPr>
      </w:pPr>
      <w:r>
        <w:rPr>
          <w:rFonts w:ascii="Arial" w:cs="Arial" w:eastAsia="Arial" w:hAnsi="Arial"/>
          <w:sz w:val="20"/>
          <w:szCs w:val="20"/>
          <w:b w:val="1"/>
          <w:bCs w:val="1"/>
          <w:color w:val="auto"/>
        </w:rPr>
        <w:t>6.02 Certificates; Other Information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Deliver to the Agent, in form and detail satisfactory to the Agent:</w:t>
      </w:r>
    </w:p>
    <w:p>
      <w:pPr>
        <w:spacing w:after="0" w:line="175" w:lineRule="exact"/>
        <w:rPr>
          <w:sz w:val="20"/>
          <w:szCs w:val="20"/>
          <w:color w:val="auto"/>
        </w:rPr>
      </w:pPr>
    </w:p>
    <w:p>
      <w:pPr>
        <w:ind w:left="1580" w:right="40" w:firstLine="799"/>
        <w:spacing w:after="0" w:line="286" w:lineRule="auto"/>
        <w:tabs>
          <w:tab w:leader="none" w:pos="297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Sections 6.01(a) and (b) and (c), a duly completed Compliance Certificate signed by a Responsible Officer of the Lead Borrower, and in the event of any change in generally accepted accounting principles used in the preparation of such financial statements, the Lead Borrower shall also provide (i) a statement of reconciliation conforming such financial statements to GAAP and (ii) for financial statements delivered in accordance with </w:t>
      </w:r>
      <w:r>
        <w:rPr>
          <w:rFonts w:ascii="Arial" w:cs="Arial" w:eastAsia="Arial" w:hAnsi="Arial"/>
          <w:sz w:val="20"/>
          <w:szCs w:val="20"/>
          <w:u w:val="single" w:color="auto"/>
          <w:color w:val="auto"/>
        </w:rPr>
        <w:t>Section 6.01(b)</w:t>
      </w:r>
      <w:r>
        <w:rPr>
          <w:rFonts w:ascii="Arial" w:cs="Arial" w:eastAsia="Arial" w:hAnsi="Arial"/>
          <w:sz w:val="20"/>
          <w:szCs w:val="20"/>
          <w:color w:val="auto"/>
        </w:rPr>
        <w:t>, a copy of management’s discussion and analysis with respect to such financial statements;</w:t>
      </w:r>
    </w:p>
    <w:p>
      <w:pPr>
        <w:spacing w:after="0" w:line="120" w:lineRule="exact"/>
        <w:rPr>
          <w:rFonts w:ascii="Arial" w:cs="Arial" w:eastAsia="Arial" w:hAnsi="Arial"/>
          <w:sz w:val="20"/>
          <w:szCs w:val="20"/>
          <w:color w:val="auto"/>
        </w:rPr>
      </w:pPr>
    </w:p>
    <w:p>
      <w:pPr>
        <w:ind w:left="1580" w:firstLine="799"/>
        <w:spacing w:after="0" w:line="303" w:lineRule="auto"/>
        <w:tabs>
          <w:tab w:leader="none" w:pos="29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the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each Fiscal Month (or, if such day is not a Business Day, on the next succeeding Business Day), a Borrowing Base Certificate showing the Borrowing as of the close of business as of the last day of the immediately preceding month, each Borrowing Base Certificate to be certified as complete and correct by a Responsible Officer of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an Accelerated Borrowing Base Delivery Event has occurred and is continuing, such Borrowing Base Certificate shall be delivered on Thursday of each week (or, if Thursday is not a Business Day, on the next succeeding Business Day), as of the close of business on the immediately preceding week;</w:t>
      </w:r>
    </w:p>
    <w:p>
      <w:pPr>
        <w:spacing w:after="0" w:line="116" w:lineRule="exact"/>
        <w:rPr>
          <w:rFonts w:ascii="Arial" w:cs="Arial" w:eastAsia="Arial" w:hAnsi="Arial"/>
          <w:sz w:val="18"/>
          <w:szCs w:val="18"/>
          <w:color w:val="auto"/>
        </w:rPr>
      </w:pPr>
    </w:p>
    <w:p>
      <w:pPr>
        <w:ind w:left="1580" w:right="120" w:firstLine="799"/>
        <w:spacing w:after="0" w:line="308" w:lineRule="auto"/>
        <w:tabs>
          <w:tab w:leader="none" w:pos="297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promptly upon receipt,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93" w:lineRule="exact"/>
        <w:rPr>
          <w:rFonts w:ascii="Arial" w:cs="Arial" w:eastAsia="Arial" w:hAnsi="Arial"/>
          <w:sz w:val="19"/>
          <w:szCs w:val="19"/>
          <w:color w:val="auto"/>
        </w:rPr>
      </w:pPr>
    </w:p>
    <w:p>
      <w:pPr>
        <w:ind w:left="1580" w:right="40" w:firstLine="799"/>
        <w:spacing w:after="0" w:line="329" w:lineRule="auto"/>
        <w:tabs>
          <w:tab w:leader="none" w:pos="29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as amended, or with any national securities exchange;</w:t>
      </w:r>
    </w:p>
    <w:p>
      <w:pPr>
        <w:spacing w:after="0" w:line="93" w:lineRule="exact"/>
        <w:rPr>
          <w:rFonts w:ascii="Arial" w:cs="Arial" w:eastAsia="Arial" w:hAnsi="Arial"/>
          <w:sz w:val="18"/>
          <w:szCs w:val="18"/>
          <w:color w:val="auto"/>
        </w:rPr>
      </w:pPr>
    </w:p>
    <w:p>
      <w:pPr>
        <w:ind w:left="2980" w:hanging="601"/>
        <w:spacing w:after="0"/>
        <w:tabs>
          <w:tab w:leader="none" w:pos="2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financial and collateral reports described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hereto, at the times set forth in such</w:t>
      </w:r>
    </w:p>
    <w:p>
      <w:pPr>
        <w:spacing w:after="0" w:line="6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20"/>
          <w:szCs w:val="20"/>
          <w:color w:val="auto"/>
        </w:rPr>
        <w:t>Schedule;</w:t>
      </w:r>
    </w:p>
    <w:p>
      <w:pPr>
        <w:spacing w:after="0" w:line="188" w:lineRule="exact"/>
        <w:rPr>
          <w:rFonts w:ascii="Arial" w:cs="Arial" w:eastAsia="Arial" w:hAnsi="Arial"/>
          <w:sz w:val="18"/>
          <w:szCs w:val="18"/>
          <w:color w:val="auto"/>
        </w:rPr>
      </w:pPr>
    </w:p>
    <w:p>
      <w:pPr>
        <w:ind w:left="2980" w:hanging="601"/>
        <w:spacing w:after="0"/>
        <w:tabs>
          <w:tab w:leader="none" w:pos="29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580" w:right="60" w:firstLine="799"/>
        <w:spacing w:after="0" w:line="303" w:lineRule="auto"/>
        <w:tabs>
          <w:tab w:leader="none" w:pos="297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after receipt thereof by any Loan Party or any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Subsidiary thereof or any other matter which, if adversely determined, could reasonably expected to have a Material Adverse Effect; and</w:t>
      </w:r>
    </w:p>
    <w:p>
      <w:pPr>
        <w:spacing w:after="0" w:line="235"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0" w:right="339" w:bottom="1440" w:gutter="0" w:footer="0" w:header="0"/>
        </w:sectPr>
      </w:pPr>
    </w:p>
    <w:bookmarkStart w:id="117" w:name="page118"/>
    <w:bookmarkEnd w:id="117"/>
    <w:p>
      <w:pPr>
        <w:ind w:left="1600" w:right="100" w:firstLine="799"/>
        <w:spacing w:after="0" w:line="338" w:lineRule="auto"/>
        <w:tabs>
          <w:tab w:leader="none" w:pos="29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promptly, following any request therefor, information and documentation reasonably requested by the Agent or any Lender for purposes of compliance with applicable “know your customer” requirements under the Act, the Beneficial Ownership Regulation or other applicable Anti-Corruption Laws and Anti-Money Laundering Laws.</w:t>
      </w:r>
    </w:p>
    <w:p>
      <w:pPr>
        <w:spacing w:after="0" w:line="83" w:lineRule="exact"/>
        <w:rPr>
          <w:rFonts w:ascii="Arial" w:cs="Arial" w:eastAsia="Arial" w:hAnsi="Arial"/>
          <w:sz w:val="18"/>
          <w:szCs w:val="18"/>
          <w:color w:val="auto"/>
        </w:rPr>
      </w:pPr>
    </w:p>
    <w:p>
      <w:pPr>
        <w:jc w:val="both"/>
        <w:ind w:left="1600" w:right="180" w:firstLine="799"/>
        <w:spacing w:after="0" w:line="292" w:lineRule="auto"/>
        <w:tabs>
          <w:tab w:leader="none" w:pos="299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affairs, financial condition or operations of any Loan Party or any Subsidiary, or compliance with the terms of the Loan Documents, as the Agent or any Lender may from time to time reasonably request.</w:t>
      </w:r>
    </w:p>
    <w:p>
      <w:pPr>
        <w:spacing w:after="0" w:line="106" w:lineRule="exact"/>
        <w:rPr>
          <w:sz w:val="20"/>
          <w:szCs w:val="20"/>
          <w:color w:val="auto"/>
        </w:rPr>
      </w:pPr>
    </w:p>
    <w:p>
      <w:pPr>
        <w:ind w:right="80"/>
        <w:spacing w:after="0" w:line="317"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6.01(a),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Lead Borrower posts such documents, or provides a link thereto on the Lead Borrower’s website on the Internet at the website address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(ii) on which such documents are posted on the Lead Borrower’s behalf on an Internet or intranet website, if any, to which each Lender, the Agent, have access (whether a commercial, third-party website or whether sponsored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Lead Borrower shall deliver paper or electronic copies of such documents to the Agent or any Lender that requests the Lead Borrower to deliver such paper or electronic copies until a written request to cease delivering paper copies is given by the Agent or such Lender and (ii) the Lead Borrower shall notify the Agent (by telecopier or electronic mail) of the posting of any such documents and provide to the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The Agent shall have no obligation to request the delivery or to maintain copies of the documents referred to above, and in any event shall have no responsibility to monitor compliance by the Loan Parties with any such request for delivery, and each Lender shall be solely responsible for requesting delivery to it or maintaining its copies of such documents.</w:t>
      </w:r>
    </w:p>
    <w:p>
      <w:pPr>
        <w:spacing w:after="0" w:line="108"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Loan Parties hereby acknowledge that (a) the Agent and/or the Arranger will make available to the Lenders and the L/C Issuer materials and/or information provided by or on behalf of the Loan Parties hereunder (collectively, “Borrower Materials”) by posting the Borrower Materials on DebtX, Debt Domain, IntraLinks, Syndtrak or another similar electronic system (the “Platform”) and (b) certain of the Lenders may be “public-side” Lenders (i.e., Lenders that do not wish to receive material non-public information with respect to the Loan Parties or their securities) (each, a “Public Lender”). The Loan Parties hereby agree that so long as any Loan Party is the issuer of any outstanding debt or equity securities that are registered or issued pursuant to a private offering or is actively contemplating issuing any such securities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Loan Parties shall be deemed to have authorized the Agent, the Arranger,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Investor”; and (z) the Agent and the Arranger shall be entitled to treat any</w:t>
      </w:r>
    </w:p>
    <w:p>
      <w:pPr>
        <w:spacing w:after="0" w:line="23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18" w:name="page119"/>
    <w:bookmarkEnd w:id="118"/>
    <w:p>
      <w:pPr>
        <w:ind w:right="380"/>
        <w:spacing w:after="0" w:line="303" w:lineRule="auto"/>
        <w:rPr>
          <w:sz w:val="20"/>
          <w:szCs w:val="20"/>
          <w:color w:val="auto"/>
        </w:rPr>
      </w:pPr>
      <w:r>
        <w:rPr>
          <w:rFonts w:ascii="Arial" w:cs="Arial" w:eastAsia="Arial" w:hAnsi="Arial"/>
          <w:sz w:val="20"/>
          <w:szCs w:val="20"/>
          <w:color w:val="auto"/>
        </w:rPr>
        <w:t>Borrower Materials that are not marked “PUBLIC” as being suitable only for posting on a portion of the Platform not designated “Public Investor.”</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6.03 Notices</w:t>
      </w:r>
    </w:p>
    <w:p>
      <w:pPr>
        <w:spacing w:after="0" w:line="181" w:lineRule="exact"/>
        <w:rPr>
          <w:sz w:val="20"/>
          <w:szCs w:val="20"/>
          <w:color w:val="auto"/>
        </w:rPr>
      </w:pPr>
    </w:p>
    <w:p>
      <w:pPr>
        <w:ind w:firstLine="8"/>
        <w:spacing w:after="0" w:line="303" w:lineRule="auto"/>
        <w:tabs>
          <w:tab w:leader="none" w:pos="14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Promptly notify the Agent, and in any event within three (3) Business Days, after a Loan Party’s obtaining knowledge thereof, of any of the following events that affects a Loan Party:</w:t>
      </w:r>
    </w:p>
    <w:p>
      <w:pPr>
        <w:spacing w:after="0" w:line="107" w:lineRule="exact"/>
        <w:rPr>
          <w:rFonts w:ascii="Arial" w:cs="Arial" w:eastAsia="Arial" w:hAnsi="Arial"/>
          <w:sz w:val="20"/>
          <w:szCs w:val="20"/>
          <w:color w:val="auto"/>
        </w:rPr>
      </w:pPr>
    </w:p>
    <w:p>
      <w:pPr>
        <w:ind w:left="3000" w:hanging="601"/>
        <w:spacing w:after="0"/>
        <w:tabs>
          <w:tab w:leader="none" w:pos="300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w:t>
      </w:r>
    </w:p>
    <w:p>
      <w:pPr>
        <w:spacing w:after="0" w:line="188" w:lineRule="exact"/>
        <w:rPr>
          <w:rFonts w:ascii="Arial" w:cs="Arial" w:eastAsia="Arial" w:hAnsi="Arial"/>
          <w:sz w:val="20"/>
          <w:szCs w:val="20"/>
          <w:color w:val="auto"/>
        </w:rPr>
      </w:pPr>
    </w:p>
    <w:p>
      <w:pPr>
        <w:ind w:left="3000" w:hanging="601"/>
        <w:spacing w:after="0"/>
        <w:tabs>
          <w:tab w:leader="none" w:pos="3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198" w:lineRule="exact"/>
        <w:rPr>
          <w:rFonts w:ascii="Arial" w:cs="Arial" w:eastAsia="Arial" w:hAnsi="Arial"/>
          <w:sz w:val="18"/>
          <w:szCs w:val="18"/>
          <w:color w:val="auto"/>
        </w:rPr>
      </w:pPr>
    </w:p>
    <w:p>
      <w:pPr>
        <w:ind w:left="1600" w:right="560" w:firstLine="799"/>
        <w:spacing w:after="0" w:line="303"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any breach or non-performance of, or any default under, a Material Contract or with respect to Material Indebtedness of any Loan Party or any Subsidiary thereof;</w:t>
      </w:r>
    </w:p>
    <w:p>
      <w:pPr>
        <w:spacing w:after="0" w:line="107" w:lineRule="exact"/>
        <w:rPr>
          <w:rFonts w:ascii="Arial" w:cs="Arial" w:eastAsia="Arial" w:hAnsi="Arial"/>
          <w:sz w:val="20"/>
          <w:szCs w:val="20"/>
          <w:color w:val="auto"/>
        </w:rPr>
      </w:pPr>
    </w:p>
    <w:p>
      <w:pPr>
        <w:ind w:left="1600" w:right="460" w:firstLine="799"/>
        <w:spacing w:after="0" w:line="329" w:lineRule="auto"/>
        <w:tabs>
          <w:tab w:leader="none" w:pos="299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of any dispute, litigation, investigation, proceeding or suspension between any Loan Party or any Subsidiary thereof and any Governmental Authority; or the commencement of, or any material development in, any litigation or proceeding affecting any Loan Party or any Subsidiary thereof, including pursuant to any applicable Environmental Laws if an adverse determination could have a Material Adverse Effect;</w:t>
      </w:r>
    </w:p>
    <w:p>
      <w:pPr>
        <w:spacing w:after="0" w:line="93" w:lineRule="exact"/>
        <w:rPr>
          <w:rFonts w:ascii="Arial" w:cs="Arial" w:eastAsia="Arial" w:hAnsi="Arial"/>
          <w:sz w:val="18"/>
          <w:szCs w:val="18"/>
          <w:color w:val="auto"/>
        </w:rPr>
      </w:pPr>
    </w:p>
    <w:p>
      <w:pPr>
        <w:ind w:left="3000" w:hanging="601"/>
        <w:spacing w:after="0"/>
        <w:tabs>
          <w:tab w:leader="none" w:pos="300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the occurrence of any ERISA Event;</w:t>
      </w:r>
    </w:p>
    <w:p>
      <w:pPr>
        <w:spacing w:after="0" w:line="175" w:lineRule="exact"/>
        <w:rPr>
          <w:rFonts w:ascii="Arial" w:cs="Arial" w:eastAsia="Arial" w:hAnsi="Arial"/>
          <w:sz w:val="20"/>
          <w:szCs w:val="20"/>
          <w:color w:val="auto"/>
        </w:rPr>
      </w:pPr>
    </w:p>
    <w:p>
      <w:pPr>
        <w:ind w:left="1600" w:right="100" w:firstLine="799"/>
        <w:spacing w:after="0" w:line="303"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any material change in accounting policies or financial reporting practices by any Loan Party or any Subsidiary thereof;</w:t>
      </w:r>
    </w:p>
    <w:p>
      <w:pPr>
        <w:spacing w:after="0" w:line="107" w:lineRule="exact"/>
        <w:rPr>
          <w:rFonts w:ascii="Arial" w:cs="Arial" w:eastAsia="Arial" w:hAnsi="Arial"/>
          <w:sz w:val="20"/>
          <w:szCs w:val="20"/>
          <w:color w:val="auto"/>
        </w:rPr>
      </w:pPr>
    </w:p>
    <w:p>
      <w:pPr>
        <w:ind w:left="3000" w:hanging="601"/>
        <w:spacing w:after="0"/>
        <w:tabs>
          <w:tab w:leader="none" w:pos="300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any change in any Loan Party’s senior executive officers;</w:t>
      </w:r>
    </w:p>
    <w:p>
      <w:pPr>
        <w:spacing w:after="0" w:line="188" w:lineRule="exact"/>
        <w:rPr>
          <w:rFonts w:ascii="Arial" w:cs="Arial" w:eastAsia="Arial" w:hAnsi="Arial"/>
          <w:sz w:val="20"/>
          <w:szCs w:val="20"/>
          <w:color w:val="auto"/>
        </w:rPr>
      </w:pPr>
    </w:p>
    <w:p>
      <w:pPr>
        <w:ind w:left="1600" w:right="40" w:firstLine="799"/>
        <w:spacing w:after="0" w:line="303"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the discharge by any Loan Party of its present Registered Public Accounting Firm or any withdrawal or resignation by such Registered Public Accounting Firm;</w:t>
      </w:r>
    </w:p>
    <w:p>
      <w:pPr>
        <w:spacing w:after="0" w:line="94" w:lineRule="exact"/>
        <w:rPr>
          <w:rFonts w:ascii="Arial" w:cs="Arial" w:eastAsia="Arial" w:hAnsi="Arial"/>
          <w:sz w:val="20"/>
          <w:szCs w:val="20"/>
          <w:color w:val="auto"/>
        </w:rPr>
      </w:pPr>
    </w:p>
    <w:p>
      <w:pPr>
        <w:ind w:left="1600" w:right="160" w:firstLine="799"/>
        <w:spacing w:after="0" w:line="303"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any collective bargaining agreement or other labor contract to which a Loan Party becomes a party, or the application for the certification of a collective bargaining agent;</w:t>
      </w:r>
    </w:p>
    <w:p>
      <w:pPr>
        <w:spacing w:after="0" w:line="107" w:lineRule="exact"/>
        <w:rPr>
          <w:rFonts w:ascii="Arial" w:cs="Arial" w:eastAsia="Arial" w:hAnsi="Arial"/>
          <w:sz w:val="20"/>
          <w:szCs w:val="20"/>
          <w:color w:val="auto"/>
        </w:rPr>
      </w:pPr>
    </w:p>
    <w:p>
      <w:pPr>
        <w:ind w:left="1600" w:right="480" w:firstLine="799"/>
        <w:spacing w:after="0" w:line="303"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the filing of any Lien for unpaid Taxes against any Loan Party that in the aggregate for all such occurrences exceed $500,000;</w:t>
      </w:r>
    </w:p>
    <w:p>
      <w:pPr>
        <w:spacing w:after="0" w:line="107" w:lineRule="exact"/>
        <w:rPr>
          <w:rFonts w:ascii="Arial" w:cs="Arial" w:eastAsia="Arial" w:hAnsi="Arial"/>
          <w:sz w:val="20"/>
          <w:szCs w:val="20"/>
          <w:color w:val="auto"/>
        </w:rPr>
      </w:pPr>
    </w:p>
    <w:p>
      <w:pPr>
        <w:ind w:left="1600" w:right="60" w:firstLine="799"/>
        <w:spacing w:after="0" w:line="395" w:lineRule="auto"/>
        <w:tabs>
          <w:tab w:leader="none" w:pos="299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of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36" w:lineRule="exact"/>
        <w:rPr>
          <w:rFonts w:ascii="Arial" w:cs="Arial" w:eastAsia="Arial" w:hAnsi="Arial"/>
          <w:sz w:val="16"/>
          <w:szCs w:val="16"/>
          <w:color w:val="auto"/>
        </w:rPr>
      </w:pPr>
    </w:p>
    <w:p>
      <w:pPr>
        <w:ind w:left="3000" w:hanging="601"/>
        <w:spacing w:after="0"/>
        <w:tabs>
          <w:tab w:leader="none" w:pos="3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of any transaction of the nature contained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occurring after the Closing Date; and</w:t>
      </w:r>
    </w:p>
    <w:p>
      <w:pPr>
        <w:spacing w:after="0" w:line="211" w:lineRule="exact"/>
        <w:rPr>
          <w:rFonts w:ascii="Arial" w:cs="Arial" w:eastAsia="Arial" w:hAnsi="Arial"/>
          <w:sz w:val="18"/>
          <w:szCs w:val="18"/>
          <w:color w:val="auto"/>
        </w:rPr>
      </w:pPr>
    </w:p>
    <w:p>
      <w:pPr>
        <w:jc w:val="both"/>
        <w:ind w:left="1600" w:right="600" w:firstLine="799"/>
        <w:spacing w:after="0" w:line="292" w:lineRule="auto"/>
        <w:tabs>
          <w:tab w:leader="none" w:pos="2997" w:val="left"/>
        </w:tabs>
        <w:numPr>
          <w:ilvl w:val="1"/>
          <w:numId w:val="102"/>
        </w:numPr>
        <w:rPr>
          <w:rFonts w:ascii="Arial" w:cs="Arial" w:eastAsia="Arial" w:hAnsi="Arial"/>
          <w:sz w:val="20"/>
          <w:szCs w:val="20"/>
          <w:color w:val="auto"/>
        </w:rPr>
      </w:pPr>
      <w:r>
        <w:rPr>
          <w:rFonts w:ascii="Arial" w:cs="Arial" w:eastAsia="Arial" w:hAnsi="Arial"/>
          <w:sz w:val="20"/>
          <w:szCs w:val="20"/>
          <w:color w:val="auto"/>
        </w:rPr>
        <w:t>of any failure by any Loan Party to pay rent at (i) any of the Loan Parties’ distribution centers or warehouses or (ii) any of such Loan Party’s store locations if such failure would be reasonably likely to result in a Material Adverse Effect.</w:t>
      </w:r>
    </w:p>
    <w:p>
      <w:pPr>
        <w:spacing w:after="0" w:line="24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19" w:name="page120"/>
    <w:bookmarkEnd w:id="119"/>
    <w:p>
      <w:pPr>
        <w:ind w:right="60"/>
        <w:spacing w:after="0" w:line="363"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Lead Borrower setting forth details of the occurrence referred to therein and stating what action the Lead Borrower has taken and proposes to take with respect thereto.</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6.04 Payment of Obligations</w:t>
      </w:r>
    </w:p>
    <w:p>
      <w:pPr>
        <w:spacing w:after="0" w:line="181" w:lineRule="exact"/>
        <w:rPr>
          <w:sz w:val="20"/>
          <w:szCs w:val="20"/>
          <w:color w:val="auto"/>
        </w:rPr>
      </w:pPr>
    </w:p>
    <w:p>
      <w:pPr>
        <w:ind w:firstLine="8"/>
        <w:spacing w:after="0" w:line="300" w:lineRule="auto"/>
        <w:tabs>
          <w:tab w:leader="none" w:pos="14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Pay and discharge as the same shall become due and payable, all its obligations and liabilities, including (a) all tax liabilities, assessments and 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(i) the validity or amount thereof is being contested in good faith by appropriate proceedings, (ii) such Loan Party has set aside on its books adequate reserves with respect thereto in accordance with GAAP, (iii) such contest effectively suspends collection of the contested obligation and enforcement of any Lien securing such obligation, (iv) no Lien has been filed with respect thereto and (v) the failure to make payment pending such contest could not reasonably be expected to result in a Material Adverse Effect. Nothing contained herein shall be deemed to limit the rights of the Agent with respect to determining Reserves pursuant to this Agreement.</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6.05 Preservation of Existence, Etc.</w:t>
      </w:r>
    </w:p>
    <w:p>
      <w:pPr>
        <w:spacing w:after="0" w:line="195" w:lineRule="exact"/>
        <w:rPr>
          <w:sz w:val="20"/>
          <w:szCs w:val="20"/>
          <w:color w:val="auto"/>
        </w:rPr>
      </w:pPr>
    </w:p>
    <w:p>
      <w:pPr>
        <w:jc w:val="both"/>
        <w:ind w:firstLine="107"/>
        <w:spacing w:after="0" w:line="325" w:lineRule="auto"/>
        <w:tabs>
          <w:tab w:leader="none" w:pos="4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and good standing under the Laws of the jurisdiction of its organization or formation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6.06 Maintenance of Properties</w:t>
      </w:r>
    </w:p>
    <w:p>
      <w:pPr>
        <w:spacing w:after="0" w:line="195" w:lineRule="exact"/>
        <w:rPr>
          <w:sz w:val="20"/>
          <w:szCs w:val="20"/>
          <w:color w:val="auto"/>
        </w:rPr>
      </w:pPr>
    </w:p>
    <w:p>
      <w:pPr>
        <w:ind w:right="240" w:firstLine="8"/>
        <w:spacing w:after="0" w:line="314" w:lineRule="auto"/>
        <w:tabs>
          <w:tab w:leader="none" w:pos="1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6.07 Maintenance of Insurance</w:t>
      </w:r>
    </w:p>
    <w:p>
      <w:pPr>
        <w:spacing w:after="0" w:line="181" w:lineRule="exact"/>
        <w:rPr>
          <w:sz w:val="20"/>
          <w:szCs w:val="20"/>
          <w:color w:val="auto"/>
        </w:rPr>
      </w:pPr>
    </w:p>
    <w:p>
      <w:pPr>
        <w:ind w:right="160" w:firstLine="8"/>
        <w:spacing w:after="0" w:line="369" w:lineRule="auto"/>
        <w:tabs>
          <w:tab w:leader="none" w:pos="1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Maintain with financially sound and reputable insurance companies not Affiliates of the Loan Parties, insurance with respect to its properties and 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Agent acknowledges that pursuant to Section 10(G)(vii) of the Lease Agreement, dated February 1, 2006, by and between Spirit SPE Canton, LLC and Casual Male Retail Group, Inc., Spirit SPE Canton, LLC shall remain an “additional named insured” with respect to general liability insurance, an</w:t>
      </w:r>
    </w:p>
    <w:p>
      <w:pPr>
        <w:spacing w:after="0" w:line="193"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6" w:right="39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“additional named insured” with respect to real property and a “loss payee” with respect to all real property and rent value insurance.</w:t>
      </w:r>
    </w:p>
    <w:p>
      <w:pPr>
        <w:spacing w:after="0" w:line="200" w:lineRule="exact"/>
        <w:rPr>
          <w:sz w:val="20"/>
          <w:szCs w:val="20"/>
          <w:color w:val="auto"/>
        </w:rPr>
      </w:pPr>
    </w:p>
    <w:p>
      <w:pPr>
        <w:ind w:left="1600" w:right="340" w:firstLine="799"/>
        <w:spacing w:after="0" w:line="305" w:lineRule="auto"/>
        <w:tabs>
          <w:tab w:leader="none" w:pos="299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will upon request by the Agent furnish the Agent certificates evidencing renewal of each such policy.</w:t>
      </w:r>
    </w:p>
    <w:p>
      <w:pPr>
        <w:spacing w:after="0" w:line="96" w:lineRule="exact"/>
        <w:rPr>
          <w:rFonts w:ascii="Arial" w:cs="Arial" w:eastAsia="Arial" w:hAnsi="Arial"/>
          <w:sz w:val="19"/>
          <w:szCs w:val="19"/>
          <w:color w:val="auto"/>
        </w:rPr>
      </w:pPr>
    </w:p>
    <w:p>
      <w:pPr>
        <w:ind w:left="1600" w:right="160" w:firstLine="799"/>
        <w:spacing w:after="0" w:line="302" w:lineRule="auto"/>
        <w:tabs>
          <w:tab w:leader="none" w:pos="299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Cause fire and extended coverage policies maintained with respect to any Collateral to be endorsed or otherwise amended to include (i) a non-contributing mortgage clause (regarding improvements to Real Estate) and lenders’ loss payable clause (regarding personal property), in form and substance satisfactory to the Agent, which endorsements or amendments shall provide that the insurer shall pay all proceeds otherwise payable to the Loan Parties under the policies directly to the Agent, (ii) a provision to the effect that none of the Loan Parties, Credit Parties or any other Person shall be a co-insurer and (iii) such other provisions as the Agent may reasonably require from time to time to protect the interests of the Credit Parties.</w:t>
      </w:r>
    </w:p>
    <w:p>
      <w:pPr>
        <w:spacing w:after="0" w:line="113" w:lineRule="exact"/>
        <w:rPr>
          <w:rFonts w:ascii="Arial" w:cs="Arial" w:eastAsia="Arial" w:hAnsi="Arial"/>
          <w:sz w:val="19"/>
          <w:szCs w:val="19"/>
          <w:color w:val="auto"/>
        </w:rPr>
      </w:pPr>
    </w:p>
    <w:p>
      <w:pPr>
        <w:ind w:left="3000" w:hanging="601"/>
        <w:spacing w:after="0"/>
        <w:tabs>
          <w:tab w:leader="none" w:pos="3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Cause commercial general liability policies to be endorsed to name the Agent as an additional insured.</w:t>
      </w:r>
    </w:p>
    <w:p>
      <w:pPr>
        <w:spacing w:after="0" w:line="211" w:lineRule="exact"/>
        <w:rPr>
          <w:rFonts w:ascii="Arial" w:cs="Arial" w:eastAsia="Arial" w:hAnsi="Arial"/>
          <w:sz w:val="18"/>
          <w:szCs w:val="18"/>
          <w:color w:val="auto"/>
        </w:rPr>
      </w:pPr>
    </w:p>
    <w:p>
      <w:pPr>
        <w:ind w:left="1600" w:right="40" w:firstLine="799"/>
        <w:spacing w:after="0" w:line="266" w:lineRule="exact"/>
        <w:tabs>
          <w:tab w:leader="none" w:pos="299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Cause business interruption policies to name the Agent as a loss payee and to be endorsed or amended to include (i) a provision that, from and after the Closing Date, the insurer shall pay all proceeds otherwise payable to the Loan Parties under the policies directly to the Agent, (ii) a provision to the effect that none of the Loan Parties, the Agent, the Agent or any other party shall be a co</w:t>
      </w:r>
      <w:r>
        <w:rPr>
          <w:rFonts w:ascii="MS PGothic" w:cs="MS PGothic" w:eastAsia="MS PGothic" w:hAnsi="MS PGothic"/>
          <w:sz w:val="19"/>
          <w:szCs w:val="19"/>
          <w:color w:val="auto"/>
        </w:rPr>
        <w:t>‑</w:t>
      </w:r>
      <w:r>
        <w:rPr>
          <w:rFonts w:ascii="Arial" w:cs="Arial" w:eastAsia="Arial" w:hAnsi="Arial"/>
          <w:sz w:val="19"/>
          <w:szCs w:val="19"/>
          <w:color w:val="auto"/>
        </w:rPr>
        <w:t>insurer and (iii) such other provisions as the Agent may reasonably require from time to time to protect the interests of the Credit Parties.</w:t>
      </w:r>
    </w:p>
    <w:p>
      <w:pPr>
        <w:spacing w:after="0" w:line="155" w:lineRule="exact"/>
        <w:rPr>
          <w:rFonts w:ascii="Arial" w:cs="Arial" w:eastAsia="Arial" w:hAnsi="Arial"/>
          <w:sz w:val="19"/>
          <w:szCs w:val="19"/>
          <w:color w:val="auto"/>
        </w:rPr>
      </w:pPr>
    </w:p>
    <w:p>
      <w:pPr>
        <w:ind w:left="1600" w:right="80" w:firstLine="799"/>
        <w:spacing w:after="0" w:line="329" w:lineRule="auto"/>
        <w:tabs>
          <w:tab w:leader="none" w:pos="29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Cause each such policy referred to in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to also provide that it shall not be canceled, modified or not renewed (i) by reason of nonpayment of premium except upon not less than ten (10) days’ prior written notice thereof by the insurer to the Agent (giving the Agent the right to cure defaults in the payment of premiums) or (ii) for any other reason except upon not less than thirty (30) days’ prior written notice thereof by the insurer to the Agent.</w:t>
      </w:r>
    </w:p>
    <w:p>
      <w:pPr>
        <w:spacing w:after="0" w:line="93" w:lineRule="exact"/>
        <w:rPr>
          <w:rFonts w:ascii="Arial" w:cs="Arial" w:eastAsia="Arial" w:hAnsi="Arial"/>
          <w:sz w:val="18"/>
          <w:szCs w:val="18"/>
          <w:color w:val="auto"/>
        </w:rPr>
      </w:pPr>
    </w:p>
    <w:p>
      <w:pPr>
        <w:ind w:left="1600" w:firstLine="799"/>
        <w:spacing w:after="0" w:line="292" w:lineRule="auto"/>
        <w:tabs>
          <w:tab w:leader="none" w:pos="299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Deliver to the Agent, prior to the cancellation, modification or non-renewal of any such policy of insurance, a copy of a renewal or replacement policy (or other evidence of renewal of a policy previously delivered to the Agent, including an insurance binder) together with evidence satisfactory to the Agent.</w:t>
      </w:r>
    </w:p>
    <w:p>
      <w:pPr>
        <w:spacing w:after="0" w:line="119" w:lineRule="exact"/>
        <w:rPr>
          <w:rFonts w:ascii="Arial" w:cs="Arial" w:eastAsia="Arial" w:hAnsi="Arial"/>
          <w:sz w:val="20"/>
          <w:szCs w:val="20"/>
          <w:color w:val="auto"/>
        </w:rPr>
      </w:pPr>
    </w:p>
    <w:p>
      <w:pPr>
        <w:ind w:left="1600" w:right="20" w:firstLine="799"/>
        <w:spacing w:after="0" w:line="438" w:lineRule="auto"/>
        <w:tabs>
          <w:tab w:leader="none" w:pos="299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Permit any representatives that are designated by the Agent to inspect the insurance policies maintained by or on behalf of the Loan Parties and to inspect books and records related thereto and any properties covered thereby.</w:t>
      </w:r>
    </w:p>
    <w:p>
      <w:pPr>
        <w:spacing w:after="0" w:line="3"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 xml:space="preserve">None of the Credit Parties, or their agents or employees shall be liable for any loss or damage insured by the insurance policies required to be maintained under this </w:t>
      </w:r>
      <w:r>
        <w:rPr>
          <w:rFonts w:ascii="Arial" w:cs="Arial" w:eastAsia="Arial" w:hAnsi="Arial"/>
          <w:sz w:val="20"/>
          <w:szCs w:val="20"/>
          <w:u w:val="single" w:color="auto"/>
          <w:color w:val="auto"/>
        </w:rPr>
        <w:t>Section 6.07</w:t>
      </w:r>
      <w:r>
        <w:rPr>
          <w:rFonts w:ascii="Arial" w:cs="Arial" w:eastAsia="Arial" w:hAnsi="Arial"/>
          <w:sz w:val="20"/>
          <w:szCs w:val="20"/>
          <w:color w:val="auto"/>
        </w:rPr>
        <w:t>. Each Loan Party shall look</w:t>
      </w:r>
    </w:p>
    <w:p>
      <w:pPr>
        <w:spacing w:after="0" w:line="22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1" w:name="page122"/>
    <w:bookmarkEnd w:id="121"/>
    <w:p>
      <w:pPr>
        <w:ind w:right="20"/>
        <w:spacing w:after="0" w:line="369" w:lineRule="auto"/>
        <w:rPr>
          <w:sz w:val="20"/>
          <w:szCs w:val="20"/>
          <w:color w:val="auto"/>
        </w:rPr>
      </w:pPr>
      <w:r>
        <w:rPr>
          <w:rFonts w:ascii="Arial" w:cs="Arial" w:eastAsia="Arial" w:hAnsi="Arial"/>
          <w:sz w:val="16"/>
          <w:szCs w:val="16"/>
          <w:color w:val="auto"/>
        </w:rPr>
        <w:t xml:space="preserve">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6.08 Compliance with Laws</w:t>
      </w:r>
    </w:p>
    <w:p>
      <w:pPr>
        <w:spacing w:after="0" w:line="181" w:lineRule="exact"/>
        <w:rPr>
          <w:sz w:val="20"/>
          <w:szCs w:val="20"/>
          <w:color w:val="auto"/>
        </w:rPr>
      </w:pPr>
    </w:p>
    <w:p>
      <w:pPr>
        <w:ind w:firstLine="8"/>
        <w:spacing w:after="0" w:line="305" w:lineRule="auto"/>
        <w:tabs>
          <w:tab w:leader="none" w:pos="14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6.09 Books and Records; Accountants.</w:t>
      </w:r>
    </w:p>
    <w:p>
      <w:pPr>
        <w:spacing w:after="0" w:line="195" w:lineRule="exact"/>
        <w:rPr>
          <w:sz w:val="20"/>
          <w:szCs w:val="20"/>
          <w:color w:val="auto"/>
        </w:rPr>
      </w:pPr>
    </w:p>
    <w:p>
      <w:pPr>
        <w:ind w:left="320" w:right="320" w:hanging="219"/>
        <w:spacing w:after="0" w:line="329" w:lineRule="auto"/>
        <w:rPr>
          <w:sz w:val="20"/>
          <w:szCs w:val="20"/>
          <w:color w:val="auto"/>
        </w:rPr>
      </w:pPr>
      <w:r>
        <w:rPr>
          <w:rFonts w:ascii="Arial" w:cs="Arial" w:eastAsia="Arial" w:hAnsi="Arial"/>
          <w:sz w:val="18"/>
          <w:szCs w:val="18"/>
          <w:color w:val="auto"/>
        </w:rPr>
        <w:t>(a)(i) Maintain proper books of record and account, in which full, true and correct entries in conformity with GAAP consistently applied shall be made of all financial transactions and matters involving the assets and business of the Loan Parties or such Subsidiary, as the case may be; and (ii) maintain such books of record and account in material conformity with all applicable requirements of any Governmental Authority having regulatory jurisdiction over the Loan Parties or such Subsidiary, as the case may be.</w:t>
      </w:r>
    </w:p>
    <w:p>
      <w:pPr>
        <w:spacing w:after="0" w:line="80" w:lineRule="exact"/>
        <w:rPr>
          <w:sz w:val="20"/>
          <w:szCs w:val="20"/>
          <w:color w:val="auto"/>
        </w:rPr>
      </w:pPr>
    </w:p>
    <w:p>
      <w:pPr>
        <w:ind w:left="340" w:right="20" w:hanging="230"/>
        <w:spacing w:after="0" w:line="288" w:lineRule="auto"/>
        <w:rPr>
          <w:sz w:val="20"/>
          <w:szCs w:val="20"/>
          <w:color w:val="auto"/>
        </w:rPr>
      </w:pPr>
      <w:r>
        <w:rPr>
          <w:rFonts w:ascii="Arial" w:cs="Arial" w:eastAsia="Arial" w:hAnsi="Arial"/>
          <w:sz w:val="20"/>
          <w:szCs w:val="20"/>
          <w:color w:val="auto"/>
        </w:rPr>
        <w:t>(b)At all times retain a Registered Public Accounting Firm which is reasonably satisfactory to the Agent and instruct such Registered Public Accounting Firm to cooperate with, and be available to, the Agent or its representatives to discuss the Loan Parties’ financial performance, financial condition, operating results, controls, and such other matters, within the scope of the retention of such Registered Public Accounting Firm, as may be raised by the Agent.</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6.10 Inspection Rights.</w:t>
      </w:r>
    </w:p>
    <w:p>
      <w:pPr>
        <w:spacing w:after="0" w:line="195" w:lineRule="exact"/>
        <w:rPr>
          <w:sz w:val="20"/>
          <w:szCs w:val="20"/>
          <w:color w:val="auto"/>
        </w:rPr>
      </w:pPr>
    </w:p>
    <w:p>
      <w:pPr>
        <w:ind w:left="320" w:right="40" w:hanging="219"/>
        <w:spacing w:after="0" w:line="323" w:lineRule="auto"/>
        <w:rPr>
          <w:sz w:val="20"/>
          <w:szCs w:val="20"/>
          <w:color w:val="auto"/>
        </w:rPr>
      </w:pPr>
      <w:r>
        <w:rPr>
          <w:rFonts w:ascii="Arial" w:cs="Arial" w:eastAsia="Arial" w:hAnsi="Arial"/>
          <w:sz w:val="18"/>
          <w:szCs w:val="18"/>
          <w:color w:val="auto"/>
        </w:rPr>
        <w:t xml:space="preserve">(a)Permit representatives and independent contractors of the Agent to visit and inspect any of its properties, to examine its corporate, financial and operating records, and make copies thereof or abstracts therefrom, and to discuss its affairs, finances and accounts with its directors, officers, and Registered Public Accounting Firm, all at the reasonable expense of the Loan Parties and at such reasonable times during normal business hours and as often as may be reasonably desired, upon reasonable advance notice to the Lead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a Default or an Event of Default exists the Agent (or any of its representatives or independent contractors) may do any of the foregoing at the expense of the Loan Parties at any time during normal business hours and without advance notice.</w:t>
      </w:r>
    </w:p>
    <w:p>
      <w:pPr>
        <w:spacing w:after="0" w:line="20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2" w:name="page123"/>
    <w:bookmarkEnd w:id="122"/>
    <w:p>
      <w:pPr>
        <w:ind w:left="340" w:hanging="230"/>
        <w:spacing w:after="0" w:line="318" w:lineRule="auto"/>
        <w:rPr>
          <w:sz w:val="20"/>
          <w:szCs w:val="20"/>
          <w:color w:val="auto"/>
        </w:rPr>
      </w:pPr>
      <w:r>
        <w:rPr>
          <w:rFonts w:ascii="Arial" w:cs="Arial" w:eastAsia="Arial" w:hAnsi="Arial"/>
          <w:sz w:val="18"/>
          <w:szCs w:val="18"/>
          <w:color w:val="auto"/>
        </w:rPr>
        <w:t xml:space="preserve">(b)Upon the request of the Agent after reasonable prior notice, permit the Agent or professionals (including investment bankers, consultants, accountants, and lawyers) retained by the Agent to conduct commercial finance examinations and other evaluations of the Loan Parties, including, without limitation, of (i) the Lead Borrower’s practices in the computation of the Borrowing Base, (ii) the assets included in the Borrowing Base and related financial information such as, but not limited to, sales, gross margins, payables, accruals and reserves, and (iii) the Loan Parties’ business plan, forecasts and cash flows. The Loan Parties acknowledge that the Agent may, at any time Loans are outstanding, undertake up to one (1) commercial finance examinations in each twelve (12) month period at the Loan Parties’ reasonable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Availability is less than seventeen and one-half percent (17.5%) of the Revolving Loan Cap at any at any time, the Agent may, undertake up to two (2) commercial finance examinations in the immediately succeeding twelve (12) month period. Notwithstanding the foregoing, the Agent may cause additional commercial finance examinations to be undertaken (i) as it in its discretion deems necessary or appropriate, at the Credit Parties’ expense or, (ii) if required by Law or if a Default or Event of Default shall have occurred and be continuing, at the expense of the Loan Parties.</w:t>
      </w:r>
    </w:p>
    <w:p>
      <w:pPr>
        <w:spacing w:after="0" w:line="102" w:lineRule="exact"/>
        <w:rPr>
          <w:sz w:val="20"/>
          <w:szCs w:val="20"/>
          <w:color w:val="auto"/>
        </w:rPr>
      </w:pPr>
    </w:p>
    <w:p>
      <w:pPr>
        <w:ind w:left="320" w:right="20" w:hanging="219"/>
        <w:spacing w:after="0" w:line="300" w:lineRule="auto"/>
        <w:rPr>
          <w:sz w:val="20"/>
          <w:szCs w:val="20"/>
          <w:color w:val="auto"/>
        </w:rPr>
      </w:pPr>
      <w:r>
        <w:rPr>
          <w:rFonts w:ascii="Arial" w:cs="Arial" w:eastAsia="Arial" w:hAnsi="Arial"/>
          <w:sz w:val="19"/>
          <w:szCs w:val="19"/>
          <w:color w:val="auto"/>
        </w:rPr>
        <w:t xml:space="preserve">(c)Upon the request of the Agent after reasonable prior notice, permit the Agent or professionals (including appraisers) retained by the Agent, in each case on behalf of the Lenders to conduct appraisals of the Collateral on behalf of the Revolving Lenders, including, without limitation, the Inventory included in the included in the Borrowing Base. The Loan Parties acknowledge that the Agent may, at any time Loans are outstanding, undertake up to one (1) such Inventory appraisal in each twelve (12) month period at the Loan Parties’ reasonable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Availability is less than seventeen and one-half percent (17.5%) of the Revolving Loan Cap at any at any time, the Agent may, undertake up to two (2) Inventory appraisals in the immediately succeeding twelve (12) month period. Notwithstanding the foregoing, the Agent may cause additional appraisals to be undertaken (i) as it in its discretion deems necessary or appropriate, at the Credit Parties’ expense or, (ii) if required by Law or if a Default or Event of Default shall have occurred and be continuing, at the expense of the Loan Parties.</w:t>
      </w:r>
    </w:p>
    <w:p>
      <w:pPr>
        <w:spacing w:after="0" w:line="200" w:lineRule="exact"/>
        <w:rPr>
          <w:sz w:val="20"/>
          <w:szCs w:val="20"/>
          <w:color w:val="auto"/>
        </w:rPr>
      </w:pPr>
    </w:p>
    <w:p>
      <w:pPr>
        <w:spacing w:after="0" w:line="32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6.11 Additional Loan Parties</w:t>
      </w:r>
    </w:p>
    <w:p>
      <w:pPr>
        <w:spacing w:after="0" w:line="195" w:lineRule="exact"/>
        <w:rPr>
          <w:sz w:val="20"/>
          <w:szCs w:val="20"/>
          <w:color w:val="auto"/>
        </w:rPr>
      </w:pPr>
    </w:p>
    <w:p>
      <w:pPr>
        <w:ind w:right="120"/>
        <w:spacing w:after="0" w:line="318" w:lineRule="auto"/>
        <w:rPr>
          <w:sz w:val="20"/>
          <w:szCs w:val="20"/>
          <w:color w:val="auto"/>
        </w:rPr>
      </w:pPr>
      <w:r>
        <w:rPr>
          <w:rFonts w:ascii="Arial" w:cs="Arial" w:eastAsia="Arial" w:hAnsi="Arial"/>
          <w:sz w:val="18"/>
          <w:szCs w:val="18"/>
          <w:color w:val="auto"/>
        </w:rPr>
        <w:t xml:space="preserve">Notify the Agent at the time that any Person becomes a Domestic Subsidiary, and promptly thereafter (and in any event within thirty (30) days), cause any such Person (a) which is not a CFC or the Immaterial Subsidiary to (i) become a Loan Party by executing and delivering to the Agent a Joinder Agreement to this Agreement or a Joinder Agreement to the Facility Guaranty or such other documents as the Agent shall deem appropriate for such purpose, (ii) grant a Lien to the Agent on such Person’s assets of the same type that constitute Collateral to secure the Obligations, and (iii) deliver to the Agent documents of the types referred to in clauses (iii) and (iv)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(a)), and (b) if any Equity Interests or Indebtedness of such Person are owned by or on behalf of any Loan Party, to pledge such Equity Interests and promissory notes evidencing such Indebtedness (except that, if such Subsidiary is a CFC), the Equity Interests of such Subsidiary to be pledged may be limited to 65% of the outstanding voting Equity Interests of such Subsidiary and 100% of the non-voting Equity Interests of such Subsidiary, in</w:t>
      </w:r>
    </w:p>
    <w:p>
      <w:pPr>
        <w:spacing w:after="0" w:line="214"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3" w:name="page124"/>
    <w:bookmarkEnd w:id="123"/>
    <w:p>
      <w:pPr>
        <w:ind w:right="40"/>
        <w:spacing w:after="0" w:line="329" w:lineRule="auto"/>
        <w:rPr>
          <w:sz w:val="20"/>
          <w:szCs w:val="20"/>
          <w:color w:val="auto"/>
        </w:rPr>
      </w:pPr>
      <w:r>
        <w:rPr>
          <w:rFonts w:ascii="Arial" w:cs="Arial" w:eastAsia="Arial" w:hAnsi="Arial"/>
          <w:sz w:val="18"/>
          <w:szCs w:val="18"/>
          <w:color w:val="auto"/>
        </w:rPr>
        <w:t xml:space="preserve">each case in form, content and scope reasonably satisfactory to the Agent. In no event shall compliance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waive or be deemed a waiver or Consent to any transaction giving rise to the need to comply with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if such transaction was not otherwise expressly permitted by this Agreement or constitute or be deemed to constitute, with respect to any Subsidiary, an approval of such Person as a Borrower or Guarantor hereunder or permit the inclusion of any acquired assets in the computation of the Borrowing Base.</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6.12 Cash Management</w:t>
      </w:r>
      <w:r>
        <w:rPr>
          <w:rFonts w:ascii="Arial" w:cs="Arial" w:eastAsia="Arial" w:hAnsi="Arial"/>
          <w:sz w:val="20"/>
          <w:szCs w:val="20"/>
          <w:color w:val="auto"/>
        </w:rPr>
        <w: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(a)On or before the date that is 120 days following the Closing Date:</w:t>
      </w:r>
    </w:p>
    <w:p>
      <w:pPr>
        <w:spacing w:after="0" w:line="189" w:lineRule="exact"/>
        <w:rPr>
          <w:sz w:val="20"/>
          <w:szCs w:val="20"/>
          <w:color w:val="auto"/>
        </w:rPr>
      </w:pPr>
    </w:p>
    <w:p>
      <w:pPr>
        <w:ind w:left="2340" w:right="100" w:firstLine="1351"/>
        <w:spacing w:after="0" w:line="288" w:lineRule="auto"/>
        <w:tabs>
          <w:tab w:leader="none" w:pos="513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deliver to the Agent copies of notifications (each, a “Credit Card Notification”) reasonably satisfactory in form and substance to the Agent, which have been executed on behalf of such Loan Party and delivered to such Loan Party’s credit card clearinghouses and processors listed on </w:t>
      </w:r>
      <w:r>
        <w:rPr>
          <w:rFonts w:ascii="Arial" w:cs="Arial" w:eastAsia="Arial" w:hAnsi="Arial"/>
          <w:sz w:val="20"/>
          <w:szCs w:val="20"/>
          <w:u w:val="single" w:color="auto"/>
          <w:color w:val="auto"/>
        </w:rPr>
        <w:t>Schedule 5.21(b)</w:t>
      </w:r>
      <w:r>
        <w:rPr>
          <w:rFonts w:ascii="Arial" w:cs="Arial" w:eastAsia="Arial" w:hAnsi="Arial"/>
          <w:sz w:val="20"/>
          <w:szCs w:val="20"/>
          <w:color w:val="auto"/>
        </w:rPr>
        <w:t>; and</w:t>
      </w:r>
    </w:p>
    <w:p>
      <w:pPr>
        <w:spacing w:after="0" w:line="124" w:lineRule="exact"/>
        <w:rPr>
          <w:rFonts w:ascii="Arial" w:cs="Arial" w:eastAsia="Arial" w:hAnsi="Arial"/>
          <w:sz w:val="20"/>
          <w:szCs w:val="20"/>
          <w:color w:val="auto"/>
        </w:rPr>
      </w:pPr>
    </w:p>
    <w:p>
      <w:pPr>
        <w:ind w:left="5140" w:hanging="1495"/>
        <w:spacing w:after="0"/>
        <w:tabs>
          <w:tab w:leader="none" w:pos="5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enter into an Account Control Agreement satisfactory in form and substance</w:t>
      </w:r>
    </w:p>
    <w:p>
      <w:pPr>
        <w:spacing w:after="0" w:line="6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20"/>
          <w:szCs w:val="20"/>
          <w:color w:val="auto"/>
        </w:rPr>
        <w:t>to the Agent with each Controlled Account Bank (collectively, the “Controlled Accounts”).</w:t>
      </w:r>
    </w:p>
    <w:p>
      <w:pPr>
        <w:spacing w:after="0" w:line="175" w:lineRule="exact"/>
        <w:rPr>
          <w:sz w:val="20"/>
          <w:szCs w:val="20"/>
          <w:color w:val="auto"/>
        </w:rPr>
      </w:pPr>
    </w:p>
    <w:p>
      <w:pPr>
        <w:ind w:left="340" w:hanging="230"/>
        <w:spacing w:after="0" w:line="288" w:lineRule="auto"/>
        <w:rPr>
          <w:sz w:val="20"/>
          <w:szCs w:val="20"/>
          <w:color w:val="auto"/>
        </w:rPr>
      </w:pPr>
      <w:r>
        <w:rPr>
          <w:rFonts w:ascii="Arial" w:cs="Arial" w:eastAsia="Arial" w:hAnsi="Arial"/>
          <w:sz w:val="20"/>
          <w:szCs w:val="20"/>
          <w:color w:val="auto"/>
        </w:rPr>
        <w:t>(b)ACH or wire transfer no less frequently than daily (and whether or not there are then any outstanding Obligations) to a Controlled Account all amounts on deposit in each DDA (net of any minimum balance, not to exceed $2,500.00, as may be required to be kept in the subject DDA by the depository institution at which such DDA is maintained) and all payments due from all Credit Card Issuers and Credit Card Processors.</w:t>
      </w:r>
    </w:p>
    <w:p>
      <w:pPr>
        <w:spacing w:after="0" w:line="125" w:lineRule="exact"/>
        <w:rPr>
          <w:sz w:val="20"/>
          <w:szCs w:val="20"/>
          <w:color w:val="auto"/>
        </w:rPr>
      </w:pPr>
    </w:p>
    <w:p>
      <w:pPr>
        <w:ind w:left="320" w:hanging="219"/>
        <w:spacing w:after="0" w:line="288" w:lineRule="auto"/>
        <w:rPr>
          <w:sz w:val="20"/>
          <w:szCs w:val="20"/>
          <w:color w:val="auto"/>
        </w:rPr>
      </w:pPr>
      <w:r>
        <w:rPr>
          <w:rFonts w:ascii="Arial" w:cs="Arial" w:eastAsia="Arial" w:hAnsi="Arial"/>
          <w:sz w:val="20"/>
          <w:szCs w:val="20"/>
          <w:color w:val="auto"/>
        </w:rPr>
        <w:t>(c)After the occurrence and during the continuance of a Cash Dominion Event, cause the ACH or wire transfer to the collection account maintained by the Agent at Citizens Bank (the “Collection Account”), no less frequently than daily (and whether or not there are then any outstanding Obligations), all cash receipts and collections received by each Loan Party from all sources, including, without limitation, the following:</w:t>
      </w:r>
    </w:p>
    <w:p>
      <w:pPr>
        <w:spacing w:after="0" w:line="125" w:lineRule="exact"/>
        <w:rPr>
          <w:sz w:val="20"/>
          <w:szCs w:val="20"/>
          <w:color w:val="auto"/>
        </w:rPr>
      </w:pPr>
    </w:p>
    <w:p>
      <w:pPr>
        <w:ind w:left="5140" w:hanging="1449"/>
        <w:spacing w:after="0"/>
        <w:tabs>
          <w:tab w:leader="none" w:pos="51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all available cash receipts from the sale of Inventory (including without</w:t>
      </w:r>
    </w:p>
    <w:p>
      <w:pPr>
        <w:spacing w:after="0" w:line="51"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20"/>
          <w:szCs w:val="20"/>
          <w:color w:val="auto"/>
        </w:rPr>
        <w:t>limitation, proceeds of credit card charges) and other assets (whether or not constituting Collateral);</w:t>
      </w:r>
    </w:p>
    <w:p>
      <w:pPr>
        <w:spacing w:after="0" w:line="175" w:lineRule="exact"/>
        <w:rPr>
          <w:rFonts w:ascii="Arial" w:cs="Arial" w:eastAsia="Arial" w:hAnsi="Arial"/>
          <w:sz w:val="19"/>
          <w:szCs w:val="19"/>
          <w:color w:val="auto"/>
        </w:rPr>
      </w:pPr>
    </w:p>
    <w:p>
      <w:pPr>
        <w:ind w:left="5140" w:hanging="1495"/>
        <w:spacing w:after="0"/>
        <w:tabs>
          <w:tab w:leader="none" w:pos="51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all proceeds of collections of Accounts;</w:t>
      </w:r>
    </w:p>
    <w:p>
      <w:pPr>
        <w:spacing w:after="0" w:line="188" w:lineRule="exact"/>
        <w:rPr>
          <w:rFonts w:ascii="Arial" w:cs="Arial" w:eastAsia="Arial" w:hAnsi="Arial"/>
          <w:sz w:val="20"/>
          <w:szCs w:val="20"/>
          <w:color w:val="auto"/>
        </w:rPr>
      </w:pPr>
    </w:p>
    <w:p>
      <w:pPr>
        <w:ind w:left="5140" w:hanging="1541"/>
        <w:spacing w:after="0"/>
        <w:tabs>
          <w:tab w:leader="none" w:pos="51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Net Proceeds, and all other cash payments received by a Loan Party from</w:t>
      </w:r>
    </w:p>
    <w:p>
      <w:pPr>
        <w:spacing w:after="0" w:line="86" w:lineRule="exact"/>
        <w:rPr>
          <w:rFonts w:ascii="Arial" w:cs="Arial" w:eastAsia="Arial" w:hAnsi="Arial"/>
          <w:sz w:val="16"/>
          <w:szCs w:val="16"/>
          <w:color w:val="auto"/>
        </w:rPr>
      </w:pPr>
    </w:p>
    <w:p>
      <w:pPr>
        <w:ind w:left="2340"/>
        <w:spacing w:after="0"/>
        <w:rPr>
          <w:rFonts w:ascii="Arial" w:cs="Arial" w:eastAsia="Arial" w:hAnsi="Arial"/>
          <w:sz w:val="16"/>
          <w:szCs w:val="16"/>
          <w:color w:val="auto"/>
        </w:rPr>
      </w:pPr>
      <w:r>
        <w:rPr>
          <w:rFonts w:ascii="Arial" w:cs="Arial" w:eastAsia="Arial" w:hAnsi="Arial"/>
          <w:sz w:val="20"/>
          <w:szCs w:val="20"/>
          <w:color w:val="auto"/>
        </w:rPr>
        <w:t>any Person or from any source or on account of any Disposition or other transaction or event;</w:t>
      </w:r>
    </w:p>
    <w:p>
      <w:pPr>
        <w:spacing w:after="0" w:line="188" w:lineRule="exact"/>
        <w:rPr>
          <w:rFonts w:ascii="Arial" w:cs="Arial" w:eastAsia="Arial" w:hAnsi="Arial"/>
          <w:sz w:val="16"/>
          <w:szCs w:val="16"/>
          <w:color w:val="auto"/>
        </w:rPr>
      </w:pPr>
    </w:p>
    <w:p>
      <w:pPr>
        <w:ind w:left="2340" w:firstLine="1268"/>
        <w:spacing w:after="0" w:line="292" w:lineRule="auto"/>
        <w:tabs>
          <w:tab w:leader="none" w:pos="513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then contents of each DDA (net of any minimum balance, not to exceed $2,500.00, as may be required to be kept in the subject DDA by the depository institution at which such DDA is maintained); and</w:t>
      </w:r>
    </w:p>
    <w:p>
      <w:pPr>
        <w:spacing w:after="0" w:line="106" w:lineRule="exact"/>
        <w:rPr>
          <w:sz w:val="20"/>
          <w:szCs w:val="20"/>
          <w:color w:val="auto"/>
        </w:rPr>
      </w:pPr>
    </w:p>
    <w:p>
      <w:pPr>
        <w:ind w:left="2340" w:right="60" w:firstLine="1314"/>
        <w:spacing w:after="0" w:line="292" w:lineRule="auto"/>
        <w:tabs>
          <w:tab w:leader="none" w:pos="513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then entire ledger balance of each Controlled Account (net of any minimum balance, not to exceed $2,500.00, as may be required to be kept in the subject Controlled Account by the Controlled Account Bank).</w:t>
      </w:r>
    </w:p>
    <w:p>
      <w:pPr>
        <w:spacing w:after="0" w:line="119" w:lineRule="exact"/>
        <w:rPr>
          <w:sz w:val="20"/>
          <w:szCs w:val="20"/>
          <w:color w:val="auto"/>
        </w:rPr>
      </w:pPr>
    </w:p>
    <w:p>
      <w:pPr>
        <w:ind w:left="340" w:right="260" w:hanging="230"/>
        <w:spacing w:after="0" w:line="303" w:lineRule="auto"/>
        <w:rPr>
          <w:sz w:val="20"/>
          <w:szCs w:val="20"/>
          <w:color w:val="auto"/>
        </w:rPr>
      </w:pPr>
      <w:r>
        <w:rPr>
          <w:rFonts w:ascii="Arial" w:cs="Arial" w:eastAsia="Arial" w:hAnsi="Arial"/>
          <w:sz w:val="20"/>
          <w:szCs w:val="20"/>
          <w:color w:val="auto"/>
        </w:rPr>
        <w:t>(d)The Collection Account shall at all times during the continuance of a Cash Dominion Event be under the sole dominion and control of the Agent. The Loan Parties hereby acknowledge and agree</w:t>
      </w:r>
    </w:p>
    <w:p>
      <w:pPr>
        <w:spacing w:after="0" w:line="22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4" w:name="page125"/>
    <w:bookmarkEnd w:id="124"/>
    <w:p>
      <w:pPr>
        <w:ind w:left="100"/>
        <w:spacing w:after="0" w:line="284" w:lineRule="auto"/>
        <w:rPr>
          <w:sz w:val="20"/>
          <w:szCs w:val="20"/>
          <w:color w:val="auto"/>
        </w:rPr>
      </w:pPr>
      <w:r>
        <w:rPr>
          <w:rFonts w:ascii="Arial" w:cs="Arial" w:eastAsia="Arial" w:hAnsi="Arial"/>
          <w:sz w:val="20"/>
          <w:szCs w:val="20"/>
          <w:color w:val="auto"/>
        </w:rPr>
        <w:t xml:space="preserve">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Arial" w:cs="Arial" w:eastAsia="Arial" w:hAnsi="Arial"/>
          <w:sz w:val="20"/>
          <w:szCs w:val="20"/>
          <w:u w:val="single" w:color="auto"/>
          <w:color w:val="auto"/>
        </w:rPr>
        <w:t>Section 6.12</w:t>
      </w:r>
      <w:r>
        <w:rPr>
          <w:rFonts w:ascii="Arial" w:cs="Arial" w:eastAsia="Arial" w:hAnsi="Arial"/>
          <w:sz w:val="20"/>
          <w:szCs w:val="20"/>
          <w:color w:val="auto"/>
        </w:rPr>
        <w:t>, any Loan Party receives or otherwise has dominion and control of any such cash receipts or collections, such receipts and collections shall be held in trust by such Loan Party for the Agent,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Agent.</w:t>
      </w:r>
    </w:p>
    <w:p>
      <w:pPr>
        <w:spacing w:after="0" w:line="131" w:lineRule="exact"/>
        <w:rPr>
          <w:sz w:val="20"/>
          <w:szCs w:val="20"/>
          <w:color w:val="auto"/>
        </w:rPr>
      </w:pPr>
    </w:p>
    <w:p>
      <w:pPr>
        <w:jc w:val="right"/>
        <w:ind w:left="100" w:right="560"/>
        <w:spacing w:after="0" w:line="436" w:lineRule="auto"/>
        <w:rPr>
          <w:sz w:val="20"/>
          <w:szCs w:val="20"/>
          <w:color w:val="auto"/>
        </w:rPr>
      </w:pPr>
      <w:r>
        <w:rPr>
          <w:rFonts w:ascii="Arial" w:cs="Arial" w:eastAsia="Arial" w:hAnsi="Arial"/>
          <w:sz w:val="16"/>
          <w:szCs w:val="16"/>
          <w:color w:val="auto"/>
        </w:rPr>
        <w:t>(e)Upon the request of the Agent, cause bank statements and/or other reports to be delivered to the Agent not less often than monthly, accurately setting forth all amounts deposited in each Controlled Account to ensure the proper transfer of funds as set forth above.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6.13 Information Regarding the Collateral</w:t>
      </w:r>
      <w:r>
        <w:rPr>
          <w:rFonts w:ascii="Arial" w:cs="Arial" w:eastAsia="Arial" w:hAnsi="Arial"/>
          <w:sz w:val="20"/>
          <w:szCs w:val="20"/>
          <w:color w:val="auto"/>
        </w:rPr>
        <w:t>.</w:t>
      </w:r>
    </w:p>
    <w:p>
      <w:pPr>
        <w:spacing w:after="0" w:line="195" w:lineRule="exact"/>
        <w:rPr>
          <w:sz w:val="20"/>
          <w:szCs w:val="20"/>
          <w:color w:val="auto"/>
        </w:rPr>
      </w:pPr>
    </w:p>
    <w:p>
      <w:pPr>
        <w:ind w:right="80" w:firstLine="749"/>
        <w:spacing w:after="0" w:line="300" w:lineRule="auto"/>
        <w:rPr>
          <w:sz w:val="20"/>
          <w:szCs w:val="20"/>
          <w:color w:val="auto"/>
        </w:rPr>
      </w:pPr>
      <w:r>
        <w:rPr>
          <w:rFonts w:ascii="Arial" w:cs="Arial" w:eastAsia="Arial" w:hAnsi="Arial"/>
          <w:sz w:val="19"/>
          <w:szCs w:val="19"/>
          <w:color w:val="auto"/>
        </w:rPr>
        <w:t>Furnish to the Agent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Agent to continue at all times following such change to have a valid, legal and perfected first priority security interest in all the Collateral for its own benefit and the benefit of the other Credit Parties.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6.14 Physical Inventories</w:t>
      </w:r>
      <w:r>
        <w:rPr>
          <w:rFonts w:ascii="Arial" w:cs="Arial" w:eastAsia="Arial" w:hAnsi="Arial"/>
          <w:sz w:val="20"/>
          <w:szCs w:val="20"/>
          <w:color w:val="auto"/>
        </w:rPr>
        <w:t>.</w:t>
      </w:r>
    </w:p>
    <w:p>
      <w:pPr>
        <w:spacing w:after="0" w:line="181" w:lineRule="exact"/>
        <w:rPr>
          <w:sz w:val="20"/>
          <w:szCs w:val="20"/>
          <w:color w:val="auto"/>
        </w:rPr>
      </w:pPr>
    </w:p>
    <w:p>
      <w:pPr>
        <w:ind w:left="320" w:right="80" w:hanging="219"/>
        <w:spacing w:after="0" w:line="313" w:lineRule="auto"/>
        <w:rPr>
          <w:sz w:val="20"/>
          <w:szCs w:val="20"/>
          <w:color w:val="auto"/>
        </w:rPr>
      </w:pPr>
      <w:r>
        <w:rPr>
          <w:rFonts w:ascii="Arial" w:cs="Arial" w:eastAsia="Arial" w:hAnsi="Arial"/>
          <w:sz w:val="18"/>
          <w:szCs w:val="18"/>
          <w:color w:val="auto"/>
        </w:rPr>
        <w:t>(a)Cause not less than one (1) physical inventory per any Store to be undertaken, at the expense of the Loan Parties, in each Fiscal Year and one (1) periodic cycle count per any warehouse, in each case consistent with past practices, conducted by such inventory takers as are satisfactory to the Agent and following such methodology as is consistent with the methodology used in the immediately preceding inventory or as otherwise may be satisfactory to the Agent. The Agent, at the expense of the Loan Parties, may participate in and/or observe each scheduled physical count of Inventory which is undertaken on behalf of any Loan Party. The Lead Borrower, within thirty</w:t>
      </w:r>
    </w:p>
    <w:p>
      <w:pPr>
        <w:ind w:left="320" w:right="100" w:firstLine="2"/>
        <w:spacing w:after="0" w:line="292" w:lineRule="auto"/>
        <w:tabs>
          <w:tab w:leader="none" w:pos="69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days following the completion of such inventory, shall provide the Agent with a reconciliation of the results of such inventory (as well as of any other physical inventory or cycle counts undertaken by a Loan Party) and shall post such results to the Loan Parties’ stock ledgers and general ledgers, as applicable.</w:t>
      </w:r>
    </w:p>
    <w:p>
      <w:pPr>
        <w:spacing w:after="0" w:line="119" w:lineRule="exact"/>
        <w:rPr>
          <w:sz w:val="20"/>
          <w:szCs w:val="20"/>
          <w:color w:val="auto"/>
        </w:rPr>
      </w:pPr>
    </w:p>
    <w:p>
      <w:pPr>
        <w:ind w:left="340" w:right="100" w:hanging="230"/>
        <w:spacing w:after="0" w:line="303" w:lineRule="auto"/>
        <w:rPr>
          <w:sz w:val="20"/>
          <w:szCs w:val="20"/>
          <w:color w:val="auto"/>
        </w:rPr>
      </w:pPr>
      <w:r>
        <w:rPr>
          <w:rFonts w:ascii="Arial" w:cs="Arial" w:eastAsia="Arial" w:hAnsi="Arial"/>
          <w:sz w:val="20"/>
          <w:szCs w:val="20"/>
          <w:color w:val="auto"/>
        </w:rPr>
        <w:t>(b)Permit the Agent on behalf of the Revolving Lenders, in its discretion, if any Default or Event of Default exists, to cause additional such inventories to be taken as the Agent determines (each, at the expense of the Loan Parties).</w:t>
      </w:r>
    </w:p>
    <w:p>
      <w:pPr>
        <w:spacing w:after="0" w:line="22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25" w:name="page126"/>
    <w:bookmarkEnd w:id="125"/>
    <w:p>
      <w:pPr>
        <w:ind w:left="840"/>
        <w:spacing w:after="0"/>
        <w:rPr>
          <w:sz w:val="20"/>
          <w:szCs w:val="20"/>
          <w:color w:val="auto"/>
        </w:rPr>
      </w:pPr>
      <w:r>
        <w:rPr>
          <w:rFonts w:ascii="Arial" w:cs="Arial" w:eastAsia="Arial" w:hAnsi="Arial"/>
          <w:sz w:val="20"/>
          <w:szCs w:val="20"/>
          <w:b w:val="1"/>
          <w:bCs w:val="1"/>
          <w:color w:val="auto"/>
        </w:rPr>
        <w:t>6.15 Environmental Laws</w:t>
      </w:r>
      <w:r>
        <w:rPr>
          <w:rFonts w:ascii="Arial" w:cs="Arial" w:eastAsia="Arial" w:hAnsi="Arial"/>
          <w:sz w:val="20"/>
          <w:szCs w:val="20"/>
          <w:color w:val="auto"/>
        </w:rPr>
        <w:t>.</w:t>
      </w:r>
    </w:p>
    <w:p>
      <w:pPr>
        <w:spacing w:after="0" w:line="195" w:lineRule="exact"/>
        <w:rPr>
          <w:sz w:val="20"/>
          <w:szCs w:val="20"/>
          <w:color w:val="auto"/>
        </w:rPr>
      </w:pPr>
    </w:p>
    <w:p>
      <w:pPr>
        <w:ind w:left="320" w:right="140" w:hanging="219"/>
        <w:spacing w:after="0" w:line="320" w:lineRule="auto"/>
        <w:rPr>
          <w:sz w:val="20"/>
          <w:szCs w:val="20"/>
          <w:color w:val="auto"/>
        </w:rPr>
      </w:pPr>
      <w:r>
        <w:rPr>
          <w:rFonts w:ascii="Arial" w:cs="Arial" w:eastAsia="Arial" w:hAnsi="Arial"/>
          <w:sz w:val="18"/>
          <w:szCs w:val="18"/>
          <w:color w:val="auto"/>
        </w:rPr>
        <w:t xml:space="preserve">(a)Conduct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6.16 Further Assurances.</w:t>
      </w:r>
    </w:p>
    <w:p>
      <w:pPr>
        <w:spacing w:after="0" w:line="195" w:lineRule="exact"/>
        <w:rPr>
          <w:sz w:val="20"/>
          <w:szCs w:val="20"/>
          <w:color w:val="auto"/>
        </w:rPr>
      </w:pPr>
    </w:p>
    <w:p>
      <w:pPr>
        <w:ind w:left="320" w:hanging="219"/>
        <w:spacing w:after="0" w:line="323" w:lineRule="auto"/>
        <w:rPr>
          <w:sz w:val="20"/>
          <w:szCs w:val="20"/>
          <w:color w:val="auto"/>
        </w:rPr>
      </w:pPr>
      <w:r>
        <w:rPr>
          <w:rFonts w:ascii="Arial" w:cs="Arial" w:eastAsia="Arial" w:hAnsi="Arial"/>
          <w:sz w:val="18"/>
          <w:szCs w:val="18"/>
          <w:color w:val="auto"/>
        </w:rPr>
        <w:t xml:space="preserve">(a)Execute any and all further documents, financing statements, agreements and instruments, and take all such further actions (including the filing and recording of financing statements and other documents), that may be required under any Law, or which any Agent may request, to effectuate the transactions contemplated by the Loan Documents or to grant, preserve, </w:t>
      </w:r>
      <w:r>
        <w:rPr>
          <w:rFonts w:ascii="Arial" w:cs="Arial" w:eastAsia="Arial" w:hAnsi="Arial"/>
          <w:sz w:val="18"/>
          <w:szCs w:val="18"/>
          <w:u w:val="single" w:color="auto"/>
          <w:color w:val="auto"/>
        </w:rPr>
        <w:t>protect</w:t>
      </w:r>
      <w:r>
        <w:rPr>
          <w:rFonts w:ascii="Arial" w:cs="Arial" w:eastAsia="Arial" w:hAnsi="Arial"/>
          <w:sz w:val="18"/>
          <w:szCs w:val="18"/>
          <w:color w:val="auto"/>
        </w:rPr>
        <w:t xml:space="preserve"> or perfect the Liens created or intended to be created by the Security Documents or the validity or priority of any such Lien, all at the expense of the Loan Parties. The Loan Parties also agree to provide to the Agent, from time to time upon request, evidence satisfactory to the Agent as to the perfection and priority of the Liens created or intended to be created by the Security Documents.</w:t>
      </w:r>
    </w:p>
    <w:p>
      <w:pPr>
        <w:spacing w:after="0" w:line="97" w:lineRule="exact"/>
        <w:rPr>
          <w:sz w:val="20"/>
          <w:szCs w:val="20"/>
          <w:color w:val="auto"/>
        </w:rPr>
      </w:pPr>
    </w:p>
    <w:p>
      <w:pPr>
        <w:ind w:left="340" w:right="140" w:hanging="230"/>
        <w:spacing w:after="0" w:line="292" w:lineRule="auto"/>
        <w:rPr>
          <w:sz w:val="20"/>
          <w:szCs w:val="20"/>
          <w:color w:val="auto"/>
        </w:rPr>
      </w:pPr>
      <w:r>
        <w:rPr>
          <w:rFonts w:ascii="Arial" w:cs="Arial" w:eastAsia="Arial" w:hAnsi="Arial"/>
          <w:sz w:val="20"/>
          <w:szCs w:val="20"/>
          <w:color w:val="auto"/>
        </w:rPr>
        <w:t>(b)Upon the request of the Agent, cause each of its customs brokers, freight forwarders, consolidators and/or carriers to deliver an agreement (including, without limitation, a Customs Broker/Carrier Agreement) to the Agent covering such matters and in such form as the Agent may reasonably require.</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6.17 Compliance with Terms of Leaseholds.</w:t>
      </w:r>
    </w:p>
    <w:p>
      <w:pPr>
        <w:spacing w:after="0" w:line="195" w:lineRule="exact"/>
        <w:rPr>
          <w:sz w:val="20"/>
          <w:szCs w:val="20"/>
          <w:color w:val="auto"/>
        </w:rPr>
      </w:pPr>
    </w:p>
    <w:p>
      <w:pPr>
        <w:ind w:right="20"/>
        <w:spacing w:after="0" w:line="305" w:lineRule="auto"/>
        <w:rPr>
          <w:sz w:val="20"/>
          <w:szCs w:val="20"/>
          <w:color w:val="auto"/>
        </w:rPr>
      </w:pPr>
      <w:r>
        <w:rPr>
          <w:rFonts w:ascii="Arial" w:cs="Arial" w:eastAsia="Arial" w:hAnsi="Arial"/>
          <w:sz w:val="19"/>
          <w:szCs w:val="19"/>
          <w:color w:val="auto"/>
        </w:rPr>
        <w:t>Except as otherwise expressly permitted hereunder, (a) make all payments and otherwise perform all obligations in respect of all Leases to which any Loan Party or any of its Subsidiaries is a party, keep such Leases in full force and effect (b) not allow such Leases to lapse or be terminated or any rights to renew such Leases to be forfeited or cancelled except in the ordinary course of business, consistent with past practices, (c) notify the Agent of any default by any party with respect to such Leases and cooperate with the Agent in all respects to cure any such default, and (d) cause each of its Subsidiaries to do the foregoing.</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6.18 Material Contracts</w:t>
      </w:r>
    </w:p>
    <w:p>
      <w:pPr>
        <w:spacing w:after="0" w:line="181" w:lineRule="exact"/>
        <w:rPr>
          <w:sz w:val="20"/>
          <w:szCs w:val="20"/>
          <w:color w:val="auto"/>
        </w:rPr>
      </w:pPr>
    </w:p>
    <w:p>
      <w:pPr>
        <w:ind w:right="20" w:firstLine="8"/>
        <w:spacing w:after="0" w:line="288" w:lineRule="auto"/>
        <w:tabs>
          <w:tab w:leader="none" w:pos="14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 Perform and observe all the terms and provisions of each Material Contract to be performed or observed by it, (b) maintain each such Material Contract in full force and effect except to the extent such Material Contract is no longer used or useful in the conduct of the business of the Loan Parties in the ordinary course of business, consistent with past practices, (c) enforce each such Material Contract in accordance with its terms, and (d) cause each of its Subsidiaries to do the foregoing.</w:t>
      </w:r>
    </w:p>
    <w:p>
      <w:pPr>
        <w:spacing w:after="0" w:line="24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26" w:name="page127"/>
    <w:bookmarkEnd w:id="126"/>
    <w:p>
      <w:pPr>
        <w:ind w:left="840"/>
        <w:spacing w:after="0"/>
        <w:rPr>
          <w:sz w:val="20"/>
          <w:szCs w:val="20"/>
          <w:color w:val="auto"/>
        </w:rPr>
      </w:pPr>
      <w:r>
        <w:rPr>
          <w:rFonts w:ascii="Arial" w:cs="Arial" w:eastAsia="Arial" w:hAnsi="Arial"/>
          <w:sz w:val="20"/>
          <w:szCs w:val="20"/>
          <w:b w:val="1"/>
          <w:bCs w:val="1"/>
          <w:color w:val="auto"/>
        </w:rPr>
        <w:t>6.19 OFAC; Sanctions.</w:t>
      </w:r>
    </w:p>
    <w:p>
      <w:pPr>
        <w:spacing w:after="0" w:line="195" w:lineRule="exact"/>
        <w:rPr>
          <w:sz w:val="20"/>
          <w:szCs w:val="20"/>
          <w:color w:val="auto"/>
        </w:rPr>
      </w:pPr>
    </w:p>
    <w:p>
      <w:pPr>
        <w:ind w:right="140"/>
        <w:spacing w:after="0" w:line="325" w:lineRule="auto"/>
        <w:rPr>
          <w:sz w:val="20"/>
          <w:szCs w:val="20"/>
          <w:color w:val="auto"/>
        </w:rPr>
      </w:pPr>
      <w:r>
        <w:rPr>
          <w:rFonts w:ascii="Arial" w:cs="Arial" w:eastAsia="Arial" w:hAnsi="Arial"/>
          <w:sz w:val="18"/>
          <w:szCs w:val="18"/>
          <w:color w:val="auto"/>
        </w:rPr>
        <w:t>Each Loan Party will, and will cause each of its Subsidiaries to,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VII</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NEGATIVE COVENANTS</w:t>
      </w:r>
    </w:p>
    <w:p>
      <w:pPr>
        <w:spacing w:after="0" w:line="195" w:lineRule="exact"/>
        <w:rPr>
          <w:sz w:val="20"/>
          <w:szCs w:val="20"/>
          <w:color w:val="auto"/>
        </w:rPr>
      </w:pPr>
    </w:p>
    <w:p>
      <w:pPr>
        <w:ind w:right="180"/>
        <w:spacing w:after="0" w:line="292" w:lineRule="auto"/>
        <w:rPr>
          <w:sz w:val="20"/>
          <w:szCs w:val="20"/>
          <w:color w:val="auto"/>
        </w:rPr>
      </w:pPr>
      <w:r>
        <w:rPr>
          <w:rFonts w:ascii="Arial" w:cs="Arial" w:eastAsia="Arial" w:hAnsi="Arial"/>
          <w:sz w:val="20"/>
          <w:szCs w:val="20"/>
          <w:color w:val="auto"/>
        </w:rPr>
        <w:t>So long as any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Subsidiary to, directly or indirectly:</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7.01 Liens</w:t>
      </w:r>
    </w:p>
    <w:p>
      <w:pPr>
        <w:spacing w:after="0" w:line="181" w:lineRule="exact"/>
        <w:rPr>
          <w:sz w:val="20"/>
          <w:szCs w:val="20"/>
          <w:color w:val="auto"/>
        </w:rPr>
      </w:pPr>
    </w:p>
    <w:p>
      <w:pPr>
        <w:ind w:firstLine="8"/>
        <w:spacing w:after="0" w:line="303" w:lineRule="auto"/>
        <w:tabs>
          <w:tab w:leader="none" w:pos="14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Create, incur, assume or suffer to exist any Lien upon any of its property, assets or 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7.02 Investments</w:t>
      </w:r>
    </w:p>
    <w:p>
      <w:pPr>
        <w:spacing w:after="0" w:line="195" w:lineRule="exact"/>
        <w:rPr>
          <w:sz w:val="20"/>
          <w:szCs w:val="20"/>
          <w:color w:val="auto"/>
        </w:rPr>
      </w:pPr>
    </w:p>
    <w:p>
      <w:pPr>
        <w:ind w:right="260" w:firstLine="8"/>
        <w:spacing w:after="0" w:line="305" w:lineRule="auto"/>
        <w:tabs>
          <w:tab w:leader="none" w:pos="14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Make any Investments, except Permitted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Permitted Investment is made in a Person 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spacing w:after="0" w:line="9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7.03 Indebtedness; Disqualified Stock; Equity Issuances.</w:t>
      </w:r>
    </w:p>
    <w:p>
      <w:pPr>
        <w:spacing w:after="0" w:line="195" w:lineRule="exact"/>
        <w:rPr>
          <w:sz w:val="20"/>
          <w:szCs w:val="20"/>
          <w:color w:val="auto"/>
        </w:rPr>
      </w:pPr>
    </w:p>
    <w:p>
      <w:pPr>
        <w:ind w:right="100" w:firstLine="1505"/>
        <w:spacing w:after="0" w:line="286" w:lineRule="auto"/>
        <w:tabs>
          <w:tab w:leader="none" w:pos="189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Create, incur, assume, guarantee, suffer to exist or otherwise become or remain liable with respect to, any Indebtedness, except Permitted Indebtedness; (b) issue Disqualified Stock, or (c) issue and sell any other Equity Interests unless (i) such Equity Interests shall be issued solely by the Lead Borrower and not by a Subsidiary of a Loan Party, (ii) such Equity Interests provide that all dividends required to be made under such Equity Interests and other Restricted Payments in respect thereof shall be made solely in additional shares of such Equity Interests, in lieu of cash, (iii) such Equity Interests shall not be subject to redemption other than redemption at the option of the Lead Borrower</w:t>
      </w:r>
    </w:p>
    <w:p>
      <w:pPr>
        <w:spacing w:after="0" w:line="24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27" w:name="page128"/>
    <w:bookmarkEnd w:id="127"/>
    <w:p>
      <w:pPr>
        <w:ind w:right="260"/>
        <w:spacing w:after="0" w:line="303" w:lineRule="auto"/>
        <w:rPr>
          <w:sz w:val="20"/>
          <w:szCs w:val="20"/>
          <w:color w:val="auto"/>
        </w:rPr>
      </w:pPr>
      <w:r>
        <w:rPr>
          <w:rFonts w:ascii="Arial" w:cs="Arial" w:eastAsia="Arial" w:hAnsi="Arial"/>
          <w:sz w:val="20"/>
          <w:szCs w:val="20"/>
          <w:color w:val="auto"/>
        </w:rPr>
        <w:t>and in accordance with the limitations contained in this Agreement, and (iv) all Restricted Payments in respect of such Equity Interests are expressly subordinated to the Obligations.</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7.04 Fundamental Changes</w:t>
      </w:r>
    </w:p>
    <w:p>
      <w:pPr>
        <w:spacing w:after="0" w:line="181" w:lineRule="exact"/>
        <w:rPr>
          <w:sz w:val="20"/>
          <w:szCs w:val="20"/>
          <w:color w:val="auto"/>
        </w:rPr>
      </w:pPr>
    </w:p>
    <w:p>
      <w:pPr>
        <w:ind w:right="140" w:firstLine="8"/>
        <w:spacing w:after="0" w:line="292" w:lineRule="auto"/>
        <w:tabs>
          <w:tab w:leader="none" w:pos="14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Merge, dissolve, liquidate, consolidate with or into another Person, (or agree to do any of the foregoing) (including, in each case, pursuant to a Division), except that, so long as no Default or Event of Default shall have occurred and be continuing prior to or immediately after giving effect to any action described below or would result therefrom:</w:t>
      </w:r>
    </w:p>
    <w:p>
      <w:pPr>
        <w:spacing w:after="0" w:line="119" w:lineRule="exact"/>
        <w:rPr>
          <w:rFonts w:ascii="Arial" w:cs="Arial" w:eastAsia="Arial" w:hAnsi="Arial"/>
          <w:sz w:val="20"/>
          <w:szCs w:val="20"/>
          <w:color w:val="auto"/>
        </w:rPr>
      </w:pPr>
    </w:p>
    <w:p>
      <w:pPr>
        <w:ind w:left="1600" w:firstLine="799"/>
        <w:spacing w:after="0" w:line="288" w:lineRule="auto"/>
        <w:tabs>
          <w:tab w:leader="none" w:pos="2997" w:val="left"/>
        </w:tabs>
        <w:numPr>
          <w:ilvl w:val="2"/>
          <w:numId w:val="117"/>
        </w:numPr>
        <w:rPr>
          <w:rFonts w:ascii="Arial" w:cs="Arial" w:eastAsia="Arial" w:hAnsi="Arial"/>
          <w:sz w:val="20"/>
          <w:szCs w:val="20"/>
          <w:color w:val="auto"/>
        </w:rPr>
      </w:pPr>
      <w:r>
        <w:rPr>
          <w:rFonts w:ascii="Arial" w:cs="Arial" w:eastAsia="Arial" w:hAnsi="Arial"/>
          <w:sz w:val="20"/>
          <w:szCs w:val="20"/>
          <w:color w:val="auto"/>
        </w:rPr>
        <w:t xml:space="preserve">any Subsidiary which is not a Loan Party may merge with (i) a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Loan Party shall be the continuing or surviving Person, or (ii) any one or more other Subsidiaries which are not Loan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any wholly-owned Subsidiary is merging with another Subsidiary, the wholly-owned Subsidiary shall be the continuing or surviving Person;</w:t>
      </w:r>
    </w:p>
    <w:p>
      <w:pPr>
        <w:spacing w:after="0" w:line="124" w:lineRule="exact"/>
        <w:rPr>
          <w:rFonts w:ascii="Arial" w:cs="Arial" w:eastAsia="Arial" w:hAnsi="Arial"/>
          <w:sz w:val="20"/>
          <w:szCs w:val="20"/>
          <w:color w:val="auto"/>
        </w:rPr>
      </w:pPr>
    </w:p>
    <w:p>
      <w:pPr>
        <w:ind w:left="1600" w:right="20" w:firstLine="799"/>
        <w:spacing w:after="0" w:line="363" w:lineRule="auto"/>
        <w:tabs>
          <w:tab w:leader="none" w:pos="299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 xml:space="preserve">any Subsidiary which is a Loan Party may merge into any Subsidiary which is a Loan Party or into a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merger involving a Borrower, a Borrower shall be the continuing or surviving Person; and</w:t>
      </w:r>
    </w:p>
    <w:p>
      <w:pPr>
        <w:spacing w:after="0" w:line="48" w:lineRule="exact"/>
        <w:rPr>
          <w:rFonts w:ascii="Arial" w:cs="Arial" w:eastAsia="Arial" w:hAnsi="Arial"/>
          <w:sz w:val="18"/>
          <w:szCs w:val="18"/>
          <w:color w:val="auto"/>
        </w:rPr>
      </w:pPr>
    </w:p>
    <w:p>
      <w:pPr>
        <w:jc w:val="both"/>
        <w:ind w:left="1600" w:right="160" w:firstLine="799"/>
        <w:spacing w:after="0" w:line="313" w:lineRule="auto"/>
        <w:tabs>
          <w:tab w:leader="none" w:pos="299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 xml:space="preserve">in connection with a Permitted Acquisition, any Subsidiary of a Loan Party may merge with or into or consolidate with any other Person or permit any other Person to merge with or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jc w:val="both"/>
        <w:ind w:left="1600" w:right="40"/>
        <w:spacing w:after="0" w:line="292" w:lineRule="auto"/>
        <w:tabs>
          <w:tab w:leader="none" w:pos="1836"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the Person surviving such merger shall be a wholly-owned Subsidiary of a Loan Party and such Person shall become a Loan Party in accordance with the provisions of </w:t>
      </w:r>
      <w:r>
        <w:rPr>
          <w:rFonts w:ascii="Arial" w:cs="Arial" w:eastAsia="Arial" w:hAnsi="Arial"/>
          <w:sz w:val="20"/>
          <w:szCs w:val="20"/>
          <w:u w:val="single" w:color="auto"/>
          <w:color w:val="auto"/>
        </w:rPr>
        <w:t>Section 6.11</w:t>
      </w:r>
      <w:r>
        <w:rPr>
          <w:rFonts w:ascii="Arial" w:cs="Arial" w:eastAsia="Arial" w:hAnsi="Arial"/>
          <w:sz w:val="20"/>
          <w:szCs w:val="20"/>
          <w:color w:val="auto"/>
        </w:rPr>
        <w:t xml:space="preserve"> hereof, and (ii) in the case of any such merger to which any Loan Party is a party, such Loan Party is the surviving Person.</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7.05 Dispositions</w:t>
      </w:r>
    </w:p>
    <w:p>
      <w:pPr>
        <w:spacing w:after="0" w:line="195" w:lineRule="exact"/>
        <w:rPr>
          <w:sz w:val="20"/>
          <w:szCs w:val="20"/>
          <w:color w:val="auto"/>
        </w:rPr>
      </w:pPr>
    </w:p>
    <w:p>
      <w:pPr>
        <w:ind w:right="220" w:firstLine="8"/>
        <w:spacing w:after="0" w:line="373" w:lineRule="auto"/>
        <w:tabs>
          <w:tab w:leader="none" w:pos="1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Make any Disposition or enter into any agreement to make any Disposition, except Permitted Dispositions; provided that, if any such Permitted Disposition is made to a Person who is not a Loan Party and includes Intellectual Property used or useful in connection with the conduct of the Loan Parties’ business or use of the Collateral, the purchaser, assignee or other transferee thereof shall agree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spacing w:after="0" w:line="4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7.06 Restricted Payments</w:t>
      </w:r>
    </w:p>
    <w:p>
      <w:pPr>
        <w:spacing w:after="0" w:line="195" w:lineRule="exact"/>
        <w:rPr>
          <w:sz w:val="20"/>
          <w:szCs w:val="20"/>
          <w:color w:val="auto"/>
        </w:rPr>
      </w:pPr>
    </w:p>
    <w:p>
      <w:pPr>
        <w:ind w:right="80" w:firstLine="8"/>
        <w:spacing w:after="0" w:line="292" w:lineRule="auto"/>
        <w:tabs>
          <w:tab w:leader="none" w:pos="14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Declare or make, directly or indirectly, any Restricted Payment, or incur any obligation (contingent or otherwise) to do so, except that each of the following shall be permitted so long as no Default or Event of Default shall have occurred and be continuing prior, or immediately after giving effect, to the following, or would result therefrom:</w:t>
      </w:r>
    </w:p>
    <w:p>
      <w:pPr>
        <w:spacing w:after="0" w:line="119" w:lineRule="exact"/>
        <w:rPr>
          <w:rFonts w:ascii="Arial" w:cs="Arial" w:eastAsia="Arial" w:hAnsi="Arial"/>
          <w:sz w:val="20"/>
          <w:szCs w:val="20"/>
          <w:color w:val="auto"/>
        </w:rPr>
      </w:pPr>
    </w:p>
    <w:p>
      <w:pPr>
        <w:ind w:left="3000" w:hanging="601"/>
        <w:spacing w:after="0"/>
        <w:tabs>
          <w:tab w:leader="none" w:pos="30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each Subsidiary of a Loan Party may make Restricted Payments to any Loan Party;</w:t>
      </w:r>
    </w:p>
    <w:p>
      <w:pPr>
        <w:spacing w:after="0" w:line="175" w:lineRule="exact"/>
        <w:rPr>
          <w:rFonts w:ascii="Arial" w:cs="Arial" w:eastAsia="Arial" w:hAnsi="Arial"/>
          <w:sz w:val="20"/>
          <w:szCs w:val="20"/>
          <w:color w:val="auto"/>
        </w:rPr>
      </w:pPr>
    </w:p>
    <w:p>
      <w:pPr>
        <w:ind w:left="1600" w:right="240" w:firstLine="799"/>
        <w:spacing w:after="0" w:line="303" w:lineRule="auto"/>
        <w:tabs>
          <w:tab w:leader="none" w:pos="2997"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Loan Parties and each Subsidiary may declare and make dividend payments or other distributions payable solely in the common stock or other common Equity Interests of such Person;</w:t>
      </w:r>
    </w:p>
    <w:p>
      <w:pPr>
        <w:spacing w:after="0" w:line="22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28" w:name="page129"/>
    <w:bookmarkEnd w:id="128"/>
    <w:p>
      <w:pPr>
        <w:ind w:left="1600" w:right="540" w:firstLine="799"/>
        <w:spacing w:after="0" w:line="303" w:lineRule="auto"/>
        <w:tabs>
          <w:tab w:leader="none" w:pos="299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if the RP Conditions are satisfied, the Loan Parties and each Subsidiary may purchase, redeem or otherwise acquire Equity Interests issued by it; and</w:t>
      </w:r>
    </w:p>
    <w:p>
      <w:pPr>
        <w:spacing w:after="0" w:line="107" w:lineRule="exact"/>
        <w:rPr>
          <w:rFonts w:ascii="Arial" w:cs="Arial" w:eastAsia="Arial" w:hAnsi="Arial"/>
          <w:sz w:val="20"/>
          <w:szCs w:val="20"/>
          <w:color w:val="auto"/>
        </w:rPr>
      </w:pPr>
    </w:p>
    <w:p>
      <w:pPr>
        <w:ind w:left="1160" w:hanging="403"/>
        <w:spacing w:after="0"/>
        <w:tabs>
          <w:tab w:leader="none" w:pos="11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if the RP Conditions are satisfied, the Lead Borrower may declare or pay cash dividends to its stockholders;</w:t>
      </w:r>
    </w:p>
    <w:p>
      <w:pPr>
        <w:spacing w:after="0" w:line="175" w:lineRule="exact"/>
        <w:rPr>
          <w:sz w:val="20"/>
          <w:szCs w:val="20"/>
          <w:color w:val="auto"/>
        </w:rPr>
      </w:pPr>
    </w:p>
    <w:p>
      <w:pPr>
        <w:ind w:left="760"/>
        <w:spacing w:after="0" w:line="287"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if any such Restricted Payment is made to a Person who is not a Loan Party and includes Intellectual Property used or useful in connection with the conduct of the Loan Parties’ business or use of the Collateral, such Intellectual Property shall be subject to a non-exclusive royalty-free worldwide license of such Intellectual Property in favor of the Agent for use in connection with the exercise of the rights and remedies of the Credit Parties, which license shall be in form and substance reasonably satisfactory to the Agent.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7.07 Prepayments of Indebtedness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860" w:firstLine="749"/>
        <w:spacing w:after="0" w:line="287" w:lineRule="auto"/>
        <w:rPr>
          <w:sz w:val="20"/>
          <w:szCs w:val="20"/>
          <w:color w:val="auto"/>
        </w:rPr>
      </w:pPr>
      <w:r>
        <w:rPr>
          <w:rFonts w:ascii="Arial" w:cs="Arial" w:eastAsia="Arial" w:hAnsi="Arial"/>
          <w:sz w:val="20"/>
          <w:szCs w:val="20"/>
          <w:color w:val="auto"/>
        </w:rPr>
        <w:t>Prepay, redeem, purchase, defease or otherwise satisfy prior to the scheduled maturity thereof in any manner any Indebtedness, except (a) as long as no Default or Event of Default then exists, regularly scheduled or mandatory repayments, repurchases, redemptions or defeasances of Permitted Indebtedness, (b) voluntary prepayments, repurchases, redemptions or defeasances of Permitted Indebtedness as long as the Payment Conditions are satisfied, and (c) Permitted Refinancings of any such Indebtedness.</w:t>
      </w:r>
    </w:p>
    <w:p>
      <w:pPr>
        <w:spacing w:after="0" w:line="200" w:lineRule="exact"/>
        <w:rPr>
          <w:sz w:val="20"/>
          <w:szCs w:val="20"/>
          <w:color w:val="auto"/>
        </w:rPr>
      </w:pPr>
    </w:p>
    <w:p>
      <w:pPr>
        <w:spacing w:after="0" w:line="33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7.08 Change in Nature of Business.</w:t>
      </w:r>
    </w:p>
    <w:p>
      <w:pPr>
        <w:spacing w:after="0" w:line="181"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In the case of each of the Loan Parties, engage in any line of business substantially different from the business conducted by the Loan Parties and their Subsidiaries on the Closing Date or any business substantially related or incidental thereto.</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7.09 Transactions with Affiliates</w:t>
      </w:r>
    </w:p>
    <w:p>
      <w:pPr>
        <w:spacing w:after="0" w:line="195" w:lineRule="exact"/>
        <w:rPr>
          <w:sz w:val="20"/>
          <w:szCs w:val="20"/>
          <w:color w:val="auto"/>
        </w:rPr>
      </w:pPr>
    </w:p>
    <w:p>
      <w:pPr>
        <w:ind w:right="40" w:firstLine="8"/>
        <w:spacing w:after="0" w:line="318" w:lineRule="auto"/>
        <w:tabs>
          <w:tab w:leader="none" w:pos="1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Enter into, renew, extend or be a party to any transaction of any 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(a) a transaction between or among the Loan Parties, (b) transactions described on </w:t>
      </w:r>
      <w:r>
        <w:rPr>
          <w:rFonts w:ascii="Arial" w:cs="Arial" w:eastAsia="Arial" w:hAnsi="Arial"/>
          <w:sz w:val="18"/>
          <w:szCs w:val="18"/>
          <w:u w:val="single" w:color="auto"/>
          <w:color w:val="auto"/>
        </w:rPr>
        <w:t>Schedule 7.09</w:t>
      </w:r>
      <w:r>
        <w:rPr>
          <w:rFonts w:ascii="Arial" w:cs="Arial" w:eastAsia="Arial" w:hAnsi="Arial"/>
          <w:sz w:val="18"/>
          <w:szCs w:val="18"/>
          <w:color w:val="auto"/>
        </w:rPr>
        <w:t xml:space="preserve"> hereto,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Lead Borrower or any of its Subsidiaries, and (e) as long as no Change of Control results therefrom, any issuances of securities of the Lead Borrower (other 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Lead Borrower) of the Lead Borrower or any of its Subsidiaries.</w:t>
      </w:r>
    </w:p>
    <w:p>
      <w:pPr>
        <w:spacing w:after="0" w:line="2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29" w:name="page130"/>
    <w:bookmarkEnd w:id="129"/>
    <w:p>
      <w:pPr>
        <w:ind w:left="840"/>
        <w:spacing w:after="0"/>
        <w:rPr>
          <w:sz w:val="20"/>
          <w:szCs w:val="20"/>
          <w:color w:val="auto"/>
        </w:rPr>
      </w:pPr>
      <w:r>
        <w:rPr>
          <w:rFonts w:ascii="Arial" w:cs="Arial" w:eastAsia="Arial" w:hAnsi="Arial"/>
          <w:sz w:val="20"/>
          <w:szCs w:val="20"/>
          <w:b w:val="1"/>
          <w:bCs w:val="1"/>
          <w:color w:val="auto"/>
        </w:rPr>
        <w:t>7.10 Burdensome Agreements</w:t>
      </w:r>
    </w:p>
    <w:p>
      <w:pPr>
        <w:spacing w:after="0" w:line="195" w:lineRule="exact"/>
        <w:rPr>
          <w:sz w:val="20"/>
          <w:szCs w:val="20"/>
          <w:color w:val="auto"/>
        </w:rPr>
      </w:pPr>
    </w:p>
    <w:p>
      <w:pPr>
        <w:ind w:left="160" w:hanging="152"/>
        <w:spacing w:after="0"/>
        <w:tabs>
          <w:tab w:leader="none" w:pos="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 into or permit to exist any Contractual Obligation (other than this Agreement or any other Loan Document) that (a) limits the ability</w:t>
      </w:r>
    </w:p>
    <w:p>
      <w:pPr>
        <w:spacing w:after="0" w:line="63" w:lineRule="exact"/>
        <w:rPr>
          <w:rFonts w:ascii="Arial" w:cs="Arial" w:eastAsia="Arial" w:hAnsi="Arial"/>
          <w:sz w:val="18"/>
          <w:szCs w:val="18"/>
          <w:color w:val="auto"/>
        </w:rPr>
      </w:pPr>
    </w:p>
    <w:p>
      <w:pPr>
        <w:ind w:right="100"/>
        <w:spacing w:after="0" w:line="302" w:lineRule="auto"/>
        <w:rPr>
          <w:rFonts w:ascii="Arial" w:cs="Arial" w:eastAsia="Arial" w:hAnsi="Arial"/>
          <w:sz w:val="18"/>
          <w:szCs w:val="18"/>
          <w:color w:val="auto"/>
        </w:rPr>
      </w:pPr>
      <w:r>
        <w:rPr>
          <w:rFonts w:ascii="Arial" w:cs="Arial" w:eastAsia="Arial" w:hAnsi="Arial"/>
          <w:sz w:val="19"/>
          <w:szCs w:val="19"/>
          <w:color w:val="auto"/>
        </w:rPr>
        <w:t xml:space="preserve">(i) of any Subsidiary to make Restricted Payments or other distributions to any Loan Party or to 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(iv) shall not prohibit any negative pledge incurred or provided in favor of any holder of Indebtedness permitted under clauses (c) or (d)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94"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7.11 Use of Proceeds</w:t>
      </w:r>
    </w:p>
    <w:p>
      <w:pPr>
        <w:spacing w:after="0" w:line="195" w:lineRule="exact"/>
        <w:rPr>
          <w:sz w:val="20"/>
          <w:szCs w:val="20"/>
          <w:color w:val="auto"/>
        </w:rPr>
      </w:pPr>
    </w:p>
    <w:p>
      <w:pPr>
        <w:ind w:firstLine="8"/>
        <w:spacing w:after="0" w:line="300" w:lineRule="auto"/>
        <w:tabs>
          <w:tab w:leader="none" w:pos="14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Use the proceeds of any Credit Extension, whether directly or indirectly, and whether immediately, incidentally or ultimately, (a) to purchase or carry margin stock (within the meaning of Regulation U of the FRB) or to extend credit to others for the purpose of purchasing or carrying margin stock or to refund Indebtedness originally incurred for such purpose, (b) to make any payments to a Sanctioned Entity or a Sanctioned Person, to finance any investments in a Sanctioned Entity or a Sanctioned Person, to fund any operations of a Sanctioned Entity or a Sanctioned Person, or in any other manner that would result in a violation of Sanctions by any Person, (c) for any purpose which would breach any Anti-Corruption Laws or Anti-Money Laundering Laws, or (d) for any purposes other than (i) refinance certain Indebtedness under the Existing Credit Agreement (ii) the acquisition of working capital assets in the ordinary course of business, (iii) to finance Capital Expenditures of the Loan Parties, and (iv) for general corporate purposes, in each case to the extent expressly permitted under Law and the Loan Documents.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7.12 Amendment of Material Documents</w:t>
      </w:r>
      <w:r>
        <w:rPr>
          <w:rFonts w:ascii="Arial" w:cs="Arial" w:eastAsia="Arial" w:hAnsi="Arial"/>
          <w:sz w:val="20"/>
          <w:szCs w:val="20"/>
          <w:color w:val="auto"/>
        </w:rPr>
        <w:t>.</w:t>
      </w:r>
    </w:p>
    <w:p>
      <w:pPr>
        <w:spacing w:after="0" w:line="181" w:lineRule="exact"/>
        <w:rPr>
          <w:sz w:val="20"/>
          <w:szCs w:val="20"/>
          <w:color w:val="auto"/>
        </w:rPr>
      </w:pPr>
    </w:p>
    <w:p>
      <w:pPr>
        <w:ind w:right="180"/>
        <w:spacing w:after="0" w:line="329" w:lineRule="auto"/>
        <w:rPr>
          <w:sz w:val="20"/>
          <w:szCs w:val="20"/>
          <w:color w:val="auto"/>
        </w:rPr>
      </w:pPr>
      <w:r>
        <w:rPr>
          <w:rFonts w:ascii="Arial" w:cs="Arial" w:eastAsia="Arial" w:hAnsi="Arial"/>
          <w:sz w:val="18"/>
          <w:szCs w:val="18"/>
          <w:color w:val="auto"/>
        </w:rPr>
        <w:t>Amend, modify or waive any of a Loan Party’s rights under (a) its Organization Documents in a manner materially adverse to the Credit Parties, or (b) any Material Contract or Material Indebtedness (other than on account of any Permitted Refinancing thereof), in each case to the extent that such amendment, modification or waiver would result in a Default or Event of Default under any of the Loan Documents, would be materially adverse to the Credit Parties, or otherwise would be reasonably likely to have a Material Adverse Effect.</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7.13 Fiscal Year</w:t>
      </w:r>
      <w:r>
        <w:rPr>
          <w:rFonts w:ascii="Arial" w:cs="Arial" w:eastAsia="Arial" w:hAnsi="Arial"/>
          <w:sz w:val="20"/>
          <w:szCs w:val="20"/>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Change the Fiscal Year of any Loan Party, or the accounting policies or reporting practices of the Loan Parties, except as required by GAAP.</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7.14 Deposit Accounts; Credit Card Processors</w:t>
      </w:r>
      <w:r>
        <w:rPr>
          <w:rFonts w:ascii="Arial" w:cs="Arial" w:eastAsia="Arial" w:hAnsi="Arial"/>
          <w:sz w:val="20"/>
          <w:szCs w:val="20"/>
          <w:color w:val="auto"/>
        </w:rPr>
        <w:t>.</w:t>
      </w:r>
    </w:p>
    <w:p>
      <w:pPr>
        <w:spacing w:after="0" w:line="195" w:lineRule="exact"/>
        <w:rPr>
          <w:sz w:val="20"/>
          <w:szCs w:val="20"/>
          <w:color w:val="auto"/>
        </w:rPr>
      </w:pPr>
    </w:p>
    <w:p>
      <w:pPr>
        <w:ind w:right="180"/>
        <w:spacing w:after="0" w:line="395" w:lineRule="auto"/>
        <w:rPr>
          <w:sz w:val="20"/>
          <w:szCs w:val="20"/>
          <w:color w:val="auto"/>
        </w:rPr>
      </w:pPr>
      <w:r>
        <w:rPr>
          <w:rFonts w:ascii="Arial" w:cs="Arial" w:eastAsia="Arial" w:hAnsi="Arial"/>
          <w:sz w:val="16"/>
          <w:szCs w:val="16"/>
          <w:color w:val="auto"/>
        </w:rPr>
        <w:t xml:space="preserve">Open new DDAs unless the Loan Parties shall have delivered to the Agent appropriate Account Control Agreements consistent with the provisions of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otherwise satisfactory to the Agent. No Loan Party shall maintain any bank accounts or enter into any agreements with Credit Card Issuers or Credit Card Processors other than the ones expressly contemplated herein or in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hereof.</w:t>
      </w:r>
    </w:p>
    <w:p>
      <w:pPr>
        <w:spacing w:after="0" w:line="17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30" w:name="page131"/>
    <w:bookmarkEnd w:id="130"/>
    <w:p>
      <w:pPr>
        <w:ind w:left="840"/>
        <w:spacing w:after="0"/>
        <w:rPr>
          <w:sz w:val="20"/>
          <w:szCs w:val="20"/>
          <w:color w:val="auto"/>
        </w:rPr>
      </w:pPr>
      <w:r>
        <w:rPr>
          <w:rFonts w:ascii="Arial" w:cs="Arial" w:eastAsia="Arial" w:hAnsi="Arial"/>
          <w:sz w:val="20"/>
          <w:szCs w:val="20"/>
          <w:b w:val="1"/>
          <w:bCs w:val="1"/>
          <w:color w:val="auto"/>
        </w:rPr>
        <w:t>7.15 Financial Covenant</w:t>
      </w:r>
      <w:r>
        <w:rPr>
          <w:rFonts w:ascii="Arial" w:cs="Arial" w:eastAsia="Arial" w:hAnsi="Arial"/>
          <w:sz w:val="20"/>
          <w:szCs w:val="20"/>
          <w:color w:val="auto"/>
        </w:rPr>
        <w:t>.</w:t>
      </w:r>
    </w:p>
    <w:p>
      <w:pPr>
        <w:spacing w:after="0" w:line="195"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color w:val="auto"/>
        </w:rPr>
        <w:t>Upon the occurrence of a Covenant Trigger Event (in which case the following covenant shall be immediately tested as of the most recently ended fiscal quarter for which financial statements were required to be delivered pursuant to Section 6.01(a), (b) or (c)) and for so long as a Covenant Trigger Period shall be continuing, the Loan Parties will not permit the Consolidated Fixed Charge Coverage Ratio, tested on a trailing twelve month basis commencing with the month ending immediately prior to the occurrence of such Covenant Trigger Event, to be less than 1.00:1.00.</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VIII</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EVENTS OF DEFAULT AND REMEDIES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8.01 Events of Default</w:t>
      </w:r>
    </w:p>
    <w:p>
      <w:pPr>
        <w:spacing w:after="0" w:line="195"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of the following shall constitute an Event of Default:</w:t>
      </w:r>
    </w:p>
    <w:p>
      <w:pPr>
        <w:spacing w:after="0" w:line="175" w:lineRule="exact"/>
        <w:rPr>
          <w:rFonts w:ascii="Arial" w:cs="Arial" w:eastAsia="Arial" w:hAnsi="Arial"/>
          <w:sz w:val="20"/>
          <w:szCs w:val="20"/>
          <w:color w:val="auto"/>
        </w:rPr>
      </w:pPr>
    </w:p>
    <w:p>
      <w:pPr>
        <w:ind w:left="1600" w:right="100" w:firstLine="799"/>
        <w:spacing w:after="0" w:line="313" w:lineRule="auto"/>
        <w:tabs>
          <w:tab w:leader="none" w:pos="2997"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Borrowers or any other Loan Party fails to pay when and as required to be paid, (i) any amount of principal of any Loan or any L/C Obligation, or deposit any funds as Cash Collateral in respect of L/C Obligations, (ii) any interest on any Loan or any L/C Obligation or any fee due hereunder, which pursuant to this clause</w:t>
      </w:r>
    </w:p>
    <w:p>
      <w:pPr>
        <w:ind w:left="1600" w:right="920"/>
        <w:spacing w:after="0" w:line="331" w:lineRule="auto"/>
        <w:tabs>
          <w:tab w:leader="none" w:pos="189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continues for three (3) Business Days or (iii) any other amount payable hereunder or under any other Loan Document, which failure pursuant to this clause (iii) continues for five (5) Business Days; or</w:t>
      </w:r>
    </w:p>
    <w:p>
      <w:pPr>
        <w:spacing w:after="0" w:line="85" w:lineRule="exact"/>
        <w:rPr>
          <w:rFonts w:ascii="Arial" w:cs="Arial" w:eastAsia="Arial" w:hAnsi="Arial"/>
          <w:sz w:val="19"/>
          <w:szCs w:val="19"/>
          <w:color w:val="auto"/>
        </w:rPr>
      </w:pPr>
    </w:p>
    <w:p>
      <w:pPr>
        <w:ind w:left="1600" w:right="500" w:firstLine="799"/>
        <w:spacing w:after="0" w:line="331" w:lineRule="auto"/>
        <w:tabs>
          <w:tab w:leader="none" w:pos="2997" w:val="left"/>
        </w:tabs>
        <w:numPr>
          <w:ilvl w:val="2"/>
          <w:numId w:val="127"/>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Any Loan Party fails to perform or observe any term, covenant or agreement contained in any of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or</w:t>
      </w:r>
    </w:p>
    <w:p>
      <w:pPr>
        <w:spacing w:after="0" w:line="85" w:lineRule="exact"/>
        <w:rPr>
          <w:rFonts w:ascii="Arial" w:cs="Arial" w:eastAsia="Arial" w:hAnsi="Arial"/>
          <w:sz w:val="19"/>
          <w:szCs w:val="19"/>
          <w:color w:val="auto"/>
        </w:rPr>
      </w:pPr>
    </w:p>
    <w:p>
      <w:pPr>
        <w:ind w:left="1600" w:right="320" w:firstLine="799"/>
        <w:spacing w:after="0" w:line="288" w:lineRule="auto"/>
        <w:tabs>
          <w:tab w:leader="none" w:pos="2997" w:val="left"/>
        </w:tabs>
        <w:numPr>
          <w:ilvl w:val="2"/>
          <w:numId w:val="127"/>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Any Loan Party fails to perform or observe any other covenant or agreement (not specified in subsection (a) or (b) above) contained in any Loan Document on its part to be performed or observed and such failure continues for twenty (20) days after the earlier of a Responsible Officer’s obtaining knowledge thereof or written notice from the Agent thereof; or</w:t>
      </w:r>
    </w:p>
    <w:p>
      <w:pPr>
        <w:spacing w:after="0" w:line="111" w:lineRule="exact"/>
        <w:rPr>
          <w:rFonts w:ascii="Arial" w:cs="Arial" w:eastAsia="Arial" w:hAnsi="Arial"/>
          <w:sz w:val="20"/>
          <w:szCs w:val="20"/>
          <w:color w:val="auto"/>
        </w:rPr>
      </w:pPr>
    </w:p>
    <w:p>
      <w:pPr>
        <w:ind w:left="1600" w:right="60" w:firstLine="799"/>
        <w:spacing w:after="0" w:line="288" w:lineRule="auto"/>
        <w:tabs>
          <w:tab w:leader="none" w:pos="2997" w:val="left"/>
        </w:tabs>
        <w:numPr>
          <w:ilvl w:val="2"/>
          <w:numId w:val="12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spacing w:after="0" w:line="124" w:lineRule="exact"/>
        <w:rPr>
          <w:rFonts w:ascii="Arial" w:cs="Arial" w:eastAsia="Arial" w:hAnsi="Arial"/>
          <w:sz w:val="20"/>
          <w:szCs w:val="20"/>
          <w:color w:val="auto"/>
        </w:rPr>
      </w:pPr>
    </w:p>
    <w:p>
      <w:pPr>
        <w:ind w:left="1600" w:firstLine="799"/>
        <w:spacing w:after="0" w:line="320" w:lineRule="auto"/>
        <w:tabs>
          <w:tab w:leader="none" w:pos="2997" w:val="left"/>
        </w:tabs>
        <w:numPr>
          <w:ilvl w:val="2"/>
          <w:numId w:val="127"/>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Any Loan Party (A) fails to make any payment when due (whether by scheduled maturity, required prepayment, acceleration, demand, or otherwise) in respect of any Material Indebtedness,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w:t>
      </w:r>
    </w:p>
    <w:p>
      <w:pPr>
        <w:spacing w:after="0" w:line="22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31" w:name="page132"/>
    <w:bookmarkEnd w:id="131"/>
    <w:p>
      <w:pPr>
        <w:ind w:left="1580" w:right="640"/>
        <w:spacing w:after="0" w:line="303" w:lineRule="auto"/>
        <w:rPr>
          <w:sz w:val="20"/>
          <w:szCs w:val="20"/>
          <w:color w:val="auto"/>
        </w:rPr>
      </w:pPr>
      <w:r>
        <w:rPr>
          <w:rFonts w:ascii="Arial" w:cs="Arial" w:eastAsia="Arial" w:hAnsi="Arial"/>
          <w:sz w:val="20"/>
          <w:szCs w:val="20"/>
          <w:color w:val="auto"/>
        </w:rPr>
        <w:t>or redeem such Indebtedness to be made, prior to its stated maturity or such Guarantee to become payable or cash collateral in respect thereof to be demanded; or</w:t>
      </w:r>
    </w:p>
    <w:p>
      <w:pPr>
        <w:spacing w:after="0" w:line="108" w:lineRule="exact"/>
        <w:rPr>
          <w:sz w:val="20"/>
          <w:szCs w:val="20"/>
          <w:color w:val="auto"/>
        </w:rPr>
      </w:pPr>
    </w:p>
    <w:p>
      <w:pPr>
        <w:ind w:left="1580" w:right="60" w:firstLine="799"/>
        <w:spacing w:after="0" w:line="300" w:lineRule="auto"/>
        <w:tabs>
          <w:tab w:leader="none" w:pos="2977"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is appointed and the appointment continues undischarged, undismissed or unstayed for 90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90 calendar days, or an order for relief is entered in any such proceeding; or</w:t>
      </w:r>
    </w:p>
    <w:p>
      <w:pPr>
        <w:spacing w:after="0" w:line="103" w:lineRule="exact"/>
        <w:rPr>
          <w:rFonts w:ascii="Arial" w:cs="Arial" w:eastAsia="Arial" w:hAnsi="Arial"/>
          <w:sz w:val="19"/>
          <w:szCs w:val="19"/>
          <w:color w:val="auto"/>
        </w:rPr>
      </w:pPr>
    </w:p>
    <w:p>
      <w:pPr>
        <w:ind w:left="1580" w:right="120" w:firstLine="799"/>
        <w:spacing w:after="0" w:line="313" w:lineRule="auto"/>
        <w:tabs>
          <w:tab w:leader="none" w:pos="2977"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Subsidiary thereof becomes unable or admits in writing its inability or fails generally to pay its debts as they become due in the ordinary course of business, or</w:t>
      </w:r>
    </w:p>
    <w:p>
      <w:pPr>
        <w:ind w:left="1580" w:right="60"/>
        <w:spacing w:after="0" w:line="363" w:lineRule="auto"/>
        <w:tabs>
          <w:tab w:leader="none" w:pos="187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writ or warrant of attachment or execution or similar process is issued or levied against all or any material part of the property of any such Person and is not released, vacated or fully bonded within 10 days after its issuance or levy; or</w:t>
      </w:r>
    </w:p>
    <w:p>
      <w:pPr>
        <w:spacing w:after="0" w:line="62" w:lineRule="exact"/>
        <w:rPr>
          <w:rFonts w:ascii="Arial" w:cs="Arial" w:eastAsia="Arial" w:hAnsi="Arial"/>
          <w:sz w:val="18"/>
          <w:szCs w:val="18"/>
          <w:color w:val="auto"/>
        </w:rPr>
      </w:pPr>
    </w:p>
    <w:p>
      <w:pPr>
        <w:ind w:left="1580" w:right="20" w:firstLine="799"/>
        <w:spacing w:after="0" w:line="301" w:lineRule="auto"/>
        <w:tabs>
          <w:tab w:leader="none" w:pos="297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Subsidiary thereof (i) one or more judgments or orders for the payment of money in an aggregate amount (as to all such judgments and orders) exceeding $5,000,000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or order, by reason of a pending appeal or otherwise, is not in effect; or</w:t>
      </w:r>
    </w:p>
    <w:p>
      <w:pPr>
        <w:spacing w:after="0" w:line="116" w:lineRule="exact"/>
        <w:rPr>
          <w:rFonts w:ascii="Arial" w:cs="Arial" w:eastAsia="Arial" w:hAnsi="Arial"/>
          <w:sz w:val="19"/>
          <w:szCs w:val="19"/>
          <w:color w:val="auto"/>
        </w:rPr>
      </w:pPr>
    </w:p>
    <w:p>
      <w:pPr>
        <w:ind w:left="1580" w:firstLine="799"/>
        <w:spacing w:after="0" w:line="302" w:lineRule="auto"/>
        <w:tabs>
          <w:tab w:leader="none" w:pos="297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$5,000,000 or which would reasonably likely result in a Material Adverse Effect, or (ii) a Loan Party or any ERISA Affiliate fails to pay when due, after the expiration of any applicable grace period, any installment payment with respect to its withdrawal liability under Section 4201 of ERISA under a Multiemployer Plan in an aggregate amount in excess of $5,000,000 or which would reasonably likely result in a Material Adverse Effect; or</w:t>
      </w:r>
    </w:p>
    <w:p>
      <w:pPr>
        <w:spacing w:after="0" w:line="100" w:lineRule="exact"/>
        <w:rPr>
          <w:rFonts w:ascii="Arial" w:cs="Arial" w:eastAsia="Arial" w:hAnsi="Arial"/>
          <w:sz w:val="19"/>
          <w:szCs w:val="19"/>
          <w:color w:val="auto"/>
        </w:rPr>
      </w:pPr>
    </w:p>
    <w:p>
      <w:pPr>
        <w:ind w:left="1580" w:right="200" w:firstLine="799"/>
        <w:spacing w:after="0" w:line="288" w:lineRule="auto"/>
        <w:tabs>
          <w:tab w:leader="none" w:pos="2977"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(i) Any provision of any Loan Document, at any time after its execution and delivery and for any reason, ceases to be in full force and effect; or any Loan Party or any other Person contests in any manner the validity or enforceability of any provision of any Loan Document; or any Loan Party denies that it has any or further liability or</w:t>
      </w:r>
    </w:p>
    <w:p>
      <w:pPr>
        <w:spacing w:after="0" w:line="246"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132" w:name="page133"/>
    <w:bookmarkEnd w:id="132"/>
    <w:p>
      <w:pPr>
        <w:ind w:left="1580" w:right="180"/>
        <w:spacing w:after="0" w:line="287" w:lineRule="auto"/>
        <w:rPr>
          <w:sz w:val="20"/>
          <w:szCs w:val="20"/>
          <w:color w:val="auto"/>
        </w:rPr>
      </w:pPr>
      <w:r>
        <w:rPr>
          <w:rFonts w:ascii="Arial" w:cs="Arial" w:eastAsia="Arial" w:hAnsi="Arial"/>
          <w:sz w:val="20"/>
          <w:szCs w:val="20"/>
          <w:color w:val="auto"/>
        </w:rPr>
        <w:t>obligation under any provision of any Loan Document, or purports to revoke, terminate or rescind any provision of any Loan Document or seeks to avoid, limit or otherwise adversely affect 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or</w:t>
      </w:r>
    </w:p>
    <w:p>
      <w:pPr>
        <w:spacing w:after="0" w:line="123" w:lineRule="exact"/>
        <w:rPr>
          <w:sz w:val="20"/>
          <w:szCs w:val="20"/>
          <w:color w:val="auto"/>
        </w:rPr>
      </w:pPr>
    </w:p>
    <w:p>
      <w:pPr>
        <w:ind w:left="2980" w:hanging="601"/>
        <w:spacing w:after="0"/>
        <w:tabs>
          <w:tab w:leader="none" w:pos="298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175" w:lineRule="exact"/>
        <w:rPr>
          <w:rFonts w:ascii="Arial" w:cs="Arial" w:eastAsia="Arial" w:hAnsi="Arial"/>
          <w:sz w:val="20"/>
          <w:szCs w:val="20"/>
          <w:color w:val="auto"/>
        </w:rPr>
      </w:pPr>
    </w:p>
    <w:p>
      <w:pPr>
        <w:ind w:left="1580" w:right="120" w:firstLine="799"/>
        <w:spacing w:after="0" w:line="284" w:lineRule="auto"/>
        <w:tabs>
          <w:tab w:leader="none" w:pos="2977"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Cessation of Business</w:t>
      </w:r>
      <w:r>
        <w:rPr>
          <w:rFonts w:ascii="Arial" w:cs="Arial" w:eastAsia="Arial" w:hAnsi="Arial"/>
          <w:sz w:val="20"/>
          <w:szCs w:val="20"/>
          <w:color w:val="auto"/>
        </w:rPr>
        <w:t>. Except as otherwise expressly permitted hereunder, any Loan Party shall take any action, or shall make a determination, whether or not yet formally approved by any Loan Party’s management or board of directors, to (i) suspend the operation of all or a material portion of its business in the ordinary course, (ii) suspend the payment of any material obligations in the ordinary course or suspend the performance under material contracts in the ordinary course, (iii) solicit proposals for the liquidation of, or undertake to liquidate, all or a material portion of its assets or Store locations, or (iv) solicit proposals for the employment of, or employ, an agent or other third party to conduct a program of closings, liquidations, or “Going-Out-Of-Business” sales of any material portion of its business; or</w:t>
      </w:r>
    </w:p>
    <w:p>
      <w:pPr>
        <w:spacing w:after="0" w:line="131" w:lineRule="exact"/>
        <w:rPr>
          <w:rFonts w:ascii="Arial" w:cs="Arial" w:eastAsia="Arial" w:hAnsi="Arial"/>
          <w:sz w:val="20"/>
          <w:szCs w:val="20"/>
          <w:color w:val="auto"/>
        </w:rPr>
      </w:pPr>
    </w:p>
    <w:p>
      <w:pPr>
        <w:ind w:left="2980" w:hanging="601"/>
        <w:spacing w:after="0"/>
        <w:tabs>
          <w:tab w:leader="none" w:pos="298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Loss of Collateral</w:t>
      </w:r>
      <w:r>
        <w:rPr>
          <w:rFonts w:ascii="Arial" w:cs="Arial" w:eastAsia="Arial" w:hAnsi="Arial"/>
          <w:sz w:val="19"/>
          <w:szCs w:val="19"/>
          <w:color w:val="auto"/>
        </w:rPr>
        <w:t>. There occurs any uninsured loss to any material portion of the Collateral; or</w:t>
      </w:r>
    </w:p>
    <w:p>
      <w:pPr>
        <w:spacing w:after="0" w:line="200" w:lineRule="exact"/>
        <w:rPr>
          <w:rFonts w:ascii="Arial" w:cs="Arial" w:eastAsia="Arial" w:hAnsi="Arial"/>
          <w:sz w:val="19"/>
          <w:szCs w:val="19"/>
          <w:color w:val="auto"/>
        </w:rPr>
      </w:pPr>
    </w:p>
    <w:p>
      <w:pPr>
        <w:ind w:left="1580" w:right="80" w:firstLine="799"/>
        <w:spacing w:after="0" w:line="286" w:lineRule="auto"/>
        <w:tabs>
          <w:tab w:leader="none" w:pos="2977"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Breach of Contractual Obligation</w:t>
      </w:r>
      <w:r>
        <w:rPr>
          <w:rFonts w:ascii="Arial" w:cs="Arial" w:eastAsia="Arial" w:hAnsi="Arial"/>
          <w:sz w:val="20"/>
          <w:szCs w:val="20"/>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10" w:lineRule="exact"/>
        <w:rPr>
          <w:rFonts w:ascii="Arial" w:cs="Arial" w:eastAsia="Arial" w:hAnsi="Arial"/>
          <w:sz w:val="20"/>
          <w:szCs w:val="20"/>
          <w:color w:val="auto"/>
        </w:rPr>
      </w:pPr>
    </w:p>
    <w:p>
      <w:pPr>
        <w:ind w:left="1580" w:right="140" w:firstLine="799"/>
        <w:spacing w:after="0" w:line="288" w:lineRule="auto"/>
        <w:tabs>
          <w:tab w:leader="none" w:pos="2977"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Guaranty</w:t>
      </w:r>
      <w:r>
        <w:rPr>
          <w:rFonts w:ascii="Arial" w:cs="Arial" w:eastAsia="Arial" w:hAnsi="Arial"/>
          <w:sz w:val="20"/>
          <w:szCs w:val="20"/>
          <w:color w:val="auto"/>
        </w:rPr>
        <w:t>. The termination or attempted termination by any Loan Party, Subsidiary of a Loan Party, or Affiliate of a Loan Party of any Facility Guaranty prior to the payment in full of the Obligations (other than contingent indemnification claims for which a claim has not been asserted), except as expressly permitted hereunder or under any other Loan Document.</w:t>
      </w:r>
    </w:p>
    <w:p>
      <w:pPr>
        <w:spacing w:after="0" w:line="11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8.02 Remedies Upon Event of Default</w:t>
      </w:r>
    </w:p>
    <w:p>
      <w:pPr>
        <w:spacing w:after="0" w:line="195" w:lineRule="exact"/>
        <w:rPr>
          <w:sz w:val="20"/>
          <w:szCs w:val="20"/>
          <w:color w:val="auto"/>
        </w:rPr>
      </w:pPr>
    </w:p>
    <w:p>
      <w:pPr>
        <w:ind w:left="840" w:firstLine="749"/>
        <w:spacing w:after="0" w:line="303" w:lineRule="auto"/>
        <w:rPr>
          <w:sz w:val="20"/>
          <w:szCs w:val="20"/>
          <w:color w:val="auto"/>
        </w:rPr>
      </w:pPr>
      <w:r>
        <w:rPr>
          <w:rFonts w:ascii="Arial" w:cs="Arial" w:eastAsia="Arial" w:hAnsi="Arial"/>
          <w:sz w:val="20"/>
          <w:szCs w:val="20"/>
          <w:color w:val="auto"/>
        </w:rPr>
        <w:t>If any Event of Default occurs and is continuing, the Agent may, or, at the request of the Required Lenders shall, take any or all of the following actions:</w:t>
      </w:r>
    </w:p>
    <w:p>
      <w:pPr>
        <w:spacing w:after="0" w:line="94" w:lineRule="exact"/>
        <w:rPr>
          <w:sz w:val="20"/>
          <w:szCs w:val="20"/>
          <w:color w:val="auto"/>
        </w:rPr>
      </w:pPr>
    </w:p>
    <w:p>
      <w:pPr>
        <w:jc w:val="both"/>
        <w:ind w:left="1580" w:right="140" w:hanging="186"/>
        <w:spacing w:after="0" w:line="292" w:lineRule="auto"/>
        <w:rPr>
          <w:sz w:val="20"/>
          <w:szCs w:val="20"/>
          <w:color w:val="auto"/>
        </w:rPr>
      </w:pPr>
      <w:r>
        <w:rPr>
          <w:rFonts w:ascii="Arial" w:cs="Arial" w:eastAsia="Arial" w:hAnsi="Arial"/>
          <w:sz w:val="20"/>
          <w:szCs w:val="20"/>
          <w:color w:val="auto"/>
        </w:rPr>
        <w:t>(i)declare the Revolving Commitments of each Revolving Lender to make Revolving Loans and any obligation of the L/C Issuer to make L/C Credit Extensions to be terminated, whereupon such Revolving Commitments and obligations shall be terminated;</w:t>
      </w:r>
    </w:p>
    <w:p>
      <w:pPr>
        <w:spacing w:after="0" w:line="119" w:lineRule="exact"/>
        <w:rPr>
          <w:sz w:val="20"/>
          <w:szCs w:val="20"/>
          <w:color w:val="auto"/>
        </w:rPr>
      </w:pPr>
    </w:p>
    <w:p>
      <w:pPr>
        <w:ind w:left="1580" w:right="560" w:hanging="241"/>
        <w:spacing w:after="0" w:line="292" w:lineRule="auto"/>
        <w:rPr>
          <w:sz w:val="20"/>
          <w:szCs w:val="20"/>
          <w:color w:val="auto"/>
        </w:rPr>
      </w:pPr>
      <w:r>
        <w:rPr>
          <w:rFonts w:ascii="Arial" w:cs="Arial" w:eastAsia="Arial" w:hAnsi="Arial"/>
          <w:sz w:val="20"/>
          <w:szCs w:val="20"/>
          <w:color w:val="auto"/>
        </w:rPr>
        <w:t>(ii)declare the unpaid principal amount of all outstanding Loans, all interest accrued and unpaid thereon, and all other Obligations (excluding Other Liabilities not then due and payable) to be immediately due and payable, without presentment, demand,</w:t>
      </w:r>
    </w:p>
    <w:p>
      <w:pPr>
        <w:spacing w:after="0" w:line="241"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133" w:name="page134"/>
    <w:bookmarkEnd w:id="133"/>
    <w:p>
      <w:pPr>
        <w:ind w:left="1300" w:right="1960" w:firstLine="297"/>
        <w:spacing w:after="0" w:line="429" w:lineRule="auto"/>
        <w:rPr>
          <w:sz w:val="20"/>
          <w:szCs w:val="20"/>
          <w:color w:val="auto"/>
        </w:rPr>
      </w:pPr>
      <w:r>
        <w:rPr>
          <w:rFonts w:ascii="Arial" w:cs="Arial" w:eastAsia="Arial" w:hAnsi="Arial"/>
          <w:sz w:val="20"/>
          <w:szCs w:val="20"/>
          <w:color w:val="auto"/>
        </w:rPr>
        <w:t>protest or other notice of any kind, all of which are hereby expressly waived by the Loan Parties; (iii)require that the Loan Parties Cash Collateralize the L/C Obligations; and</w:t>
      </w:r>
    </w:p>
    <w:p>
      <w:pPr>
        <w:spacing w:after="0" w:line="1" w:lineRule="exact"/>
        <w:rPr>
          <w:sz w:val="20"/>
          <w:szCs w:val="20"/>
          <w:color w:val="auto"/>
        </w:rPr>
      </w:pPr>
    </w:p>
    <w:p>
      <w:pPr>
        <w:ind w:left="1600" w:hanging="285"/>
        <w:spacing w:after="0" w:line="323" w:lineRule="auto"/>
        <w:rPr>
          <w:sz w:val="20"/>
          <w:szCs w:val="20"/>
          <w:color w:val="auto"/>
        </w:rPr>
      </w:pPr>
      <w:r>
        <w:rPr>
          <w:rFonts w:ascii="Arial" w:cs="Arial" w:eastAsia="Arial" w:hAnsi="Arial"/>
          <w:sz w:val="18"/>
          <w:szCs w:val="18"/>
          <w:color w:val="auto"/>
        </w:rPr>
        <w:t>(iv)whether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such amount shall have become due, by declaration or otherwise, proceed to enforce the payment thereof or any other legal or equitable right of the Credit Parties;</w:t>
      </w:r>
    </w:p>
    <w:p>
      <w:pPr>
        <w:spacing w:after="0" w:line="97" w:lineRule="exact"/>
        <w:rPr>
          <w:sz w:val="20"/>
          <w:szCs w:val="20"/>
          <w:color w:val="auto"/>
        </w:rPr>
      </w:pPr>
    </w:p>
    <w:p>
      <w:pPr>
        <w:ind w:right="200"/>
        <w:spacing w:after="0" w:line="32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occurrence of any Default or Event of Default with respect to any Loan Party or any Subsidiary thereof under </w:t>
      </w:r>
      <w:r>
        <w:rPr>
          <w:rFonts w:ascii="Arial" w:cs="Arial" w:eastAsia="Arial" w:hAnsi="Arial"/>
          <w:sz w:val="18"/>
          <w:szCs w:val="18"/>
          <w:u w:val="single" w:color="auto"/>
          <w:color w:val="auto"/>
        </w:rPr>
        <w:t>Section 8.01(f)</w:t>
      </w:r>
      <w:r>
        <w:rPr>
          <w:rFonts w:ascii="Arial" w:cs="Arial" w:eastAsia="Arial" w:hAnsi="Arial"/>
          <w:sz w:val="18"/>
          <w:szCs w:val="18"/>
          <w:color w:val="auto"/>
        </w:rPr>
        <w:t>, the obligation of each Revolving Lender to make Revolving Loans and any obligation of the L/C Issuer to make L/C Credit Extensions shall automatically terminate, the unpaid principal amount of all outstanding Loans, all interest accrued thereon and all other Obligations shall automatically become due and payable, and the obligation of the Loan Parties to Cash Collateralize the L/C Obligations as aforesaid shall automatically become effective, in each case without further act of the Agent or any Lender.</w:t>
      </w:r>
    </w:p>
    <w:p>
      <w:pPr>
        <w:spacing w:after="0" w:line="97" w:lineRule="exact"/>
        <w:rPr>
          <w:sz w:val="20"/>
          <w:szCs w:val="20"/>
          <w:color w:val="auto"/>
        </w:rPr>
      </w:pPr>
    </w:p>
    <w:p>
      <w:pPr>
        <w:ind w:right="100"/>
        <w:spacing w:after="0" w:line="363" w:lineRule="auto"/>
        <w:rPr>
          <w:sz w:val="20"/>
          <w:szCs w:val="20"/>
          <w:color w:val="auto"/>
        </w:rPr>
      </w:pPr>
      <w:r>
        <w:rPr>
          <w:rFonts w:ascii="Arial" w:cs="Arial" w:eastAsia="Arial" w:hAnsi="Arial"/>
          <w:sz w:val="18"/>
          <w:szCs w:val="18"/>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8.03 Application of Proceeds of Collateral</w:t>
      </w:r>
    </w:p>
    <w:p>
      <w:pPr>
        <w:spacing w:after="0" w:line="195" w:lineRule="exact"/>
        <w:rPr>
          <w:sz w:val="20"/>
          <w:szCs w:val="20"/>
          <w:color w:val="auto"/>
        </w:rPr>
      </w:pPr>
    </w:p>
    <w:p>
      <w:pPr>
        <w:jc w:val="both"/>
        <w:ind w:right="300" w:firstLine="8"/>
        <w:spacing w:after="0" w:line="288" w:lineRule="auto"/>
        <w:tabs>
          <w:tab w:leader="none" w:pos="14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8.02(a)</w:t>
      </w:r>
      <w:r>
        <w:rPr>
          <w:rFonts w:ascii="Arial" w:cs="Arial" w:eastAsia="Arial" w:hAnsi="Arial"/>
          <w:sz w:val="20"/>
          <w:szCs w:val="20"/>
          <w:color w:val="auto"/>
        </w:rPr>
        <w:t xml:space="preserve"> (or after the Obligations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8.02(a)</w:t>
      </w:r>
      <w:r>
        <w:rPr>
          <w:rFonts w:ascii="Arial" w:cs="Arial" w:eastAsia="Arial" w:hAnsi="Arial"/>
          <w:sz w:val="20"/>
          <w:szCs w:val="20"/>
          <w:color w:val="auto"/>
        </w:rPr>
        <w:t xml:space="preserve">), any amounts received on account of the Obligations or on account of any Collateral shall, subject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be applied by the Agent in the following order:</w:t>
      </w:r>
    </w:p>
    <w:p>
      <w:pPr>
        <w:spacing w:after="0" w:line="125" w:lineRule="exact"/>
        <w:rPr>
          <w:sz w:val="20"/>
          <w:szCs w:val="20"/>
          <w:color w:val="auto"/>
        </w:rPr>
      </w:pPr>
    </w:p>
    <w:p>
      <w:pPr>
        <w:ind w:left="760" w:right="60"/>
        <w:spacing w:after="0" w:line="292"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(excluding the Other Liabilities) constituting fees, indemnities, Credit Party Expenses and other amounts (including fees, charges and disbursements of counsel to the Agent and amounts payable under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payable to the Agent;</w:t>
      </w:r>
    </w:p>
    <w:p>
      <w:pPr>
        <w:spacing w:after="0" w:line="106" w:lineRule="exact"/>
        <w:rPr>
          <w:sz w:val="20"/>
          <w:szCs w:val="20"/>
          <w:color w:val="auto"/>
        </w:rPr>
      </w:pPr>
    </w:p>
    <w:p>
      <w:pPr>
        <w:ind w:left="760" w:right="20"/>
        <w:spacing w:after="0" w:line="287"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(excluding the Other Liabilities) constituting indemnities (including indemnities due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hereof), Credit Party Expenses, and other amounts (other than principal, interest and fees) payable to the Revolving Lenders and the L/C Issuer (including Credit Party Expenses to the respective Revolving Lenders and the L/C Issuer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24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34" w:name="page135"/>
    <w:bookmarkEnd w:id="134"/>
    <w:p>
      <w:pPr>
        <w:ind w:left="760" w:right="20"/>
        <w:spacing w:after="0" w:line="303"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the extent not previously reimbursed by the Revolving Lenders, to payment to the Agent of that portion of the Obligations constituting principal and accrued and unpaid interest on any Permitted Overadvances;</w:t>
      </w:r>
    </w:p>
    <w:p>
      <w:pPr>
        <w:spacing w:after="0" w:line="108" w:lineRule="exact"/>
        <w:rPr>
          <w:sz w:val="20"/>
          <w:szCs w:val="20"/>
          <w:color w:val="auto"/>
        </w:rPr>
      </w:pPr>
    </w:p>
    <w:p>
      <w:pPr>
        <w:ind w:left="760" w:right="100"/>
        <w:spacing w:after="0" w:line="331"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the extent that Swing Line Loans have not been refinanced by a Committed Loan, payment to the Swing Line Lender of that portion of the Obligations constituting principal and accrued and unpaid interest on the Swing Line Loans;</w:t>
      </w:r>
    </w:p>
    <w:p>
      <w:pPr>
        <w:spacing w:after="0" w:line="72" w:lineRule="exact"/>
        <w:rPr>
          <w:sz w:val="20"/>
          <w:szCs w:val="20"/>
          <w:color w:val="auto"/>
        </w:rPr>
      </w:pPr>
    </w:p>
    <w:p>
      <w:pPr>
        <w:ind w:left="760" w:right="100"/>
        <w:spacing w:after="0" w:line="33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accrued and unpaid interest on the Committed Loans, L/C Borrowings and other Obligations, and fees (including Letter of Credit Fees and Commitment Fees), ratably among the Revolving Lenders and the L/C Issuer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payable to them;</w:t>
      </w:r>
    </w:p>
    <w:p>
      <w:pPr>
        <w:spacing w:after="0" w:line="84" w:lineRule="exact"/>
        <w:rPr>
          <w:sz w:val="20"/>
          <w:szCs w:val="20"/>
          <w:color w:val="auto"/>
        </w:rPr>
      </w:pPr>
    </w:p>
    <w:p>
      <w:pPr>
        <w:ind w:left="760" w:right="20"/>
        <w:spacing w:after="0" w:line="292"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xml:space="preserve">, to payment of that portion of the Obligations constituting unpaid principal of the Committed Loans and L/C Borrowings, ratably among the Revolving Lenders and the L/C Issuer in proportion to the respective amounts described in this clause </w:t>
      </w:r>
      <w:r>
        <w:rPr>
          <w:rFonts w:ascii="Arial" w:cs="Arial" w:eastAsia="Arial" w:hAnsi="Arial"/>
          <w:sz w:val="20"/>
          <w:szCs w:val="20"/>
          <w:u w:val="single" w:color="auto"/>
          <w:color w:val="auto"/>
        </w:rPr>
        <w:t>Sixth</w:t>
      </w:r>
      <w:r>
        <w:rPr>
          <w:rFonts w:ascii="Arial" w:cs="Arial" w:eastAsia="Arial" w:hAnsi="Arial"/>
          <w:sz w:val="20"/>
          <w:szCs w:val="20"/>
          <w:color w:val="auto"/>
        </w:rPr>
        <w:t xml:space="preserve"> held by them;</w:t>
      </w:r>
    </w:p>
    <w:p>
      <w:pPr>
        <w:spacing w:after="0" w:line="119" w:lineRule="exact"/>
        <w:rPr>
          <w:sz w:val="20"/>
          <w:szCs w:val="20"/>
          <w:color w:val="auto"/>
        </w:rPr>
      </w:pPr>
    </w:p>
    <w:p>
      <w:pPr>
        <w:ind w:left="760" w:right="440"/>
        <w:spacing w:after="0" w:line="303" w:lineRule="auto"/>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to the Agent for the account of the L/C Issuer, to Cash Collateralize that portion of L/C Obligations comprised of the aggregate undrawn amount of Letters of Credit;</w:t>
      </w:r>
    </w:p>
    <w:p>
      <w:pPr>
        <w:spacing w:after="0" w:line="94" w:lineRule="exact"/>
        <w:rPr>
          <w:sz w:val="20"/>
          <w:szCs w:val="20"/>
          <w:color w:val="auto"/>
        </w:rPr>
      </w:pPr>
    </w:p>
    <w:p>
      <w:pPr>
        <w:ind w:left="760" w:right="140"/>
        <w:spacing w:after="0" w:line="303" w:lineRule="auto"/>
        <w:rPr>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xml:space="preserve">, to payment of that portion of the Obligations arising from Cash Management Services, ratably among the Credit Parties in proportion to the respective amounts described in this clause </w:t>
      </w:r>
      <w:r>
        <w:rPr>
          <w:rFonts w:ascii="Arial" w:cs="Arial" w:eastAsia="Arial" w:hAnsi="Arial"/>
          <w:sz w:val="20"/>
          <w:szCs w:val="20"/>
          <w:u w:val="single" w:color="auto"/>
          <w:color w:val="auto"/>
        </w:rPr>
        <w:t>Eighth</w:t>
      </w:r>
      <w:r>
        <w:rPr>
          <w:rFonts w:ascii="Arial" w:cs="Arial" w:eastAsia="Arial" w:hAnsi="Arial"/>
          <w:sz w:val="20"/>
          <w:szCs w:val="20"/>
          <w:color w:val="auto"/>
        </w:rPr>
        <w:t xml:space="preserve"> held by them;</w:t>
      </w:r>
    </w:p>
    <w:p>
      <w:pPr>
        <w:spacing w:after="0" w:line="108" w:lineRule="exact"/>
        <w:rPr>
          <w:sz w:val="20"/>
          <w:szCs w:val="20"/>
          <w:color w:val="auto"/>
        </w:rPr>
      </w:pPr>
    </w:p>
    <w:p>
      <w:pPr>
        <w:ind w:left="760" w:right="360"/>
        <w:spacing w:after="0" w:line="303" w:lineRule="auto"/>
        <w:rPr>
          <w:sz w:val="20"/>
          <w:szCs w:val="20"/>
          <w:color w:val="auto"/>
        </w:rPr>
      </w:pPr>
      <w:r>
        <w:rPr>
          <w:rFonts w:ascii="Arial" w:cs="Arial" w:eastAsia="Arial" w:hAnsi="Arial"/>
          <w:sz w:val="20"/>
          <w:szCs w:val="20"/>
          <w:u w:val="single" w:color="auto"/>
          <w:color w:val="auto"/>
        </w:rPr>
        <w:t>Ninth</w:t>
      </w:r>
      <w:r>
        <w:rPr>
          <w:rFonts w:ascii="Arial" w:cs="Arial" w:eastAsia="Arial" w:hAnsi="Arial"/>
          <w:sz w:val="20"/>
          <w:szCs w:val="20"/>
          <w:color w:val="auto"/>
        </w:rPr>
        <w:t xml:space="preserve">, to payment of outstanding Obligations arising from Bank Products, ratably among the Credit Parties in proportion to the respective amounts described in this clause </w:t>
      </w:r>
      <w:r>
        <w:rPr>
          <w:rFonts w:ascii="Arial" w:cs="Arial" w:eastAsia="Arial" w:hAnsi="Arial"/>
          <w:sz w:val="20"/>
          <w:szCs w:val="20"/>
          <w:u w:val="single" w:color="auto"/>
          <w:color w:val="auto"/>
        </w:rPr>
        <w:t>Ninth</w:t>
      </w:r>
      <w:r>
        <w:rPr>
          <w:rFonts w:ascii="Arial" w:cs="Arial" w:eastAsia="Arial" w:hAnsi="Arial"/>
          <w:sz w:val="20"/>
          <w:szCs w:val="20"/>
          <w:color w:val="auto"/>
        </w:rPr>
        <w:t xml:space="preserve"> held by them;</w:t>
      </w:r>
    </w:p>
    <w:p>
      <w:pPr>
        <w:spacing w:after="0" w:line="108" w:lineRule="exact"/>
        <w:rPr>
          <w:sz w:val="20"/>
          <w:szCs w:val="20"/>
          <w:color w:val="auto"/>
        </w:rPr>
      </w:pPr>
    </w:p>
    <w:p>
      <w:pPr>
        <w:ind w:left="760" w:right="560"/>
        <w:spacing w:after="0" w:line="303" w:lineRule="auto"/>
        <w:rPr>
          <w:sz w:val="20"/>
          <w:szCs w:val="20"/>
          <w:color w:val="auto"/>
        </w:rPr>
      </w:pPr>
      <w:r>
        <w:rPr>
          <w:rFonts w:ascii="Arial" w:cs="Arial" w:eastAsia="Arial" w:hAnsi="Arial"/>
          <w:sz w:val="20"/>
          <w:szCs w:val="20"/>
          <w:u w:val="single" w:color="auto"/>
          <w:color w:val="auto"/>
        </w:rPr>
        <w:t>Tenth</w:t>
      </w:r>
      <w:r>
        <w:rPr>
          <w:rFonts w:ascii="Arial" w:cs="Arial" w:eastAsia="Arial" w:hAnsi="Arial"/>
          <w:sz w:val="20"/>
          <w:szCs w:val="20"/>
          <w:color w:val="auto"/>
        </w:rPr>
        <w:t xml:space="preserve">, to payment of that portion of the Obligations constituting indemnities (including indemnities due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hereof), Credit Party Expenses and fees;</w:t>
      </w:r>
    </w:p>
    <w:p>
      <w:pPr>
        <w:spacing w:after="0" w:line="94" w:lineRule="exact"/>
        <w:rPr>
          <w:sz w:val="20"/>
          <w:szCs w:val="20"/>
          <w:color w:val="auto"/>
        </w:rPr>
      </w:pPr>
    </w:p>
    <w:p>
      <w:pPr>
        <w:ind w:left="760" w:right="60"/>
        <w:spacing w:after="0" w:line="303" w:lineRule="auto"/>
        <w:rPr>
          <w:sz w:val="20"/>
          <w:szCs w:val="20"/>
          <w:color w:val="auto"/>
        </w:rPr>
      </w:pPr>
      <w:r>
        <w:rPr>
          <w:rFonts w:ascii="Arial" w:cs="Arial" w:eastAsia="Arial" w:hAnsi="Arial"/>
          <w:sz w:val="20"/>
          <w:szCs w:val="20"/>
          <w:u w:val="single" w:color="auto"/>
          <w:color w:val="auto"/>
        </w:rPr>
        <w:t>Eleventh</w:t>
      </w:r>
      <w:r>
        <w:rPr>
          <w:rFonts w:ascii="Arial" w:cs="Arial" w:eastAsia="Arial" w:hAnsi="Arial"/>
          <w:sz w:val="20"/>
          <w:szCs w:val="20"/>
          <w:color w:val="auto"/>
        </w:rPr>
        <w:t xml:space="preserve">, ratably to pay any other outstanding Obligations, until paid in full (including without limitation the cash collateralization of unliquidated indemnification obligations as provided in </w:t>
      </w:r>
      <w:r>
        <w:rPr>
          <w:rFonts w:ascii="Arial" w:cs="Arial" w:eastAsia="Arial" w:hAnsi="Arial"/>
          <w:sz w:val="20"/>
          <w:szCs w:val="20"/>
          <w:u w:val="single" w:color="auto"/>
          <w:color w:val="auto"/>
        </w:rPr>
        <w:t>Section 10.04</w:t>
      </w:r>
      <w:r>
        <w:rPr>
          <w:rFonts w:ascii="Arial" w:cs="Arial" w:eastAsia="Arial" w:hAnsi="Arial"/>
          <w:sz w:val="20"/>
          <w:szCs w:val="20"/>
          <w:color w:val="auto"/>
        </w:rPr>
        <w:t>); and</w:t>
      </w:r>
    </w:p>
    <w:p>
      <w:pPr>
        <w:spacing w:after="0" w:line="108" w:lineRule="exact"/>
        <w:rPr>
          <w:sz w:val="20"/>
          <w:szCs w:val="20"/>
          <w:color w:val="auto"/>
        </w:rPr>
      </w:pPr>
    </w:p>
    <w:p>
      <w:pPr>
        <w:ind w:left="760" w:right="40"/>
        <w:spacing w:after="0" w:line="303"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Loan Parties or as otherwise required by Law.</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11" w:lineRule="exact"/>
        <w:rPr>
          <w:sz w:val="20"/>
          <w:szCs w:val="20"/>
          <w:color w:val="auto"/>
        </w:rPr>
      </w:pPr>
    </w:p>
    <w:p>
      <w:pPr>
        <w:ind w:right="100"/>
        <w:spacing w:after="0" w:line="292" w:lineRule="auto"/>
        <w:rPr>
          <w:sz w:val="20"/>
          <w:szCs w:val="20"/>
          <w:color w:val="auto"/>
        </w:rPr>
      </w:pPr>
      <w:r>
        <w:rPr>
          <w:rFonts w:ascii="Arial" w:cs="Arial" w:eastAsia="Arial" w:hAnsi="Arial"/>
          <w:sz w:val="20"/>
          <w:szCs w:val="20"/>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24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6" w:right="399" w:bottom="1440" w:gutter="0" w:footer="0" w:header="0"/>
        </w:sectPr>
      </w:pPr>
    </w:p>
    <w:bookmarkStart w:id="135" w:name="page136"/>
    <w:bookmarkEnd w:id="135"/>
    <w:p>
      <w:pPr>
        <w:ind w:left="5040"/>
        <w:spacing w:after="0"/>
        <w:rPr>
          <w:sz w:val="20"/>
          <w:szCs w:val="20"/>
          <w:color w:val="auto"/>
        </w:rPr>
      </w:pPr>
      <w:r>
        <w:rPr>
          <w:rFonts w:ascii="Arial" w:cs="Arial" w:eastAsia="Arial" w:hAnsi="Arial"/>
          <w:sz w:val="20"/>
          <w:szCs w:val="20"/>
          <w:b w:val="1"/>
          <w:bCs w:val="1"/>
          <w:color w:val="auto"/>
        </w:rPr>
        <w:t>ARTICLE IX</w:t>
      </w:r>
    </w:p>
    <w:p>
      <w:pPr>
        <w:spacing w:after="0" w:line="4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THE AGENTS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9.01 Appointment and Authority</w:t>
      </w:r>
      <w:r>
        <w:rPr>
          <w:rFonts w:ascii="Arial" w:cs="Arial" w:eastAsia="Arial" w:hAnsi="Arial"/>
          <w:sz w:val="20"/>
          <w:szCs w:val="20"/>
          <w:color w:val="auto"/>
        </w:rPr>
        <w:t>.</w:t>
      </w:r>
    </w:p>
    <w:p>
      <w:pPr>
        <w:spacing w:after="0" w:line="181"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Each of the Lenders (in its capacity as a Lender), the Swing Line Lender and the L/C Issuer hereby irrevocably appoints Citizens Bank to act on its behalf as the administrative agent and collateral agent hereunder and under the other Loan Documents and authorizes the Agent to take such actions on its behalf and to exercise such powers as are delegated to the Agent by the terms hereof or thereof (including, without limitation, acquiring, holding and enforcing any and all Liens on Collateral granted by any of the Loan Parties to secure any of the Obligations), together with such actions and powers as are reasonably incidental thereto. The provisions of this Article are solely for the benefit of the Agent and the other Credit Parties, and no Loan Party or any Subsidiary thereof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9.02 Rights as a Lender</w:t>
      </w:r>
    </w:p>
    <w:p>
      <w:pPr>
        <w:spacing w:after="0" w:line="195" w:lineRule="exact"/>
        <w:rPr>
          <w:sz w:val="20"/>
          <w:szCs w:val="20"/>
          <w:color w:val="auto"/>
        </w:rPr>
      </w:pPr>
    </w:p>
    <w:p>
      <w:pPr>
        <w:ind w:firstLine="8"/>
        <w:spacing w:after="0" w:line="286" w:lineRule="auto"/>
        <w:tabs>
          <w:tab w:leader="none" w:pos="14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Loan Parties or any Subsidiary or other Affiliate thereof as if such Person were not the Agent hereunder and without any duty to account therefor to the Lenders.</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9.03 Exculpatory Provisions</w:t>
      </w:r>
    </w:p>
    <w:p>
      <w:pPr>
        <w:spacing w:after="0" w:line="195" w:lineRule="exact"/>
        <w:rPr>
          <w:sz w:val="20"/>
          <w:szCs w:val="20"/>
          <w:color w:val="auto"/>
        </w:rPr>
      </w:pPr>
    </w:p>
    <w:p>
      <w:pPr>
        <w:jc w:val="both"/>
        <w:ind w:right="180" w:firstLine="8"/>
        <w:spacing w:after="0" w:line="292" w:lineRule="auto"/>
        <w:tabs>
          <w:tab w:leader="none" w:pos="14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Agent or any Arranger, as applicable, shall not have any duties or obligations except those expressly set forth herein and in the other Loan Documents, and its duties hereunder shall be administrative in nature. Without limiting the generality of the foregoing, the Agent, or the Arrangers, as applicable:</w:t>
      </w:r>
    </w:p>
    <w:p>
      <w:pPr>
        <w:spacing w:after="0" w:line="119" w:lineRule="exact"/>
        <w:rPr>
          <w:rFonts w:ascii="Arial" w:cs="Arial" w:eastAsia="Arial" w:hAnsi="Arial"/>
          <w:sz w:val="20"/>
          <w:szCs w:val="20"/>
          <w:color w:val="auto"/>
        </w:rPr>
      </w:pPr>
    </w:p>
    <w:p>
      <w:pPr>
        <w:ind w:left="1600" w:firstLine="799"/>
        <w:spacing w:after="0" w:line="303" w:lineRule="auto"/>
        <w:tabs>
          <w:tab w:leader="none" w:pos="2997" w:val="left"/>
        </w:tabs>
        <w:numPr>
          <w:ilvl w:val="1"/>
          <w:numId w:val="133"/>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Event of Default has occurred and is continuing;</w:t>
      </w:r>
    </w:p>
    <w:p>
      <w:pPr>
        <w:spacing w:after="0" w:line="94" w:lineRule="exact"/>
        <w:rPr>
          <w:rFonts w:ascii="Arial" w:cs="Arial" w:eastAsia="Arial" w:hAnsi="Arial"/>
          <w:sz w:val="20"/>
          <w:szCs w:val="20"/>
          <w:color w:val="auto"/>
        </w:rPr>
      </w:pPr>
    </w:p>
    <w:p>
      <w:pPr>
        <w:ind w:left="1600" w:right="240" w:firstLine="799"/>
        <w:spacing w:after="0" w:line="303" w:lineRule="auto"/>
        <w:tabs>
          <w:tab w:leader="none" w:pos="299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Applicable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shall not be required to take any action that, in its opinion or the opinion of its counsel, may expose the Agent to liability or that is contrary to any Loan Document or Law, including for the avoidance of doubt any action that may be in violation of the automatic stay under any Debtor Relief Law or that may effect a forfeiture,</w:t>
      </w:r>
    </w:p>
    <w:p>
      <w:pPr>
        <w:spacing w:after="0" w:line="23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0" w:right="399"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20"/>
          <w:szCs w:val="20"/>
          <w:color w:val="auto"/>
        </w:rPr>
        <w:t>modification or termination of property of a Defaulting Lender in violation of any Debtor Relief Law;</w:t>
      </w:r>
    </w:p>
    <w:p>
      <w:pPr>
        <w:spacing w:after="0" w:line="189" w:lineRule="exact"/>
        <w:rPr>
          <w:sz w:val="20"/>
          <w:szCs w:val="20"/>
          <w:color w:val="auto"/>
        </w:rPr>
      </w:pPr>
    </w:p>
    <w:p>
      <w:pPr>
        <w:jc w:val="both"/>
        <w:ind w:left="1600" w:right="100" w:firstLine="799"/>
        <w:spacing w:after="0" w:line="288" w:lineRule="auto"/>
        <w:tabs>
          <w:tab w:leader="none" w:pos="2997"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Loan Parties or any of its Affiliates that is communicated to or obtained by the Person serving as the Agent or any of its Affiliates in any capacity; and</w:t>
      </w:r>
    </w:p>
    <w:p>
      <w:pPr>
        <w:spacing w:after="0" w:line="111" w:lineRule="exact"/>
        <w:rPr>
          <w:rFonts w:ascii="Arial" w:cs="Arial" w:eastAsia="Arial" w:hAnsi="Arial"/>
          <w:sz w:val="20"/>
          <w:szCs w:val="20"/>
          <w:color w:val="auto"/>
        </w:rPr>
      </w:pPr>
    </w:p>
    <w:p>
      <w:pPr>
        <w:ind w:left="1600" w:right="40" w:firstLine="799"/>
        <w:spacing w:after="0" w:line="325" w:lineRule="auto"/>
        <w:tabs>
          <w:tab w:leader="none" w:pos="29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Agent, Arranger or any of their Related Parties in any capacity, except for notices, reports and other documents expressly required to be furnished to the Lenders by the Agent herein.</w:t>
      </w:r>
    </w:p>
    <w:p>
      <w:pPr>
        <w:spacing w:after="0" w:line="97" w:lineRule="exact"/>
        <w:rPr>
          <w:sz w:val="20"/>
          <w:szCs w:val="20"/>
          <w:color w:val="auto"/>
        </w:rPr>
      </w:pPr>
    </w:p>
    <w:p>
      <w:pPr>
        <w:jc w:val="both"/>
        <w:ind w:right="260"/>
        <w:spacing w:after="0" w:line="338" w:lineRule="auto"/>
        <w:rPr>
          <w:sz w:val="20"/>
          <w:szCs w:val="20"/>
          <w:color w:val="auto"/>
        </w:rPr>
      </w:pPr>
      <w:r>
        <w:rPr>
          <w:rFonts w:ascii="Arial" w:cs="Arial" w:eastAsia="Arial" w:hAnsi="Arial"/>
          <w:sz w:val="18"/>
          <w:szCs w:val="18"/>
          <w:color w:val="auto"/>
        </w:rPr>
        <w:t xml:space="preserve">The Agent shall not be liable for any action taken or not taken by it (i) with the Consent or at the request of the Applicable Lenders (as the Agent shall believe in good faith shall be necessary under the circumstances as provided in </w:t>
      </w:r>
      <w:r>
        <w:rPr>
          <w:rFonts w:ascii="Arial" w:cs="Arial" w:eastAsia="Arial" w:hAnsi="Arial"/>
          <w:sz w:val="18"/>
          <w:szCs w:val="18"/>
          <w:u w:val="single" w:color="auto"/>
          <w:color w:val="auto"/>
        </w:rPr>
        <w:t>Section 10.01</w:t>
      </w:r>
      <w:r>
        <w:rPr>
          <w:rFonts w:ascii="Arial" w:cs="Arial" w:eastAsia="Arial" w:hAnsi="Arial"/>
          <w:sz w:val="18"/>
          <w:szCs w:val="18"/>
          <w:color w:val="auto"/>
        </w:rPr>
        <w:t>) or (ii) in the absence of its own gross negligence or willful misconduct as determined by a final and non-appealable judgment of a court of competent jurisdiction.</w:t>
      </w:r>
    </w:p>
    <w:p>
      <w:pPr>
        <w:spacing w:after="0" w:line="84" w:lineRule="exact"/>
        <w:rPr>
          <w:sz w:val="20"/>
          <w:szCs w:val="20"/>
          <w:color w:val="auto"/>
        </w:rPr>
      </w:pPr>
    </w:p>
    <w:p>
      <w:pPr>
        <w:ind w:right="40"/>
        <w:spacing w:after="0" w:line="301" w:lineRule="auto"/>
        <w:rPr>
          <w:sz w:val="20"/>
          <w:szCs w:val="20"/>
          <w:color w:val="auto"/>
        </w:rPr>
      </w:pPr>
      <w:r>
        <w:rPr>
          <w:rFonts w:ascii="Arial" w:cs="Arial" w:eastAsia="Arial" w:hAnsi="Arial"/>
          <w:sz w:val="19"/>
          <w:szCs w:val="19"/>
          <w:color w:val="auto"/>
        </w:rPr>
        <w:t>The Agent shall not be deemed to have knowledge of any Default or Event of Default unless and until notice describing such Default or Event of Default is given to the Agent by the Loan Parties, a Lender or the L/C Issuer. In the event that the Agent obtains such actual knowledge or receives such a notice, the Agent shall give prompt notice thereof to each of the other Credit Parties. Upon the occurrence of a Default or an Event of Default, the Agent shall take such action with respect to such Default or Event of Default as shall be reasonably directed by the Applicable Lenders. Unless and until the Agent shall have received such direction, the Agent may (but shall not be obligated to) take such action, or refrain from taking such action, with respect to any such Default or Event of Default as it shall deem advisable in the best interest of the Credit Parties. In no event shall the Agent be required to comply with any such directions to the extent that the Agent believes that its compliance with such directions would be unlawful.</w:t>
      </w:r>
    </w:p>
    <w:p>
      <w:pPr>
        <w:spacing w:after="0" w:line="103"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Agent.</w:t>
      </w:r>
    </w:p>
    <w:p>
      <w:pPr>
        <w:spacing w:after="0" w:line="253"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37" w:name="page138"/>
    <w:bookmarkEnd w:id="137"/>
    <w:p>
      <w:pPr>
        <w:ind w:left="840"/>
        <w:spacing w:after="0"/>
        <w:rPr>
          <w:sz w:val="20"/>
          <w:szCs w:val="20"/>
          <w:color w:val="auto"/>
        </w:rPr>
      </w:pPr>
      <w:r>
        <w:rPr>
          <w:rFonts w:ascii="Arial" w:cs="Arial" w:eastAsia="Arial" w:hAnsi="Arial"/>
          <w:sz w:val="20"/>
          <w:szCs w:val="20"/>
          <w:b w:val="1"/>
          <w:bCs w:val="1"/>
          <w:color w:val="auto"/>
        </w:rPr>
        <w:t>9.04 Reliance by Agent</w:t>
      </w:r>
      <w:r>
        <w:rPr>
          <w:rFonts w:ascii="Arial" w:cs="Arial" w:eastAsia="Arial" w:hAnsi="Arial"/>
          <w:sz w:val="20"/>
          <w:szCs w:val="20"/>
          <w:color w:val="auto"/>
        </w:rPr>
        <w:t>.</w:t>
      </w:r>
    </w:p>
    <w:p>
      <w:pPr>
        <w:spacing w:after="0" w:line="195"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The Agent shall be entitled to rely upon, and shall not incur any liability for relying upon, any notice, request, certificate, consent, statement, instrument, document or other writing (including, but not limited to,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Agent may presume that such condition is satisfactory to such Lender or the L/C Issuer unless the Agent shall have received written notice to the contrary from such Lender or the L/C Issuer prior to the making of such Loan or the issuance of such Letter of Credit. The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9.05 Delegation of Duties</w:t>
      </w:r>
    </w:p>
    <w:p>
      <w:pPr>
        <w:spacing w:after="0" w:line="195" w:lineRule="exact"/>
        <w:rPr>
          <w:sz w:val="20"/>
          <w:szCs w:val="20"/>
          <w:color w:val="auto"/>
        </w:rPr>
      </w:pPr>
    </w:p>
    <w:p>
      <w:pPr>
        <w:ind w:right="200" w:firstLine="8"/>
        <w:spacing w:after="0" w:line="267" w:lineRule="exact"/>
        <w:tabs>
          <w:tab w:leader="none" w:pos="1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Agent may perform any and all of its duties and exercise its rights and powers hereunder or under any other Loan Document by or through any one or more sub</w:t>
      </w:r>
      <w:r>
        <w:rPr>
          <w:rFonts w:ascii="MS PGothic" w:cs="MS PGothic" w:eastAsia="MS PGothic" w:hAnsi="MS PGothic"/>
          <w:sz w:val="18"/>
          <w:szCs w:val="18"/>
          <w:color w:val="auto"/>
        </w:rPr>
        <w:t>‑</w:t>
      </w:r>
      <w:r>
        <w:rPr>
          <w:rFonts w:ascii="Arial" w:cs="Arial" w:eastAsia="Arial" w:hAnsi="Arial"/>
          <w:sz w:val="18"/>
          <w:szCs w:val="18"/>
          <w:color w:val="auto"/>
        </w:rPr>
        <w:t>agents appointed by the Agent.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the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9.06 Resignation of Agent</w:t>
      </w:r>
    </w:p>
    <w:p>
      <w:pPr>
        <w:spacing w:after="0" w:line="181" w:lineRule="exact"/>
        <w:rPr>
          <w:sz w:val="20"/>
          <w:szCs w:val="20"/>
          <w:color w:val="auto"/>
        </w:rPr>
      </w:pPr>
    </w:p>
    <w:p>
      <w:pPr>
        <w:ind w:firstLine="49"/>
        <w:spacing w:after="0" w:line="318" w:lineRule="auto"/>
        <w:rPr>
          <w:sz w:val="20"/>
          <w:szCs w:val="20"/>
          <w:color w:val="auto"/>
        </w:rPr>
      </w:pPr>
      <w:r>
        <w:rPr>
          <w:rFonts w:ascii="Arial" w:cs="Arial" w:eastAsia="Arial" w:hAnsi="Arial"/>
          <w:sz w:val="18"/>
          <w:szCs w:val="18"/>
          <w:color w:val="auto"/>
        </w:rPr>
        <w:t xml:space="preserve">The Agent may at any time give written notice of its resignation to the Lenders, the L/C Issuer and the Lead Borrower. Upon receipt of any such notice of resignation, the Required Lenders shall have the right, in consultation with the Lead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L/C Issuer, appoint a successor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Agent shall notify the Lead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held by the Agent on behalf of the Lenders or the L/C Issuer under any of the Loan Documents, the retiring Agent shall continue to hold such collateral security until such time as a successor Agent is appointed) and (2) all payments, communications and determinations provided to be made by, to or through the Agent shall instead be made by or to each Lender and the L/C Issuer directly,</w:t>
      </w:r>
    </w:p>
    <w:p>
      <w:pPr>
        <w:spacing w:after="0" w:line="223"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38" w:name="page139"/>
    <w:bookmarkEnd w:id="138"/>
    <w:p>
      <w:pPr>
        <w:spacing w:after="0" w:line="268" w:lineRule="exact"/>
        <w:rPr>
          <w:sz w:val="20"/>
          <w:szCs w:val="20"/>
          <w:color w:val="auto"/>
        </w:rPr>
      </w:pPr>
      <w:r>
        <w:rPr>
          <w:rFonts w:ascii="Arial" w:cs="Arial" w:eastAsia="Arial" w:hAnsi="Arial"/>
          <w:sz w:val="18"/>
          <w:szCs w:val="18"/>
          <w:color w:val="auto"/>
        </w:rPr>
        <w:t xml:space="preserve">until such time as the Required Lenders appoint a successor Agent as provided for above in this Section.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Lead Borrower and such successor. After the retiring Agent’s resignation hereunder and under the other Loan Documents, the provisions of this Article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shall continue in effect for the benefit of such retiring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the retiring Agent was acting as Agent hereunder.</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9.07 Non-Reliance on Agent and Other Lenders</w:t>
      </w:r>
    </w:p>
    <w:p>
      <w:pPr>
        <w:spacing w:after="0" w:line="181" w:lineRule="exact"/>
        <w:rPr>
          <w:sz w:val="20"/>
          <w:szCs w:val="20"/>
          <w:color w:val="auto"/>
        </w:rPr>
      </w:pPr>
    </w:p>
    <w:p>
      <w:pPr>
        <w:ind w:firstLine="8"/>
        <w:spacing w:after="0" w:line="315" w:lineRule="auto"/>
        <w:tabs>
          <w:tab w:leader="none" w:pos="1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Each Lender and each L/C Issuer expressly acknowledges that none of the Agent, nor any Arranger has made any representation or warranty to it, and that no act by the Agent, or any Arranger hereafter taken, including any consent to, and acceptance of any assignment or review of the affairs of any Loan Party of any Affiliate thereof, shall be deemed to constitute any representation or warranty by the Agent, or any Arranger to any Lender or each L/C Issuer as to any matter, including whether the Agent, or any Arranger have disclosed material information in their (or their Related Parties’) possession. Each Lender and each L/C Issuer represents to the Agent, and the Arrangers that it has, independently and without reliance upon the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Except as provided in </w:t>
      </w:r>
      <w:r>
        <w:rPr>
          <w:rFonts w:ascii="Arial" w:cs="Arial" w:eastAsia="Arial" w:hAnsi="Arial"/>
          <w:sz w:val="18"/>
          <w:szCs w:val="18"/>
          <w:u w:val="single" w:color="auto"/>
          <w:color w:val="auto"/>
        </w:rPr>
        <w:t>Section 9.12</w:t>
      </w:r>
      <w:r>
        <w:rPr>
          <w:rFonts w:ascii="Arial" w:cs="Arial" w:eastAsia="Arial" w:hAnsi="Arial"/>
          <w:sz w:val="18"/>
          <w:szCs w:val="18"/>
          <w:color w:val="auto"/>
        </w:rPr>
        <w:t>, the Agent shall not have any duty or responsibility to provide any Credit Party with any other credit or other information concerning the affairs, financial condition or business of any Loan Party that may come into the possession of the Agent.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w:t>
      </w:r>
    </w:p>
    <w:p>
      <w:pPr>
        <w:spacing w:after="0" w:line="23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39" w:name="page140"/>
    <w:bookmarkEnd w:id="139"/>
    <w:p>
      <w:pPr>
        <w:ind w:right="480"/>
        <w:spacing w:after="0" w:line="363" w:lineRule="auto"/>
        <w:rPr>
          <w:sz w:val="20"/>
          <w:szCs w:val="20"/>
          <w:color w:val="auto"/>
        </w:rPr>
      </w:pPr>
      <w:r>
        <w:rPr>
          <w:rFonts w:ascii="Arial" w:cs="Arial" w:eastAsia="Arial" w:hAnsi="Arial"/>
          <w:sz w:val="18"/>
          <w:szCs w:val="18"/>
          <w:color w:val="auto"/>
        </w:rPr>
        <w:t>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56"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9.08 No Other Duties, Etc.</w:t>
      </w:r>
    </w:p>
    <w:p>
      <w:pPr>
        <w:spacing w:after="0" w:line="181" w:lineRule="exact"/>
        <w:rPr>
          <w:sz w:val="20"/>
          <w:szCs w:val="20"/>
          <w:color w:val="auto"/>
        </w:rPr>
      </w:pPr>
    </w:p>
    <w:p>
      <w:pPr>
        <w:ind w:firstLine="99"/>
        <w:spacing w:after="0" w:line="292" w:lineRule="auto"/>
        <w:rPr>
          <w:sz w:val="20"/>
          <w:szCs w:val="20"/>
          <w:color w:val="auto"/>
        </w:rPr>
      </w:pPr>
      <w:r>
        <w:rPr>
          <w:rFonts w:ascii="Arial" w:cs="Arial" w:eastAsia="Arial" w:hAnsi="Arial"/>
          <w:sz w:val="20"/>
          <w:szCs w:val="20"/>
          <w:color w:val="auto"/>
        </w:rPr>
        <w:t>Anything herein to the contrary notwithstanding, none of the Bookrunner or Arranger listed on the cover page hereof shall have any powers, duties or responsibilities under this Agreement or any of the other Loan Documents, except in its capacity as the Agent, a Lender or the L/C Issuer hereunder.</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9.09 Agent May File Proofs of Claim</w:t>
      </w:r>
    </w:p>
    <w:p>
      <w:pPr>
        <w:spacing w:after="0" w:line="195" w:lineRule="exact"/>
        <w:rPr>
          <w:sz w:val="20"/>
          <w:szCs w:val="20"/>
          <w:color w:val="auto"/>
        </w:rPr>
      </w:pPr>
    </w:p>
    <w:p>
      <w:pPr>
        <w:ind w:right="340" w:firstLine="8"/>
        <w:spacing w:after="0" w:line="288" w:lineRule="auto"/>
        <w:tabs>
          <w:tab w:leader="none" w:pos="14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Agent (irrespective of whether the principal of any Loan or L/C Obligation shall then be due and payable as herein expressed or by declaration or otherwise and irrespective of whether the Agent shall have made any demand on the Loan Parties) shall be entitled and empowered, by intervention in such proceeding or otherwise</w:t>
      </w:r>
    </w:p>
    <w:p>
      <w:pPr>
        <w:spacing w:after="0" w:line="111" w:lineRule="exact"/>
        <w:rPr>
          <w:rFonts w:ascii="Arial" w:cs="Arial" w:eastAsia="Arial" w:hAnsi="Arial"/>
          <w:sz w:val="20"/>
          <w:szCs w:val="20"/>
          <w:color w:val="auto"/>
        </w:rPr>
      </w:pPr>
    </w:p>
    <w:p>
      <w:pPr>
        <w:ind w:left="1600" w:right="40" w:firstLine="799"/>
        <w:spacing w:after="0" w:line="302" w:lineRule="auto"/>
        <w:tabs>
          <w:tab w:leader="none" w:pos="2997"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the Agent and the other Credit Parties (including any claim for the reasonable compensation, expenses, disbursements and advances of the Lenders, the L/C Issuer, the Agent, such Credit Parties and their respective agents and counsel and all other amounts due the Lenders, the L/C Issuer the Agent and such Credit Parties under </w:t>
      </w:r>
      <w:r>
        <w:rPr>
          <w:rFonts w:ascii="Arial" w:cs="Arial" w:eastAsia="Arial" w:hAnsi="Arial"/>
          <w:sz w:val="19"/>
          <w:szCs w:val="19"/>
          <w:u w:val="single" w:color="auto"/>
          <w:color w:val="auto"/>
        </w:rPr>
        <w:t>Sections 2.03(i), 2.03(j)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2.03(k)</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13" w:lineRule="exact"/>
        <w:rPr>
          <w:rFonts w:ascii="Arial" w:cs="Arial" w:eastAsia="Arial" w:hAnsi="Arial"/>
          <w:sz w:val="19"/>
          <w:szCs w:val="19"/>
          <w:color w:val="auto"/>
        </w:rPr>
      </w:pPr>
    </w:p>
    <w:p>
      <w:pPr>
        <w:ind w:left="1600" w:right="280" w:firstLine="799"/>
        <w:spacing w:after="0" w:line="303" w:lineRule="auto"/>
        <w:tabs>
          <w:tab w:leader="none" w:pos="2997"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and the L/C Issuer to make such payments to the Agent and to pay to the Agent any amount due for the reasonable compensation, expenses, disbursements and advances of the Agent and its agents and counsel, and any other amounts due the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11"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Nothing contained herein shall be deemed to authorize the Agent to authorize or consent to or accept or adopt on behalf of any Credit Party any plan of reorganization, arrangement, adjustment or composition affecting the Obligations or the rights of any Credit Party or to authorize the Agent to vote in respect of the claim of any Credit Party in any such proceeding.</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9.10 Collateral and Guaranty Matters</w:t>
      </w:r>
    </w:p>
    <w:p>
      <w:pPr>
        <w:spacing w:after="0" w:line="195" w:lineRule="exact"/>
        <w:rPr>
          <w:sz w:val="20"/>
          <w:szCs w:val="20"/>
          <w:color w:val="auto"/>
        </w:rPr>
      </w:pPr>
    </w:p>
    <w:p>
      <w:pPr>
        <w:ind w:left="160" w:hanging="152"/>
        <w:spacing w:after="0"/>
        <w:tabs>
          <w:tab w:leader="none" w:pos="16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Credit Parties irrevocably authorize the Agent, at its option and in its discretion:</w:t>
      </w:r>
    </w:p>
    <w:p>
      <w:pPr>
        <w:spacing w:after="0" w:line="175" w:lineRule="exact"/>
        <w:rPr>
          <w:rFonts w:ascii="Arial" w:cs="Arial" w:eastAsia="Arial" w:hAnsi="Arial"/>
          <w:sz w:val="20"/>
          <w:szCs w:val="20"/>
          <w:color w:val="auto"/>
        </w:rPr>
      </w:pPr>
    </w:p>
    <w:p>
      <w:pPr>
        <w:ind w:left="1600" w:right="60" w:firstLine="799"/>
        <w:spacing w:after="0" w:line="288" w:lineRule="auto"/>
        <w:tabs>
          <w:tab w:leader="none" w:pos="299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to release any Lien on any property granted to or held by the Agent under any Loan Document (i) upon termination of the Aggregate Revolving Commitments and payment in full of all Obligations (other than contingent indemnification obligations for which no claim has been asserted) and the expiration, termination or Cash Collateralization of all Letters of Credit,</w:t>
      </w:r>
    </w:p>
    <w:p>
      <w:pPr>
        <w:spacing w:after="0" w:line="24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40" w:name="page141"/>
    <w:bookmarkEnd w:id="140"/>
    <w:p>
      <w:pPr>
        <w:ind w:left="1600" w:right="320"/>
        <w:spacing w:after="0" w:line="292" w:lineRule="auto"/>
        <w:tabs>
          <w:tab w:leader="none" w:pos="189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that is sold or to be sold as part of or in connection with any sale permitted hereunder or under any other Loan Document, or (iii) if approved, authorized or ratified in writing by the Applicable Lenders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w:t>
      </w:r>
    </w:p>
    <w:p>
      <w:pPr>
        <w:spacing w:after="0" w:line="119" w:lineRule="exact"/>
        <w:rPr>
          <w:rFonts w:ascii="Arial" w:cs="Arial" w:eastAsia="Arial" w:hAnsi="Arial"/>
          <w:sz w:val="20"/>
          <w:szCs w:val="20"/>
          <w:color w:val="auto"/>
        </w:rPr>
      </w:pPr>
    </w:p>
    <w:p>
      <w:pPr>
        <w:jc w:val="both"/>
        <w:ind w:left="1600" w:right="140" w:firstLine="799"/>
        <w:spacing w:after="0" w:line="363" w:lineRule="auto"/>
        <w:tabs>
          <w:tab w:leader="none" w:pos="299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Agent under any Loan Document to the holder of any Lien on such property that is permitted by clause (h) of the definition of Permitted Encumbrances; and</w:t>
      </w:r>
    </w:p>
    <w:p>
      <w:pPr>
        <w:spacing w:after="0" w:line="48" w:lineRule="exact"/>
        <w:rPr>
          <w:rFonts w:ascii="Arial" w:cs="Arial" w:eastAsia="Arial" w:hAnsi="Arial"/>
          <w:sz w:val="18"/>
          <w:szCs w:val="18"/>
          <w:color w:val="auto"/>
        </w:rPr>
      </w:pPr>
    </w:p>
    <w:p>
      <w:pPr>
        <w:ind w:left="1600" w:right="180" w:firstLine="799"/>
        <w:spacing w:after="0" w:line="303" w:lineRule="auto"/>
        <w:tabs>
          <w:tab w:leader="none" w:pos="2997"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Facility Guaranty if such Person ceases to be a Subsidiary as a result of a transaction permitted hereunder.</w:t>
      </w:r>
    </w:p>
    <w:p>
      <w:pPr>
        <w:spacing w:after="0" w:line="108" w:lineRule="exact"/>
        <w:rPr>
          <w:sz w:val="20"/>
          <w:szCs w:val="20"/>
          <w:color w:val="auto"/>
        </w:rPr>
      </w:pPr>
    </w:p>
    <w:p>
      <w:pPr>
        <w:spacing w:after="0" w:line="369" w:lineRule="auto"/>
        <w:rPr>
          <w:sz w:val="20"/>
          <w:szCs w:val="20"/>
          <w:color w:val="auto"/>
        </w:rPr>
      </w:pPr>
      <w:r>
        <w:rPr>
          <w:rFonts w:ascii="Arial" w:cs="Arial" w:eastAsia="Arial" w:hAnsi="Arial"/>
          <w:sz w:val="16"/>
          <w:szCs w:val="16"/>
          <w:color w:val="auto"/>
        </w:rPr>
        <w:t xml:space="preserve">Upon request by the Agent at any time, the Applicable Lenders will confirm in writing the Agent’s authority to release or subordinate its interest in particular types or items of property, or to release any Guarantor from its obligations under the Facility Guaranty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Agent will, at the Loan Parties’ expense, execute and deliver to the applicable Loan Party such documents as such Loan Party may reasonably request to evidence the release of such item of Collateral from the assignment and security interest granted under the Security Documents or to subordinate its interest in such item, or to release such Guarantor from its obligations under the Facility Guaranty,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9.11 Notice of Transfer</w:t>
      </w:r>
      <w:r>
        <w:rPr>
          <w:rFonts w:ascii="Arial" w:cs="Arial" w:eastAsia="Arial" w:hAnsi="Arial"/>
          <w:sz w:val="20"/>
          <w:szCs w:val="20"/>
          <w:color w:val="auto"/>
        </w:rPr>
        <w:t>.</w:t>
      </w:r>
    </w:p>
    <w:p>
      <w:pPr>
        <w:spacing w:after="0" w:line="181" w:lineRule="exact"/>
        <w:rPr>
          <w:sz w:val="20"/>
          <w:szCs w:val="20"/>
          <w:color w:val="auto"/>
        </w:rPr>
      </w:pPr>
    </w:p>
    <w:p>
      <w:pPr>
        <w:ind w:right="260"/>
        <w:spacing w:after="0" w:line="438" w:lineRule="auto"/>
        <w:rPr>
          <w:sz w:val="20"/>
          <w:szCs w:val="20"/>
          <w:color w:val="auto"/>
        </w:rPr>
      </w:pPr>
      <w:r>
        <w:rPr>
          <w:rFonts w:ascii="Arial" w:cs="Arial" w:eastAsia="Arial" w:hAnsi="Arial"/>
          <w:sz w:val="16"/>
          <w:szCs w:val="16"/>
          <w:color w:val="auto"/>
        </w:rPr>
        <w:t xml:space="preserve">The Agent may deem and treat a Lender party to this Agreement as the owner of such Lender’s portion of the Obligations for all purposes, unless and until, and except to the extent, an Assignment and Assumption shall have become effective as set forth in </w:t>
      </w:r>
      <w:r>
        <w:rPr>
          <w:rFonts w:ascii="Arial" w:cs="Arial" w:eastAsia="Arial" w:hAnsi="Arial"/>
          <w:sz w:val="16"/>
          <w:szCs w:val="16"/>
          <w:u w:val="single" w:color="auto"/>
          <w:color w:val="auto"/>
        </w:rPr>
        <w:t>Section 10.06</w:t>
      </w:r>
      <w:r>
        <w:rPr>
          <w:rFonts w:ascii="Arial" w:cs="Arial" w:eastAsia="Arial" w:hAnsi="Arial"/>
          <w:sz w:val="16"/>
          <w:szCs w:val="16"/>
          <w:color w:val="auto"/>
        </w:rPr>
        <w: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9.12 Reports and Financial Statements</w:t>
      </w:r>
      <w:r>
        <w:rPr>
          <w:rFonts w:ascii="Arial" w:cs="Arial" w:eastAsia="Arial" w:hAnsi="Arial"/>
          <w:sz w:val="20"/>
          <w:szCs w:val="20"/>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By signing this Agreement, each Lender:</w:t>
      </w:r>
    </w:p>
    <w:p>
      <w:pPr>
        <w:spacing w:after="0" w:line="175" w:lineRule="exact"/>
        <w:rPr>
          <w:sz w:val="20"/>
          <w:szCs w:val="20"/>
          <w:color w:val="auto"/>
        </w:rPr>
      </w:pPr>
    </w:p>
    <w:p>
      <w:pPr>
        <w:ind w:left="1600" w:right="120" w:firstLine="799"/>
        <w:spacing w:after="0" w:line="323" w:lineRule="auto"/>
        <w:tabs>
          <w:tab w:leader="none" w:pos="299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agrees to furnish the Agent after the occurrence and during the continuance of a Cash Dominion Event (and thereafter at such frequency as the Agent may reasonably request) with a summary of all Other Liabilities due or to become due to such Lender. In connection with any distributions to be made hereunder, the Agent shall be entitled to assume that no amounts are due to any Lender on account of Other Liabilities unless the Agent has received written notice thereof from such Lender and if such notice is received, the Agent shall be entitled to assume that the only amounts due to such Lender on account of Other Liabilities is the amount set forth in such notice;</w:t>
      </w:r>
    </w:p>
    <w:p>
      <w:pPr>
        <w:spacing w:after="0" w:line="97" w:lineRule="exact"/>
        <w:rPr>
          <w:rFonts w:ascii="Arial" w:cs="Arial" w:eastAsia="Arial" w:hAnsi="Arial"/>
          <w:sz w:val="18"/>
          <w:szCs w:val="18"/>
          <w:color w:val="auto"/>
        </w:rPr>
      </w:pPr>
    </w:p>
    <w:p>
      <w:pPr>
        <w:ind w:left="1600" w:right="200" w:firstLine="799"/>
        <w:spacing w:after="0" w:line="292" w:lineRule="auto"/>
        <w:tabs>
          <w:tab w:leader="none" w:pos="299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is deemed to have requested that the Agent furnish, and the Agent agrees to furnish, such Lender, promptly after they become available, copies of all Borrowing Base Certificates and financial statements required to be delivered by the Lead Borrower hereunder;</w:t>
      </w:r>
    </w:p>
    <w:p>
      <w:pPr>
        <w:spacing w:after="0" w:line="119" w:lineRule="exact"/>
        <w:rPr>
          <w:rFonts w:ascii="Arial" w:cs="Arial" w:eastAsia="Arial" w:hAnsi="Arial"/>
          <w:sz w:val="20"/>
          <w:szCs w:val="20"/>
          <w:color w:val="auto"/>
        </w:rPr>
      </w:pPr>
    </w:p>
    <w:p>
      <w:pPr>
        <w:ind w:left="1600" w:right="380" w:firstLine="799"/>
        <w:spacing w:after="0" w:line="292" w:lineRule="auto"/>
        <w:tabs>
          <w:tab w:leader="none" w:pos="299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is deemed to have requested that the Agent furnish, and the Agent agrees to furnish, such Lender, promptly after they become available, copies of all commercial finance examinations and appraisals of the Collateral received by the Agent (collectively, the “Reports”);</w:t>
      </w:r>
    </w:p>
    <w:p>
      <w:pPr>
        <w:spacing w:after="0" w:line="227"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41" w:name="page142"/>
    <w:bookmarkEnd w:id="141"/>
    <w:p>
      <w:pPr>
        <w:ind w:left="1600" w:right="140" w:firstLine="799"/>
        <w:spacing w:after="0" w:line="292" w:lineRule="auto"/>
        <w:tabs>
          <w:tab w:leader="none" w:pos="299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expressly agrees and acknowledges that the Agent makes no representation or warranty as to the accuracy of the Borrowing Base Certificates, financial statements or Reports, and shall not be liable for any information contained in any Borrowing Base Certificate, financial statement or Report;</w:t>
      </w:r>
    </w:p>
    <w:p>
      <w:pPr>
        <w:spacing w:after="0" w:line="119" w:lineRule="exact"/>
        <w:rPr>
          <w:rFonts w:ascii="Arial" w:cs="Arial" w:eastAsia="Arial" w:hAnsi="Arial"/>
          <w:sz w:val="20"/>
          <w:szCs w:val="20"/>
          <w:color w:val="auto"/>
        </w:rPr>
      </w:pPr>
    </w:p>
    <w:p>
      <w:pPr>
        <w:ind w:left="1600" w:right="60" w:firstLine="799"/>
        <w:spacing w:after="0" w:line="288" w:lineRule="auto"/>
        <w:tabs>
          <w:tab w:leader="none" w:pos="299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expressly agrees and acknowledges that the Reports are not comprehensive audits or examinations, that the Agent or any other party performing any audit or examination will inspect only specific information regarding the Loan Parties and will rely significantly upon the Loan Parties' books and records, as well as on representations of the Loan Parties' personnel;</w:t>
      </w:r>
    </w:p>
    <w:p>
      <w:pPr>
        <w:spacing w:after="0" w:line="111" w:lineRule="exact"/>
        <w:rPr>
          <w:rFonts w:ascii="Arial" w:cs="Arial" w:eastAsia="Arial" w:hAnsi="Arial"/>
          <w:sz w:val="20"/>
          <w:szCs w:val="20"/>
          <w:color w:val="auto"/>
        </w:rPr>
      </w:pPr>
    </w:p>
    <w:p>
      <w:pPr>
        <w:ind w:left="1600" w:right="680" w:firstLine="799"/>
        <w:spacing w:after="0" w:line="303" w:lineRule="auto"/>
        <w:tabs>
          <w:tab w:leader="none" w:pos="299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agrees to keep all Borrowing Base Certificates, financial statements and Reports confidential in accordance with the provisions of </w:t>
      </w:r>
      <w:r>
        <w:rPr>
          <w:rFonts w:ascii="Arial" w:cs="Arial" w:eastAsia="Arial" w:hAnsi="Arial"/>
          <w:sz w:val="20"/>
          <w:szCs w:val="20"/>
          <w:u w:val="single" w:color="auto"/>
          <w:color w:val="auto"/>
        </w:rPr>
        <w:t>Section 10.07</w:t>
      </w:r>
      <w:r>
        <w:rPr>
          <w:rFonts w:ascii="Arial" w:cs="Arial" w:eastAsia="Arial" w:hAnsi="Arial"/>
          <w:sz w:val="20"/>
          <w:szCs w:val="20"/>
          <w:color w:val="auto"/>
        </w:rPr>
        <w:t>; and</w:t>
      </w:r>
    </w:p>
    <w:p>
      <w:pPr>
        <w:spacing w:after="0" w:line="107" w:lineRule="exact"/>
        <w:rPr>
          <w:rFonts w:ascii="Arial" w:cs="Arial" w:eastAsia="Arial" w:hAnsi="Arial"/>
          <w:sz w:val="20"/>
          <w:szCs w:val="20"/>
          <w:color w:val="auto"/>
        </w:rPr>
      </w:pPr>
    </w:p>
    <w:p>
      <w:pPr>
        <w:ind w:left="1600" w:right="60" w:firstLine="799"/>
        <w:spacing w:after="0" w:line="300" w:lineRule="auto"/>
        <w:tabs>
          <w:tab w:leader="none" w:pos="299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without limiting the generality of any other indemnification provision contained in this Agreement, agrees: (i) to hold the Agent and any such other Lender preparing a Report harmless from any action the indemnifying Lender may take or conclusion the indemnifying Lender may reach or draw from any Report in connection with any Credit Extensions that the indemnifying Lender has made or may make to the Borrowers, or the indemnifying Lender's participation in, or the indemnifying Lender's purchase of, a Loan or Loans; and (ii) to pay and protect, and indemnify, defend, and hold the Agent and any such other Lender preparing a Report harmless from and against, the claims, actions, proceedings, damages, costs, expenses, and other amounts (including attorney costs) incurred by the Agent and any such other Lender preparing a Report as the direct or indirect result of any third parties who might obtain all or part of any Report through the indemnifying Lender.</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9.13 Agency for Perfection</w:t>
      </w:r>
      <w:r>
        <w:rPr>
          <w:rFonts w:ascii="Arial" w:cs="Arial" w:eastAsia="Arial" w:hAnsi="Arial"/>
          <w:sz w:val="20"/>
          <w:szCs w:val="20"/>
          <w:color w:val="auto"/>
        </w:rPr>
        <w:t>.</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Each Credit Party hereby appoints each other Credit Party as agent for the purpose of perfecting Liens for the benefit of the Credit Parties, in assets which, in accordance with Article 9 of the UCC or any other Law of the United States can be perfected only by possession or control. Should any Credit Party (other than the Agent) obtain possession or control of any such Collateral, such Credit Party shall notify the Agent thereof, and, promptly upon the Agent's request therefor shall deliver such Collateral to the Agent or otherwise deal with such Collateral in accordance with the Agent's instructions.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9.14 Indemnification of Agent</w:t>
      </w:r>
    </w:p>
    <w:p>
      <w:pPr>
        <w:spacing w:after="0" w:line="195" w:lineRule="exact"/>
        <w:rPr>
          <w:sz w:val="20"/>
          <w:szCs w:val="20"/>
          <w:color w:val="auto"/>
        </w:rPr>
      </w:pPr>
    </w:p>
    <w:p>
      <w:pPr>
        <w:ind w:firstLine="8"/>
        <w:spacing w:after="0" w:line="319" w:lineRule="auto"/>
        <w:tabs>
          <w:tab w:leader="none" w:pos="1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Without limiting the obligations of Loan Parties hereunder, to the extent that the Loan Parties for any reason fails to indefeasibly pay any amount required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to be paid by them to the Agent (or any sub-agent thereof), the Lenders shall indemnify the Agent, any sub-agent thereof, the L/C Issuer and any Related Party, as the case may be ratably according to their Applicable Percentages, from and against any and all liabilities, obligations, losses, damages, penalties, actions, judgments, suits, costs, expenses or disbursements of any kind or nature whatsoever that may be imposed on, incurred by, or asserted against the Agent, any sub-agent thereof, the L/C Issuer and their Related Parties in any way relating to or arising out of this Agreement or any other Loan Document or any action taken or omitted to be taken by the Agent, any sub-agent thereof, the L/C Issuer and their Related Parties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any portion of such liabilities, obligations, losses, damages, penalties, actions, judgments, suits, costs, expenses or disbursements resulting from the Agent’s, any sub-agent’s, the L/C Issuer’s and their Related Parties’ gross negligence</w:t>
      </w:r>
    </w:p>
    <w:p>
      <w:pPr>
        <w:spacing w:after="0" w:line="2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or willful misconduct as determined by a final and nonappealable judgment of a court of competent jurisdiction.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9.15 Relation among Lenders</w:t>
      </w:r>
    </w:p>
    <w:p>
      <w:pPr>
        <w:spacing w:after="0" w:line="181" w:lineRule="exact"/>
        <w:rPr>
          <w:sz w:val="20"/>
          <w:szCs w:val="20"/>
          <w:color w:val="auto"/>
        </w:rPr>
      </w:pPr>
    </w:p>
    <w:p>
      <w:pPr>
        <w:ind w:right="440" w:firstLine="49"/>
        <w:spacing w:after="0" w:line="303" w:lineRule="auto"/>
        <w:rPr>
          <w:sz w:val="20"/>
          <w:szCs w:val="20"/>
          <w:color w:val="auto"/>
        </w:rPr>
      </w:pPr>
      <w:r>
        <w:rPr>
          <w:rFonts w:ascii="Arial" w:cs="Arial" w:eastAsia="Arial" w:hAnsi="Arial"/>
          <w:sz w:val="20"/>
          <w:szCs w:val="20"/>
          <w:color w:val="auto"/>
        </w:rPr>
        <w:t>The Lenders are not partners or co-venturers, and no Lender shall be liable for the acts or omissions of, or (except as otherwise set forth herein in case of the Agent) authorized to act for, any other Lender.</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9.16 [Reserved].</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9.17 Certain ERISA Matters.</w:t>
      </w:r>
    </w:p>
    <w:p>
      <w:pPr>
        <w:spacing w:after="0" w:line="181" w:lineRule="exact"/>
        <w:rPr>
          <w:sz w:val="20"/>
          <w:szCs w:val="20"/>
          <w:color w:val="auto"/>
        </w:rPr>
      </w:pPr>
    </w:p>
    <w:p>
      <w:pPr>
        <w:ind w:left="2800" w:hanging="1122"/>
        <w:spacing w:after="0"/>
        <w:tabs>
          <w:tab w:leader="none" w:pos="2800" w:val="left"/>
        </w:tabs>
        <w:numPr>
          <w:ilvl w:val="2"/>
          <w:numId w:val="143"/>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w:t>
      </w:r>
    </w:p>
    <w:p>
      <w:pPr>
        <w:spacing w:after="0" w:line="86" w:lineRule="exact"/>
        <w:rPr>
          <w:rFonts w:ascii="Arial" w:cs="Arial" w:eastAsia="Arial" w:hAnsi="Arial"/>
          <w:sz w:val="16"/>
          <w:szCs w:val="16"/>
          <w:color w:val="auto"/>
        </w:rPr>
      </w:pPr>
    </w:p>
    <w:p>
      <w:pPr>
        <w:jc w:val="both"/>
        <w:ind w:right="280" w:firstLine="8"/>
        <w:spacing w:after="0" w:line="292" w:lineRule="auto"/>
        <w:tabs>
          <w:tab w:leader="none" w:pos="2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covenants, from the date such Person became a Lender party hereto to the date such Person ceases being a Lender party hereto, for the benefit of, the Agent and not, for the avoidance of doubt, to or for the benefit of the Borrowers or any other Loan Party, that at least one of the following is and will be true:</w:t>
      </w:r>
    </w:p>
    <w:p>
      <w:pPr>
        <w:spacing w:after="0" w:line="119" w:lineRule="exact"/>
        <w:rPr>
          <w:rFonts w:ascii="Arial" w:cs="Arial" w:eastAsia="Arial" w:hAnsi="Arial"/>
          <w:sz w:val="20"/>
          <w:szCs w:val="20"/>
          <w:color w:val="auto"/>
        </w:rPr>
      </w:pPr>
    </w:p>
    <w:p>
      <w:pPr>
        <w:ind w:left="1600" w:right="240" w:hanging="187"/>
        <w:spacing w:after="0" w:line="292" w:lineRule="auto"/>
        <w:tabs>
          <w:tab w:leader="none" w:pos="1649" w:val="left"/>
        </w:tabs>
        <w:numPr>
          <w:ilvl w:val="1"/>
          <w:numId w:val="14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Plans with respect to such Lender’s entrance into, participation in, administration of and performance of the Loans, the Letters of Credit, the Commitments or this Agreement,</w:t>
      </w:r>
    </w:p>
    <w:p>
      <w:pPr>
        <w:spacing w:after="0" w:line="119" w:lineRule="exact"/>
        <w:rPr>
          <w:rFonts w:ascii="Arial" w:cs="Arial" w:eastAsia="Arial" w:hAnsi="Arial"/>
          <w:sz w:val="20"/>
          <w:szCs w:val="20"/>
          <w:color w:val="auto"/>
        </w:rPr>
      </w:pPr>
    </w:p>
    <w:p>
      <w:pPr>
        <w:ind w:left="1600" w:right="60" w:hanging="242"/>
        <w:spacing w:after="0" w:line="302" w:lineRule="auto"/>
        <w:tabs>
          <w:tab w:leader="none" w:pos="1649"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00" w:lineRule="exact"/>
        <w:rPr>
          <w:sz w:val="20"/>
          <w:szCs w:val="20"/>
          <w:color w:val="auto"/>
        </w:rPr>
      </w:pPr>
    </w:p>
    <w:p>
      <w:pPr>
        <w:ind w:left="1600" w:hanging="296"/>
        <w:spacing w:after="0" w:line="301" w:lineRule="auto"/>
        <w:rPr>
          <w:sz w:val="20"/>
          <w:szCs w:val="20"/>
          <w:color w:val="auto"/>
        </w:rPr>
      </w:pPr>
      <w:r>
        <w:rPr>
          <w:rFonts w:ascii="Arial" w:cs="Arial" w:eastAsia="Arial" w:hAnsi="Arial"/>
          <w:sz w:val="19"/>
          <w:szCs w:val="19"/>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16" w:lineRule="exact"/>
        <w:rPr>
          <w:sz w:val="20"/>
          <w:szCs w:val="20"/>
          <w:color w:val="auto"/>
        </w:rPr>
      </w:pPr>
    </w:p>
    <w:p>
      <w:pPr>
        <w:ind w:left="1600" w:right="240" w:hanging="285"/>
        <w:spacing w:after="0" w:line="303" w:lineRule="auto"/>
        <w:rPr>
          <w:sz w:val="20"/>
          <w:szCs w:val="20"/>
          <w:color w:val="auto"/>
        </w:rPr>
      </w:pPr>
      <w:r>
        <w:rPr>
          <w:rFonts w:ascii="Arial" w:cs="Arial" w:eastAsia="Arial" w:hAnsi="Arial"/>
          <w:sz w:val="20"/>
          <w:szCs w:val="20"/>
          <w:color w:val="auto"/>
        </w:rPr>
        <w:t>(iv)such other representation, warranty and covenant as may be agreed in writing between the Agent, in its sole discretion, and such Lender.</w:t>
      </w:r>
    </w:p>
    <w:p>
      <w:pPr>
        <w:spacing w:after="0" w:line="22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43" w:name="page144"/>
    <w:bookmarkEnd w:id="143"/>
    <w:p>
      <w:pPr>
        <w:ind w:left="1580" w:right="140" w:firstLine="799"/>
        <w:spacing w:after="0" w:line="352" w:lineRule="auto"/>
        <w:tabs>
          <w:tab w:leader="none" w:pos="297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w:t>
      </w:r>
    </w:p>
    <w:p>
      <w:pPr>
        <w:ind w:left="1580"/>
        <w:spacing w:after="0" w:line="321" w:lineRule="auto"/>
        <w:tabs>
          <w:tab w:leader="none" w:pos="191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Borrowers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9.18 Erroneous Payments.</w:t>
      </w:r>
    </w:p>
    <w:p>
      <w:pPr>
        <w:spacing w:after="0" w:line="181" w:lineRule="exact"/>
        <w:rPr>
          <w:sz w:val="20"/>
          <w:szCs w:val="20"/>
          <w:color w:val="auto"/>
        </w:rPr>
      </w:pPr>
    </w:p>
    <w:p>
      <w:pPr>
        <w:ind w:left="-20" w:right="40" w:firstLine="1678"/>
        <w:spacing w:after="0" w:line="316" w:lineRule="auto"/>
        <w:tabs>
          <w:tab w:leader="none" w:pos="277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Agent notifies a Lender, L/C Issuer or Credit Party, or any Person who has received funds on behalf of a Lender, L/C Issuer or Credit Party (any such Lender, L/C Issuer, Credit Party or other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that the Agent has determined in its sole discretion (whether or not after receipt of any notice under </w:t>
      </w:r>
      <w:r>
        <w:rPr>
          <w:rFonts w:ascii="Arial" w:cs="Arial" w:eastAsia="Arial" w:hAnsi="Arial"/>
          <w:sz w:val="18"/>
          <w:szCs w:val="18"/>
          <w:u w:val="single" w:color="auto"/>
          <w:color w:val="auto"/>
        </w:rPr>
        <w:t>Section 9.18(b)</w:t>
      </w:r>
      <w:r>
        <w:rPr>
          <w:rFonts w:ascii="Arial" w:cs="Arial" w:eastAsia="Arial" w:hAnsi="Arial"/>
          <w:sz w:val="18"/>
          <w:szCs w:val="18"/>
          <w:color w:val="auto"/>
        </w:rPr>
        <w:t>) that any funds received by such Payment Recipient from the Agent or any of its Affiliates were erroneously transmitted to, or otherwise erroneously or mistakenly received by, such Payment Recipient (whether or not known to such Lender, L/C Issuer, Credit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and demands the return of such Erroneous Payment (or a portion thereof), such Erroneous Payment shall at all times remain the property of the Agent and shall be segregated by the Payment Recipient and held in trust for the benefit of the Agent, and such Lender, L/C Issuer or Credit Party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Effective Rate and a rate determined by the Agent in accordance with banking industry rules on interbank compensation from time to time in effect. A notice of the Agent to any Payment Recipient under this </w:t>
      </w:r>
      <w:r>
        <w:rPr>
          <w:rFonts w:ascii="Arial" w:cs="Arial" w:eastAsia="Arial" w:hAnsi="Arial"/>
          <w:sz w:val="18"/>
          <w:szCs w:val="18"/>
          <w:u w:val="single" w:color="auto"/>
          <w:color w:val="auto"/>
        </w:rPr>
        <w:t>Section 9.18(a)</w:t>
      </w:r>
      <w:r>
        <w:rPr>
          <w:rFonts w:ascii="Arial" w:cs="Arial" w:eastAsia="Arial" w:hAnsi="Arial"/>
          <w:sz w:val="18"/>
          <w:szCs w:val="18"/>
          <w:color w:val="auto"/>
        </w:rPr>
        <w:t xml:space="preserve"> shall be conclusive, absent manifest error.</w:t>
      </w:r>
    </w:p>
    <w:p>
      <w:pPr>
        <w:spacing w:after="0" w:line="110" w:lineRule="exact"/>
        <w:rPr>
          <w:rFonts w:ascii="Arial" w:cs="Arial" w:eastAsia="Arial" w:hAnsi="Arial"/>
          <w:sz w:val="18"/>
          <w:szCs w:val="18"/>
          <w:color w:val="auto"/>
        </w:rPr>
      </w:pPr>
    </w:p>
    <w:p>
      <w:pPr>
        <w:ind w:left="-20" w:right="40" w:firstLine="1678"/>
        <w:spacing w:after="0" w:line="285" w:lineRule="auto"/>
        <w:tabs>
          <w:tab w:leader="none" w:pos="277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Section 9.18(a)</w:t>
      </w:r>
      <w:r>
        <w:rPr>
          <w:rFonts w:ascii="Arial" w:cs="Arial" w:eastAsia="Arial" w:hAnsi="Arial"/>
          <w:sz w:val="20"/>
          <w:szCs w:val="20"/>
          <w:color w:val="auto"/>
        </w:rPr>
        <w:t>, each Payment Recipient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Payment Recipient otherwise becomes aware was transmitted, or received, in error or by mistake (in whole or in part), in each case:</w:t>
      </w:r>
    </w:p>
    <w:p>
      <w:pPr>
        <w:spacing w:after="0" w:line="248"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144" w:name="page145"/>
    <w:bookmarkEnd w:id="144"/>
    <w:p>
      <w:pPr>
        <w:jc w:val="both"/>
        <w:ind w:left="2240" w:right="500" w:firstLine="1336"/>
        <w:spacing w:after="0" w:line="288" w:lineRule="auto"/>
        <w:tabs>
          <w:tab w:leader="none" w:pos="5034" w:val="left"/>
        </w:tabs>
        <w:numPr>
          <w:ilvl w:val="1"/>
          <w:numId w:val="148"/>
        </w:numPr>
        <w:rPr>
          <w:rFonts w:ascii="Arial" w:cs="Arial" w:eastAsia="Arial" w:hAnsi="Arial"/>
          <w:sz w:val="20"/>
          <w:szCs w:val="20"/>
          <w:color w:val="auto"/>
        </w:rPr>
      </w:pPr>
      <w:r>
        <w:rPr>
          <w:rFonts w:ascii="Arial" w:cs="Arial" w:eastAsia="Arial" w:hAnsi="Arial"/>
          <w:sz w:val="20"/>
          <w:szCs w:val="20"/>
          <w:color w:val="auto"/>
        </w:rPr>
        <w:t>in the case of immediately preceding clauses (x) or (y), an error shall be presumed to have been made (absent written confirmation from the Agent to the contrary) or in the case of immediately preceding clause (z), an error has been made, in each case, with respect to such payment, prepayment or repayment; and</w:t>
      </w:r>
    </w:p>
    <w:p>
      <w:pPr>
        <w:spacing w:after="0" w:line="124" w:lineRule="exact"/>
        <w:rPr>
          <w:rFonts w:ascii="Arial" w:cs="Arial" w:eastAsia="Arial" w:hAnsi="Arial"/>
          <w:sz w:val="20"/>
          <w:szCs w:val="20"/>
          <w:color w:val="auto"/>
        </w:rPr>
      </w:pPr>
    </w:p>
    <w:p>
      <w:pPr>
        <w:ind w:left="2240" w:right="100" w:firstLine="1290"/>
        <w:spacing w:after="0" w:line="329" w:lineRule="auto"/>
        <w:tabs>
          <w:tab w:leader="none" w:pos="503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such Lender, L/C Issuer or Credit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w:t>
      </w:r>
      <w:r>
        <w:rPr>
          <w:rFonts w:ascii="Arial" w:cs="Arial" w:eastAsia="Arial" w:hAnsi="Arial"/>
          <w:sz w:val="18"/>
          <w:szCs w:val="18"/>
          <w:u w:val="single" w:color="auto"/>
          <w:color w:val="auto"/>
        </w:rPr>
        <w:t>Section 9.18(b)</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0" w:right="20" w:firstLine="1678"/>
        <w:spacing w:after="0" w:line="288" w:lineRule="auto"/>
        <w:tabs>
          <w:tab w:leader="none" w:pos="277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Each Lender, L/C Issuer or Credit Party hereby authorizes the Agent to set off, net and apply any and all amounts at any time owing to such Lender, L/C Issuer or Credit Party under any Loan Document, or otherwise payable or distributable by the Agent to such Lender, L/C Issuer or Credit Party from any source, against any amount due to the Agent under </w:t>
      </w:r>
      <w:r>
        <w:rPr>
          <w:rFonts w:ascii="Arial" w:cs="Arial" w:eastAsia="Arial" w:hAnsi="Arial"/>
          <w:sz w:val="20"/>
          <w:szCs w:val="20"/>
          <w:u w:val="single" w:color="auto"/>
          <w:color w:val="auto"/>
        </w:rPr>
        <w:t>Section 9.18(a)</w:t>
      </w:r>
      <w:r>
        <w:rPr>
          <w:rFonts w:ascii="Arial" w:cs="Arial" w:eastAsia="Arial" w:hAnsi="Arial"/>
          <w:sz w:val="20"/>
          <w:szCs w:val="20"/>
          <w:color w:val="auto"/>
        </w:rPr>
        <w:t xml:space="preserve"> or under the indemnification provisions of this Agreement.</w:t>
      </w:r>
    </w:p>
    <w:p>
      <w:pPr>
        <w:spacing w:after="0" w:line="124" w:lineRule="exact"/>
        <w:rPr>
          <w:rFonts w:ascii="Arial" w:cs="Arial" w:eastAsia="Arial" w:hAnsi="Arial"/>
          <w:sz w:val="20"/>
          <w:szCs w:val="20"/>
          <w:color w:val="auto"/>
        </w:rPr>
      </w:pPr>
    </w:p>
    <w:p>
      <w:pPr>
        <w:ind w:left="-20" w:firstLine="1678"/>
        <w:spacing w:after="0" w:line="315" w:lineRule="auto"/>
        <w:tabs>
          <w:tab w:leader="none" w:pos="277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 the event that an Erroneous Payment (or portion thereof) is not recovered by the Agent for any reason, after demand therefor by the Agent in accordance with </w:t>
      </w:r>
      <w:r>
        <w:rPr>
          <w:rFonts w:ascii="Arial" w:cs="Arial" w:eastAsia="Arial" w:hAnsi="Arial"/>
          <w:sz w:val="18"/>
          <w:szCs w:val="18"/>
          <w:u w:val="single" w:color="auto"/>
          <w:color w:val="auto"/>
        </w:rPr>
        <w:t>Section 9.18(a)</w:t>
      </w:r>
      <w:r>
        <w:rPr>
          <w:rFonts w:ascii="Arial" w:cs="Arial" w:eastAsia="Arial" w:hAnsi="Arial"/>
          <w:sz w:val="18"/>
          <w:szCs w:val="18"/>
          <w:color w:val="auto"/>
        </w:rPr>
        <w:t>, from any Lender or L/C Issuer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upon the Agent’s notice to such Lender or L/C Issuer at any time, (i) such Lender or L/C Issuer shall be deemed to have assigned its Loans (but not its Commitments) with respect to which such Erroneous Payment was made (the “</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in an amount equal to the Erroneous Payment Return Deficiency (or such lesser amount as the Agent may specify) (such assignment of the Loans (but not Commitments) of the Erroneous Payment Impacted Class, the “</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at par plus any accrued and unpaid interest (with the assignment fee to be waived by the Agent in such instance), and is hereby (together with the Lead Borrower) deemed to execute and deliver an Assignment and Assumption with respect to such Erroneous Payment Deficiency Assignment, and such Lender or L/C Issuer shall deliver any Notes evidencing such Loans to the Lead Borrower or the Agent, (ii) the Agent as the assignee Lender shall be deemed to acquire the Erroneous Payment Deficiency Assignment, (iii) upon such deemed acquisition, the Agent as the assignee Lender shall become a Lender or L/C Issuer, as applicable, hereunder with respect to such Erroneous Payment Deficiency Assignment and the assigning Lender or assigning L/C Issuer shall cease to be a Lender or L/C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L/C Issuer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Agent shall retain all other rights, remedies and claims against such Lender or L/C Issuer (and/or against any recipient that receives funds on its respective behalf). For the avoidance of doubt, no Erroneous Payment Deficiency Assignment will reduce the Commitments of any Lender or L/C Issuer and such Commitments shall</w:t>
      </w:r>
    </w:p>
    <w:p>
      <w:pPr>
        <w:spacing w:after="0" w:line="233"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145" w:name="page146"/>
    <w:bookmarkEnd w:id="145"/>
    <w:p>
      <w:pPr>
        <w:ind w:right="160"/>
        <w:spacing w:after="0" w:line="287" w:lineRule="auto"/>
        <w:rPr>
          <w:sz w:val="20"/>
          <w:szCs w:val="20"/>
          <w:color w:val="auto"/>
        </w:rPr>
      </w:pPr>
      <w:r>
        <w:rPr>
          <w:rFonts w:ascii="Arial" w:cs="Arial" w:eastAsia="Arial" w:hAnsi="Arial"/>
          <w:sz w:val="20"/>
          <w:szCs w:val="20"/>
          <w:color w:val="auto"/>
        </w:rPr>
        <w:t>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Lender, L/C Issuer or Credit Party under the Loan Documents with respect to each Erroneous Payment Return Deficiency (the “</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Subrogation Rights</w:t>
      </w:r>
      <w:r>
        <w:rPr>
          <w:rFonts w:ascii="Arial" w:cs="Arial" w:eastAsia="Arial" w:hAnsi="Arial"/>
          <w:sz w:val="20"/>
          <w:szCs w:val="20"/>
          <w:color w:val="auto"/>
        </w:rPr>
        <w:t>”).</w:t>
      </w:r>
    </w:p>
    <w:p>
      <w:pPr>
        <w:spacing w:after="0" w:line="123" w:lineRule="exact"/>
        <w:rPr>
          <w:sz w:val="20"/>
          <w:szCs w:val="20"/>
          <w:color w:val="auto"/>
        </w:rPr>
      </w:pPr>
    </w:p>
    <w:p>
      <w:pPr>
        <w:jc w:val="both"/>
        <w:ind w:right="220" w:firstLine="1678"/>
        <w:spacing w:after="0" w:line="288" w:lineRule="auto"/>
        <w:tabs>
          <w:tab w:leader="none" w:pos="27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Agent from any Borrower or any other Loan Party for the purpose of making such Erroneous Payment.</w:t>
      </w:r>
    </w:p>
    <w:p>
      <w:pPr>
        <w:spacing w:after="0" w:line="111" w:lineRule="exact"/>
        <w:rPr>
          <w:rFonts w:ascii="Arial" w:cs="Arial" w:eastAsia="Arial" w:hAnsi="Arial"/>
          <w:sz w:val="20"/>
          <w:szCs w:val="20"/>
          <w:color w:val="auto"/>
        </w:rPr>
      </w:pPr>
    </w:p>
    <w:p>
      <w:pPr>
        <w:ind w:right="220" w:firstLine="1678"/>
        <w:spacing w:after="0" w:line="288" w:lineRule="auto"/>
        <w:tabs>
          <w:tab w:leader="none" w:pos="27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24" w:lineRule="exact"/>
        <w:rPr>
          <w:rFonts w:ascii="Arial" w:cs="Arial" w:eastAsia="Arial" w:hAnsi="Arial"/>
          <w:sz w:val="20"/>
          <w:szCs w:val="20"/>
          <w:color w:val="auto"/>
        </w:rPr>
      </w:pPr>
    </w:p>
    <w:p>
      <w:pPr>
        <w:ind w:right="120" w:firstLine="1678"/>
        <w:spacing w:after="0" w:line="314" w:lineRule="auto"/>
        <w:tabs>
          <w:tab w:leader="none" w:pos="279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Each party’s obligations, agreements and waivers under this </w:t>
      </w:r>
      <w:r>
        <w:rPr>
          <w:rFonts w:ascii="Arial" w:cs="Arial" w:eastAsia="Arial" w:hAnsi="Arial"/>
          <w:sz w:val="19"/>
          <w:szCs w:val="19"/>
          <w:u w:val="single" w:color="auto"/>
          <w:color w:val="auto"/>
        </w:rPr>
        <w:t>Section 9.18</w:t>
      </w:r>
      <w:r>
        <w:rPr>
          <w:rFonts w:ascii="Arial" w:cs="Arial" w:eastAsia="Arial" w:hAnsi="Arial"/>
          <w:sz w:val="19"/>
          <w:szCs w:val="19"/>
          <w:color w:val="auto"/>
        </w:rPr>
        <w:t xml:space="preserve"> shall survive the resignation or replacement of the Agent, any transfer of rights or obligations by, or the replacement of, a Lender or L/C Issuer, the termination of the Commitments and/or the repayment, satisfaction or discharge of all Obligations (or any portion thereof).</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X</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MISCELLANEOUS</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10.01 Amendments, Etc.</w:t>
      </w:r>
    </w:p>
    <w:p>
      <w:pPr>
        <w:spacing w:after="0" w:line="195" w:lineRule="exact"/>
        <w:rPr>
          <w:sz w:val="20"/>
          <w:szCs w:val="20"/>
          <w:color w:val="auto"/>
        </w:rPr>
      </w:pPr>
    </w:p>
    <w:p>
      <w:pPr>
        <w:ind w:firstLine="107"/>
        <w:spacing w:after="0" w:line="329" w:lineRule="auto"/>
        <w:tabs>
          <w:tab w:leader="none" w:pos="3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no amendment or waiver of any provision of this Agreement or any other Loan Document, and no Consent to any departure by any Loan Party therefrom, shall be effective unless in writing signed by the Agent, with the Consent of the Required Lenders, and the Lead Borrower or the applicable Loan Party, as the case may be,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93" w:lineRule="exact"/>
        <w:rPr>
          <w:rFonts w:ascii="Arial" w:cs="Arial" w:eastAsia="Arial" w:hAnsi="Arial"/>
          <w:sz w:val="18"/>
          <w:szCs w:val="18"/>
          <w:color w:val="auto"/>
        </w:rPr>
      </w:pPr>
    </w:p>
    <w:p>
      <w:pPr>
        <w:ind w:left="5140" w:hanging="1449"/>
        <w:spacing w:after="0"/>
        <w:tabs>
          <w:tab w:leader="none" w:pos="514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increase the Commitment of any Lender (or reinstate any Commitment</w:t>
      </w:r>
    </w:p>
    <w:p>
      <w:pPr>
        <w:spacing w:after="0" w:line="51"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20"/>
          <w:szCs w:val="20"/>
          <w:color w:val="auto"/>
        </w:rPr>
        <w:t xml:space="preserve">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w:t>
      </w:r>
    </w:p>
    <w:p>
      <w:pPr>
        <w:spacing w:after="0" w:line="175" w:lineRule="exact"/>
        <w:rPr>
          <w:rFonts w:ascii="Arial" w:cs="Arial" w:eastAsia="Arial" w:hAnsi="Arial"/>
          <w:sz w:val="19"/>
          <w:szCs w:val="19"/>
          <w:color w:val="auto"/>
        </w:rPr>
      </w:pPr>
    </w:p>
    <w:p>
      <w:pPr>
        <w:ind w:left="2340" w:right="20" w:firstLine="1305"/>
        <w:spacing w:after="0" w:line="325" w:lineRule="auto"/>
        <w:tabs>
          <w:tab w:leader="none" w:pos="513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as to any Lender, postpone any date fixed by this Agreement or any other Loan Document for (i) any scheduled payment (including the Maturity Date) of principal, interest, fees or other amounts due hereunder or under any of the other Loan Documents without the written Consent of such Lender, or (ii) any scheduled or mandatory reduction or termination of the Aggregate Revolving Commitments hereunder or under any other Loan Document, without the written Consent of such Lender;</w:t>
      </w:r>
    </w:p>
    <w:p>
      <w:pPr>
        <w:spacing w:after="0" w:line="97" w:lineRule="exact"/>
        <w:rPr>
          <w:rFonts w:ascii="Arial" w:cs="Arial" w:eastAsia="Arial" w:hAnsi="Arial"/>
          <w:sz w:val="18"/>
          <w:szCs w:val="18"/>
          <w:color w:val="auto"/>
        </w:rPr>
      </w:pPr>
    </w:p>
    <w:p>
      <w:pPr>
        <w:ind w:left="5140" w:hanging="1541"/>
        <w:spacing w:after="0"/>
        <w:tabs>
          <w:tab w:leader="none" w:pos="5140" w:val="left"/>
        </w:tabs>
        <w:numPr>
          <w:ilvl w:val="2"/>
          <w:numId w:val="151"/>
        </w:numPr>
        <w:rPr>
          <w:rFonts w:ascii="Arial" w:cs="Arial" w:eastAsia="Arial" w:hAnsi="Arial"/>
          <w:sz w:val="19"/>
          <w:szCs w:val="19"/>
          <w:color w:val="auto"/>
        </w:rPr>
      </w:pPr>
      <w:r>
        <w:rPr>
          <w:rFonts w:ascii="Arial" w:cs="Arial" w:eastAsia="Arial" w:hAnsi="Arial"/>
          <w:sz w:val="19"/>
          <w:szCs w:val="19"/>
          <w:color w:val="auto"/>
        </w:rPr>
        <w:t>as to any Lender, reduce the principal of, or the rate of interest specified</w:t>
      </w:r>
    </w:p>
    <w:p>
      <w:pPr>
        <w:spacing w:after="0" w:line="51"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20"/>
          <w:szCs w:val="20"/>
          <w:color w:val="auto"/>
        </w:rPr>
        <w:t>herein on, any Loan or L/C Borrowing held by such Lender, or (subject to clause (iv) of the</w:t>
      </w:r>
    </w:p>
    <w:p>
      <w:pPr>
        <w:spacing w:after="0" w:line="3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46" w:name="page147"/>
    <w:bookmarkEnd w:id="146"/>
    <w:p>
      <w:pPr>
        <w:ind w:left="2320"/>
        <w:spacing w:after="0" w:line="288" w:lineRule="auto"/>
        <w:rPr>
          <w:sz w:val="20"/>
          <w:szCs w:val="20"/>
          <w:color w:val="auto"/>
        </w:rPr>
      </w:pPr>
      <w:r>
        <w:rPr>
          <w:rFonts w:ascii="Arial" w:cs="Arial" w:eastAsia="Arial" w:hAnsi="Arial"/>
          <w:sz w:val="20"/>
          <w:szCs w:val="20"/>
          <w:color w:val="auto"/>
        </w:rPr>
        <w:t xml:space="preserve">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fees or other amounts payable hereunder or under any other Loan Document to or for the account of such Lender, without the written Consent of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to waive any obligation of the Borrowers to pay interest or Letter of Credit Fees at the Default Rate.</w:t>
      </w:r>
    </w:p>
    <w:p>
      <w:pPr>
        <w:spacing w:after="0" w:line="125" w:lineRule="exact"/>
        <w:rPr>
          <w:sz w:val="20"/>
          <w:szCs w:val="20"/>
          <w:color w:val="auto"/>
        </w:rPr>
      </w:pPr>
    </w:p>
    <w:p>
      <w:pPr>
        <w:jc w:val="both"/>
        <w:ind w:left="2320" w:right="500" w:firstLine="1268"/>
        <w:spacing w:after="0" w:line="438" w:lineRule="auto"/>
        <w:tabs>
          <w:tab w:leader="none" w:pos="511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as to any Lender, change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such Lender;</w:t>
      </w:r>
    </w:p>
    <w:p>
      <w:pPr>
        <w:spacing w:after="0" w:line="3" w:lineRule="exact"/>
        <w:rPr>
          <w:rFonts w:ascii="Arial" w:cs="Arial" w:eastAsia="Arial" w:hAnsi="Arial"/>
          <w:sz w:val="16"/>
          <w:szCs w:val="16"/>
          <w:color w:val="auto"/>
        </w:rPr>
      </w:pPr>
    </w:p>
    <w:p>
      <w:pPr>
        <w:ind w:left="2320" w:right="380" w:firstLine="1314"/>
        <w:spacing w:after="0" w:line="305" w:lineRule="auto"/>
        <w:tabs>
          <w:tab w:leader="none" w:pos="511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change any provision of this Section or the definition of “Required Lenders”, “Required Supermajority Lenders” or any other provision hereof or of any Loan Document specifying the number or percentage of Lenders required to amend, waive or otherwise modify any rights hereunder or under any other Loan Document or make any determination or grant any consent hereunder or thereunder, without the written Consent of each Lender;</w:t>
      </w:r>
    </w:p>
    <w:p>
      <w:pPr>
        <w:spacing w:after="0" w:line="110" w:lineRule="exact"/>
        <w:rPr>
          <w:rFonts w:ascii="Arial" w:cs="Arial" w:eastAsia="Arial" w:hAnsi="Arial"/>
          <w:sz w:val="19"/>
          <w:szCs w:val="19"/>
          <w:color w:val="auto"/>
        </w:rPr>
      </w:pPr>
    </w:p>
    <w:p>
      <w:pPr>
        <w:ind w:left="5120" w:hanging="1532"/>
        <w:spacing w:after="0"/>
        <w:tabs>
          <w:tab w:leader="none" w:pos="51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except as expressly permitted hereunder or under any other Loan Document,</w:t>
      </w:r>
    </w:p>
    <w:p>
      <w:pPr>
        <w:spacing w:after="0" w:line="86" w:lineRule="exact"/>
        <w:rPr>
          <w:rFonts w:ascii="Arial" w:cs="Arial" w:eastAsia="Arial" w:hAnsi="Arial"/>
          <w:sz w:val="16"/>
          <w:szCs w:val="16"/>
          <w:color w:val="auto"/>
        </w:rPr>
      </w:pPr>
    </w:p>
    <w:p>
      <w:pPr>
        <w:ind w:left="2320"/>
        <w:spacing w:after="0"/>
        <w:rPr>
          <w:rFonts w:ascii="Arial" w:cs="Arial" w:eastAsia="Arial" w:hAnsi="Arial"/>
          <w:sz w:val="16"/>
          <w:szCs w:val="16"/>
          <w:color w:val="auto"/>
        </w:rPr>
      </w:pPr>
      <w:r>
        <w:rPr>
          <w:rFonts w:ascii="Arial" w:cs="Arial" w:eastAsia="Arial" w:hAnsi="Arial"/>
          <w:sz w:val="20"/>
          <w:szCs w:val="20"/>
          <w:color w:val="auto"/>
        </w:rPr>
        <w:t>release, or limit the liability of, any Loan Party without the written Consent of each Lender;</w:t>
      </w:r>
    </w:p>
    <w:p>
      <w:pPr>
        <w:spacing w:after="0" w:line="188" w:lineRule="exact"/>
        <w:rPr>
          <w:rFonts w:ascii="Arial" w:cs="Arial" w:eastAsia="Arial" w:hAnsi="Arial"/>
          <w:sz w:val="16"/>
          <w:szCs w:val="16"/>
          <w:color w:val="auto"/>
        </w:rPr>
      </w:pPr>
    </w:p>
    <w:p>
      <w:pPr>
        <w:ind w:left="2320" w:right="120" w:firstLine="1223"/>
        <w:spacing w:after="0" w:line="292" w:lineRule="auto"/>
        <w:tabs>
          <w:tab w:leader="none" w:pos="511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except for Permitted Dispositions or as provided in </w:t>
      </w:r>
      <w:r>
        <w:rPr>
          <w:rFonts w:ascii="Arial" w:cs="Arial" w:eastAsia="Arial" w:hAnsi="Arial"/>
          <w:sz w:val="20"/>
          <w:szCs w:val="20"/>
          <w:u w:val="single" w:color="auto"/>
          <w:color w:val="auto"/>
        </w:rPr>
        <w:t>Section 9.10</w:t>
      </w:r>
      <w:r>
        <w:rPr>
          <w:rFonts w:ascii="Arial" w:cs="Arial" w:eastAsia="Arial" w:hAnsi="Arial"/>
          <w:sz w:val="20"/>
          <w:szCs w:val="20"/>
          <w:color w:val="auto"/>
        </w:rPr>
        <w:t>, release all or substantially all of the Collateral from the Liens of the Security Documents without the written Consent of each Lender;</w:t>
      </w:r>
    </w:p>
    <w:p>
      <w:pPr>
        <w:spacing w:after="0" w:line="105" w:lineRule="exact"/>
        <w:rPr>
          <w:rFonts w:ascii="Arial" w:cs="Arial" w:eastAsia="Arial" w:hAnsi="Arial"/>
          <w:sz w:val="20"/>
          <w:szCs w:val="20"/>
          <w:color w:val="auto"/>
        </w:rPr>
      </w:pPr>
    </w:p>
    <w:p>
      <w:pPr>
        <w:ind w:left="5120" w:hanging="1623"/>
        <w:spacing w:after="0"/>
        <w:tabs>
          <w:tab w:leader="none" w:pos="512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increase the Aggregate Revolving</w:t>
      </w:r>
    </w:p>
    <w:p>
      <w:pPr>
        <w:spacing w:after="0" w:line="51" w:lineRule="exact"/>
        <w:rPr>
          <w:rFonts w:ascii="Arial" w:cs="Arial" w:eastAsia="Arial" w:hAnsi="Arial"/>
          <w:sz w:val="19"/>
          <w:szCs w:val="19"/>
          <w:color w:val="auto"/>
        </w:rPr>
      </w:pPr>
    </w:p>
    <w:p>
      <w:pPr>
        <w:ind w:left="2320"/>
        <w:spacing w:after="0"/>
        <w:rPr>
          <w:rFonts w:ascii="Arial" w:cs="Arial" w:eastAsia="Arial" w:hAnsi="Arial"/>
          <w:sz w:val="19"/>
          <w:szCs w:val="19"/>
          <w:color w:val="auto"/>
        </w:rPr>
      </w:pPr>
      <w:r>
        <w:rPr>
          <w:rFonts w:ascii="Arial" w:cs="Arial" w:eastAsia="Arial" w:hAnsi="Arial"/>
          <w:sz w:val="20"/>
          <w:szCs w:val="20"/>
          <w:color w:val="auto"/>
        </w:rPr>
        <w:t>Commitments without the written Consent of each Revolving Lender;</w:t>
      </w:r>
    </w:p>
    <w:p>
      <w:pPr>
        <w:spacing w:after="0" w:line="189" w:lineRule="exact"/>
        <w:rPr>
          <w:sz w:val="20"/>
          <w:szCs w:val="20"/>
          <w:color w:val="auto"/>
        </w:rPr>
      </w:pPr>
    </w:p>
    <w:p>
      <w:pPr>
        <w:ind w:left="2320" w:right="200" w:firstLine="1268"/>
        <w:spacing w:after="0" w:line="284" w:lineRule="auto"/>
        <w:tabs>
          <w:tab w:leader="none" w:pos="511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increase any advance rate percentage set forth in the definition of the term “Borrowing Base” without the written Consent of each Lender or otherwise change the definition of the term “Borrowing Base” or any component definition thereof if as a result thereof the amounts available to be borrowed by the Borrowers would be increased without the written Consent of the Required Supermajority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(i) limit the discretion of the Agent to change, establish or eliminate any Reserves; or (ii) prevent the Agent from restoring any component of the Borrowing Base which had been lowered by the Agent back to the value of such component, as stated in this Agreement or to an intermediate value;</w:t>
      </w:r>
    </w:p>
    <w:p>
      <w:pPr>
        <w:spacing w:after="0" w:line="131" w:lineRule="exact"/>
        <w:rPr>
          <w:rFonts w:ascii="Arial" w:cs="Arial" w:eastAsia="Arial" w:hAnsi="Arial"/>
          <w:sz w:val="20"/>
          <w:szCs w:val="20"/>
          <w:color w:val="auto"/>
        </w:rPr>
      </w:pPr>
    </w:p>
    <w:p>
      <w:pPr>
        <w:ind w:left="2320" w:right="20" w:firstLine="1314"/>
        <w:spacing w:after="0" w:line="314" w:lineRule="auto"/>
        <w:tabs>
          <w:tab w:leader="none" w:pos="511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modify the definition of Permitted Overadvance so as to increase the amount permitted thereby or, except as otherwise provided in such definitions, the time period for which a Permitted Overadvance may remain outstanding without the written Consent of each Lender; and</w:t>
      </w:r>
    </w:p>
    <w:p>
      <w:pPr>
        <w:spacing w:after="0" w:line="87" w:lineRule="exact"/>
        <w:rPr>
          <w:rFonts w:ascii="Arial" w:cs="Arial" w:eastAsia="Arial" w:hAnsi="Arial"/>
          <w:sz w:val="19"/>
          <w:szCs w:val="19"/>
          <w:color w:val="auto"/>
        </w:rPr>
      </w:pPr>
    </w:p>
    <w:p>
      <w:pPr>
        <w:ind w:left="2320" w:right="260" w:firstLine="1268"/>
        <w:spacing w:after="0" w:line="338" w:lineRule="auto"/>
        <w:tabs>
          <w:tab w:leader="none" w:pos="51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expressly permitted herein or in any other Loan Document, subordinate the Obligations hereunder or the Liens granted hereunder or under the other Loan Documents, to any other Indebtedness or Lien, as the case may be without the written Consent of each Lender;</w:t>
      </w:r>
    </w:p>
    <w:p>
      <w:pPr>
        <w:spacing w:after="0" w:line="205"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147" w:name="page148"/>
    <w:bookmarkEnd w:id="147"/>
    <w:p>
      <w:pPr>
        <w:ind w:right="40"/>
        <w:spacing w:after="0" w:line="31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L/C Issuer in addition to the Lenders required above, affect the rights or duties of the L/C Issuer under this Agreement or any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Agent in addition to the Lenders required above, affect the rights or duties of any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08" w:lineRule="exact"/>
        <w:rPr>
          <w:sz w:val="20"/>
          <w:szCs w:val="20"/>
          <w:color w:val="auto"/>
        </w:rPr>
      </w:pPr>
    </w:p>
    <w:p>
      <w:pPr>
        <w:ind w:left="340" w:hanging="230"/>
        <w:spacing w:after="0" w:line="352" w:lineRule="auto"/>
        <w:rPr>
          <w:sz w:val="20"/>
          <w:szCs w:val="20"/>
          <w:color w:val="auto"/>
        </w:rPr>
      </w:pPr>
      <w:r>
        <w:rPr>
          <w:rFonts w:ascii="Arial" w:cs="Arial" w:eastAsia="Arial" w:hAnsi="Arial"/>
          <w:sz w:val="16"/>
          <w:szCs w:val="16"/>
          <w:color w:val="auto"/>
        </w:rPr>
        <w:t>(b)Notwithstanding anything to the contrary in this Agreement or any other Loan Document, (x)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any Loan Party, and (y) any Loan Document may be amended and waived with the consent of the Agent at the request of the Lead Borrower without the need to obtain the consent of any other Lender if such amendment or waiver is delivered in order (i) to comply with local Law or advice of local counsel,</w:t>
      </w:r>
    </w:p>
    <w:p>
      <w:pPr>
        <w:spacing w:after="0" w:line="1" w:lineRule="exact"/>
        <w:rPr>
          <w:sz w:val="20"/>
          <w:szCs w:val="20"/>
          <w:color w:val="auto"/>
        </w:rPr>
      </w:pPr>
    </w:p>
    <w:p>
      <w:pPr>
        <w:ind w:left="340" w:right="860" w:hanging="7"/>
        <w:spacing w:after="0" w:line="303" w:lineRule="auto"/>
        <w:tabs>
          <w:tab w:leader="none" w:pos="63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to cure ambiguities or defects or (iii) to cause any Loan Document to be consistent with this Agreement and the other Loan Documents.</w:t>
      </w:r>
    </w:p>
    <w:p>
      <w:pPr>
        <w:spacing w:after="0" w:line="94" w:lineRule="exact"/>
        <w:rPr>
          <w:sz w:val="20"/>
          <w:szCs w:val="20"/>
          <w:color w:val="auto"/>
        </w:rPr>
      </w:pPr>
    </w:p>
    <w:p>
      <w:pPr>
        <w:ind w:left="320" w:right="20" w:hanging="219"/>
        <w:spacing w:after="0" w:line="287" w:lineRule="auto"/>
        <w:rPr>
          <w:sz w:val="20"/>
          <w:szCs w:val="20"/>
          <w:color w:val="auto"/>
        </w:rPr>
      </w:pPr>
      <w:r>
        <w:rPr>
          <w:rFonts w:ascii="Arial" w:cs="Arial" w:eastAsia="Arial" w:hAnsi="Arial"/>
          <w:sz w:val="20"/>
          <w:szCs w:val="20"/>
          <w:color w:val="auto"/>
        </w:rPr>
        <w:t xml:space="preserve">(c)If any Lender does not Consent (a “Non-Consenting Lender”) to a proposed amendment, waiver, consent or release with respect to any Loan Document that requires the Consent of each Lender and that has been approved by the Required Lenders, the Lead Borrower may replace such Non-Consenting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 waiver, consent or release can be effected as a result of the assignment contemplated by such Section (together with all other such assignments required by the Lead Borrower to be made pursuant to this paragraph).</w:t>
      </w:r>
    </w:p>
    <w:p>
      <w:pPr>
        <w:spacing w:after="0" w:line="123" w:lineRule="exact"/>
        <w:rPr>
          <w:sz w:val="20"/>
          <w:szCs w:val="20"/>
          <w:color w:val="auto"/>
        </w:rPr>
      </w:pPr>
    </w:p>
    <w:p>
      <w:pPr>
        <w:ind w:left="340" w:right="20" w:hanging="230"/>
        <w:spacing w:after="0" w:line="323" w:lineRule="auto"/>
        <w:rPr>
          <w:sz w:val="20"/>
          <w:szCs w:val="20"/>
          <w:color w:val="auto"/>
        </w:rPr>
      </w:pPr>
      <w:r>
        <w:rPr>
          <w:rFonts w:ascii="Arial" w:cs="Arial" w:eastAsia="Arial" w:hAnsi="Arial"/>
          <w:sz w:val="18"/>
          <w:szCs w:val="18"/>
          <w:color w:val="auto"/>
        </w:rPr>
        <w:t>(d)Notwithstanding any provision herein to the contrary, this Agreement may be amended with the written consent of the Required Lenders, the Agent and the Borrowers (i) to add one or more additional revolving credit or term loan facilities to this Agreement, and to permit the extensions of credit and all related obligations and liabilities arising in connection therewith from time to time outstanding to share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Agent and approved by the Lenders, the Lenders providing such</w:t>
      </w:r>
    </w:p>
    <w:p>
      <w:pPr>
        <w:spacing w:after="0" w:line="21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48" w:name="page149"/>
    <w:bookmarkEnd w:id="148"/>
    <w:p>
      <w:pPr>
        <w:ind w:left="100" w:right="440"/>
        <w:spacing w:after="0" w:line="303" w:lineRule="auto"/>
        <w:rPr>
          <w:sz w:val="20"/>
          <w:szCs w:val="20"/>
          <w:color w:val="auto"/>
        </w:rPr>
      </w:pPr>
      <w:r>
        <w:rPr>
          <w:rFonts w:ascii="Arial" w:cs="Arial" w:eastAsia="Arial" w:hAnsi="Arial"/>
          <w:sz w:val="20"/>
          <w:szCs w:val="20"/>
          <w:color w:val="auto"/>
        </w:rPr>
        <w:t>additional credit facilities to participate in any required vote or action required to be approved by the Required Lenders or by any other number, percentage or class of Lenders hereunder.</w:t>
      </w:r>
    </w:p>
    <w:p>
      <w:pPr>
        <w:spacing w:after="0" w:line="10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10.02 Notices; Effectiveness; Electronic Communications</w:t>
      </w:r>
      <w:r>
        <w:rPr>
          <w:rFonts w:ascii="Arial" w:cs="Arial" w:eastAsia="Arial" w:hAnsi="Arial"/>
          <w:sz w:val="20"/>
          <w:szCs w:val="20"/>
          <w:color w:val="auto"/>
        </w:rPr>
        <w:t>.</w:t>
      </w:r>
    </w:p>
    <w:p>
      <w:pPr>
        <w:spacing w:after="0" w:line="181" w:lineRule="exact"/>
        <w:rPr>
          <w:sz w:val="20"/>
          <w:szCs w:val="20"/>
          <w:color w:val="auto"/>
        </w:rPr>
      </w:pPr>
    </w:p>
    <w:p>
      <w:pPr>
        <w:ind w:left="320" w:right="80" w:hanging="219"/>
        <w:spacing w:after="0" w:line="329"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94" w:lineRule="exact"/>
        <w:rPr>
          <w:sz w:val="20"/>
          <w:szCs w:val="20"/>
          <w:color w:val="auto"/>
        </w:rPr>
      </w:pPr>
    </w:p>
    <w:p>
      <w:pPr>
        <w:ind w:left="2340" w:firstLine="1351"/>
        <w:spacing w:after="0" w:line="292" w:lineRule="auto"/>
        <w:tabs>
          <w:tab w:leader="none" w:pos="513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if to the Loan Parties, the Agent, the L/C Issuer or the Swing Line Lender, to the address, telecopier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19" w:lineRule="exact"/>
        <w:rPr>
          <w:rFonts w:ascii="Arial" w:cs="Arial" w:eastAsia="Arial" w:hAnsi="Arial"/>
          <w:sz w:val="20"/>
          <w:szCs w:val="20"/>
          <w:color w:val="auto"/>
        </w:rPr>
      </w:pPr>
    </w:p>
    <w:p>
      <w:pPr>
        <w:ind w:left="5140" w:hanging="1495"/>
        <w:spacing w:after="0"/>
        <w:tabs>
          <w:tab w:leader="none" w:pos="51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to any other Lender, to the address, telecopier number, electronic mail</w:t>
      </w:r>
    </w:p>
    <w:p>
      <w:pPr>
        <w:spacing w:after="0" w:line="51" w:lineRule="exact"/>
        <w:rPr>
          <w:rFonts w:ascii="Arial" w:cs="Arial" w:eastAsia="Arial" w:hAnsi="Arial"/>
          <w:sz w:val="19"/>
          <w:szCs w:val="19"/>
          <w:color w:val="auto"/>
        </w:rPr>
      </w:pPr>
    </w:p>
    <w:p>
      <w:pPr>
        <w:ind w:left="2340"/>
        <w:spacing w:after="0"/>
        <w:rPr>
          <w:rFonts w:ascii="Arial" w:cs="Arial" w:eastAsia="Arial" w:hAnsi="Arial"/>
          <w:sz w:val="19"/>
          <w:szCs w:val="19"/>
          <w:color w:val="auto"/>
        </w:rPr>
      </w:pPr>
      <w:r>
        <w:rPr>
          <w:rFonts w:ascii="Arial" w:cs="Arial" w:eastAsia="Arial" w:hAnsi="Arial"/>
          <w:sz w:val="20"/>
          <w:szCs w:val="20"/>
          <w:color w:val="auto"/>
        </w:rPr>
        <w:t>address or telephone number specified in its Administrative Questionnaire.</w:t>
      </w:r>
    </w:p>
    <w:p>
      <w:pPr>
        <w:spacing w:after="0" w:line="175" w:lineRule="exact"/>
        <w:rPr>
          <w:sz w:val="20"/>
          <w:szCs w:val="20"/>
          <w:color w:val="auto"/>
        </w:rPr>
      </w:pPr>
    </w:p>
    <w:p>
      <w:pPr>
        <w:ind w:right="180"/>
        <w:spacing w:after="0" w:line="305"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10" w:lineRule="exact"/>
        <w:rPr>
          <w:sz w:val="20"/>
          <w:szCs w:val="20"/>
          <w:color w:val="auto"/>
        </w:rPr>
      </w:pPr>
    </w:p>
    <w:p>
      <w:pPr>
        <w:ind w:left="340" w:right="60" w:hanging="230"/>
        <w:spacing w:after="0" w:line="267" w:lineRule="exact"/>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Lenders and the L/C Issuer hereunder may be delivered or furnished by electronic communication (including e</w:t>
      </w:r>
      <w:r>
        <w:rPr>
          <w:rFonts w:ascii="MS PGothic" w:cs="MS PGothic" w:eastAsia="MS PGothic" w:hAnsi="MS PGothic"/>
          <w:sz w:val="20"/>
          <w:szCs w:val="20"/>
          <w:color w:val="auto"/>
        </w:rPr>
        <w:t>‑</w:t>
      </w:r>
      <w:r>
        <w:rPr>
          <w:rFonts w:ascii="Arial" w:cs="Arial" w:eastAsia="Arial" w:hAnsi="Arial"/>
          <w:sz w:val="20"/>
          <w:szCs w:val="20"/>
          <w:color w:val="auto"/>
        </w:rPr>
        <w:t xml:space="preserve">mail and Internet or intranet websites) pursuant to procedures approved by the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the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the L/C Issuer, as applicable, has notified the Agent that it is incapable of receiving notices under such Article by electronic communication. The Agent or the Lead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approval of such procedures may be limited to particular notices or communications.</w:t>
      </w:r>
    </w:p>
    <w:p>
      <w:pPr>
        <w:spacing w:after="0" w:line="174" w:lineRule="exact"/>
        <w:rPr>
          <w:sz w:val="20"/>
          <w:szCs w:val="20"/>
          <w:color w:val="auto"/>
        </w:rPr>
      </w:pPr>
    </w:p>
    <w:p>
      <w:pPr>
        <w:spacing w:after="0" w:line="321" w:lineRule="auto"/>
        <w:rPr>
          <w:sz w:val="20"/>
          <w:szCs w:val="20"/>
          <w:color w:val="auto"/>
        </w:rPr>
      </w:pPr>
      <w:r>
        <w:rPr>
          <w:rFonts w:ascii="Arial" w:cs="Arial" w:eastAsia="Arial" w:hAnsi="Arial"/>
          <w:sz w:val="18"/>
          <w:szCs w:val="18"/>
          <w:color w:val="auto"/>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49" w:name="page150"/>
    <w:bookmarkEnd w:id="149"/>
    <w:p>
      <w:pPr>
        <w:ind w:left="312" w:right="20" w:hanging="219"/>
        <w:spacing w:after="0" w:line="284"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 or any of its Related Parties (collectively, the “Agent Parties”) have any liability to any Loan Party, any Lender, the L/C Issuer or any other Person for losses, claims, damages, liabilities or expenses of any kind (whether in tort, contract or otherwise) arising out of the Loan Parties’ or the Agent’s transmission of Borrower Materials through the Internet.</w:t>
      </w:r>
    </w:p>
    <w:p>
      <w:pPr>
        <w:spacing w:after="0" w:line="127" w:lineRule="exact"/>
        <w:rPr>
          <w:sz w:val="20"/>
          <w:szCs w:val="20"/>
          <w:color w:val="auto"/>
        </w:rPr>
      </w:pPr>
    </w:p>
    <w:p>
      <w:pPr>
        <w:ind w:left="332" w:right="60" w:hanging="230"/>
        <w:spacing w:after="0" w:line="299" w:lineRule="auto"/>
        <w:rPr>
          <w:sz w:val="20"/>
          <w:szCs w:val="20"/>
          <w:color w:val="auto"/>
        </w:rPr>
      </w:pPr>
      <w:r>
        <w:rPr>
          <w:rFonts w:ascii="Arial" w:cs="Arial" w:eastAsia="Arial" w:hAnsi="Arial"/>
          <w:sz w:val="19"/>
          <w:szCs w:val="19"/>
          <w:color w:val="auto"/>
        </w:rPr>
        <w:t>(d)</w:t>
      </w: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the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Lead Borrower, the Agent, the L/C Issuer and the Swing Line Lender. In addition, each Lender agrees to notify the Agent from time to time to ensure that the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109" w:lineRule="exact"/>
        <w:rPr>
          <w:sz w:val="20"/>
          <w:szCs w:val="20"/>
          <w:color w:val="auto"/>
        </w:rPr>
      </w:pPr>
    </w:p>
    <w:p>
      <w:pPr>
        <w:ind w:left="312" w:right="20" w:hanging="219"/>
        <w:spacing w:after="0" w:line="301" w:lineRule="auto"/>
        <w:rPr>
          <w:sz w:val="20"/>
          <w:szCs w:val="20"/>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Reliance by Agent, L/C Issuer and Lenders</w:t>
      </w:r>
      <w:r>
        <w:rPr>
          <w:rFonts w:ascii="Arial" w:cs="Arial" w:eastAsia="Arial" w:hAnsi="Arial"/>
          <w:sz w:val="19"/>
          <w:szCs w:val="19"/>
          <w:color w:val="auto"/>
        </w:rPr>
        <w:t>. The Agent, the L/C Issuer and the Lenders shall be entitled to rely and act upon any notices (including telephonic Committed Loan Notices and Swing 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Agent, the L/C Issuer, each Lender and the Related Parties of each of them from all losses, costs, expenses and liabilities resulting from the reliance by such Person on each notice purportedly given by or on behalf of the Loan Parties. All telephonic notices to and other telephonic communications with the Agent may be recorded by the Agent, and each of the parties hereto hereby consents to such recording.</w:t>
      </w:r>
    </w:p>
    <w:p>
      <w:pPr>
        <w:spacing w:after="0" w:line="110"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10.03 No Waiver; Cumulative Remedies</w:t>
      </w:r>
    </w:p>
    <w:p>
      <w:pPr>
        <w:spacing w:after="0" w:line="195" w:lineRule="exact"/>
        <w:rPr>
          <w:sz w:val="20"/>
          <w:szCs w:val="20"/>
          <w:color w:val="auto"/>
        </w:rPr>
      </w:pPr>
    </w:p>
    <w:p>
      <w:pPr>
        <w:ind w:left="-8" w:firstLine="8"/>
        <w:spacing w:after="0" w:line="314" w:lineRule="auto"/>
        <w:tabs>
          <w:tab w:leader="none" w:pos="1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 failure by any Credit Party to exercise, and no delay by any such Person in exercising, any right, remedy, power or privilege hereunder shall operate as a waiver thereof; nor shall any single or partial exercise of any right, remedy, power or privilege hereunder or under any other Loan Document preclude any other or further exercise thereof or the exercise of any other right, remedy, power or</w:t>
      </w:r>
    </w:p>
    <w:p>
      <w:pPr>
        <w:spacing w:after="0" w:line="209"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06" w:right="339" w:bottom="1440" w:gutter="0" w:footer="0" w:header="0"/>
        </w:sectPr>
      </w:pPr>
    </w:p>
    <w:bookmarkStart w:id="150" w:name="page151"/>
    <w:bookmarkEnd w:id="150"/>
    <w:p>
      <w:pPr>
        <w:ind w:right="20"/>
        <w:spacing w:after="0" w:line="288" w:lineRule="auto"/>
        <w:rPr>
          <w:sz w:val="20"/>
          <w:szCs w:val="20"/>
          <w:color w:val="auto"/>
        </w:rPr>
      </w:pPr>
      <w:r>
        <w:rPr>
          <w:rFonts w:ascii="Arial" w:cs="Arial" w:eastAsia="Arial" w:hAnsi="Arial"/>
          <w:sz w:val="20"/>
          <w:szCs w:val="20"/>
          <w:color w:val="auto"/>
        </w:rPr>
        <w:t>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spacing w:after="0" w:line="125"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(a) the Agent from exercising on its own behalf the rights and remedies that inure to its benefit (solely in its capacity as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or (c)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Agent hereunder and under the other Loan Documents, then (i) the Required Lenders shall have the rights otherwise ascribed to the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10.04 Expenses; Indemnity; Damage Waiver</w:t>
      </w:r>
      <w:r>
        <w:rPr>
          <w:rFonts w:ascii="Arial" w:cs="Arial" w:eastAsia="Arial" w:hAnsi="Arial"/>
          <w:sz w:val="20"/>
          <w:szCs w:val="20"/>
          <w:color w:val="auto"/>
        </w:rPr>
        <w:t>.</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w:t>
      </w:r>
      <w:r>
        <w:rPr>
          <w:rFonts w:ascii="Arial" w:cs="Arial" w:eastAsia="Arial" w:hAnsi="Arial"/>
          <w:sz w:val="20"/>
          <w:szCs w:val="20"/>
          <w:u w:val="single" w:color="auto"/>
          <w:color w:val="auto"/>
        </w:rPr>
        <w:t>Costs and Expenses</w:t>
      </w:r>
      <w:r>
        <w:rPr>
          <w:rFonts w:ascii="Arial" w:cs="Arial" w:eastAsia="Arial" w:hAnsi="Arial"/>
          <w:sz w:val="20"/>
          <w:szCs w:val="20"/>
          <w:color w:val="auto"/>
        </w:rPr>
        <w:t>. The Borrowers shall pay all Credit Party Expenses.</w:t>
      </w:r>
    </w:p>
    <w:p>
      <w:pPr>
        <w:spacing w:after="0" w:line="189" w:lineRule="exact"/>
        <w:rPr>
          <w:sz w:val="20"/>
          <w:szCs w:val="20"/>
          <w:color w:val="auto"/>
        </w:rPr>
      </w:pPr>
    </w:p>
    <w:p>
      <w:pPr>
        <w:ind w:left="340" w:hanging="230"/>
        <w:spacing w:after="0" w:line="316"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Agent (and any sub-agent thereof), each other Credit Party, and each Related Party of any of the foregoing Persons (each such Person being called an “Indemnitee”) against, and hold each Indemnitee harmless (on an after tax basis) from, any and all losses, claims, causes of action, damages, liabilities, settlement payments, costs,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a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w:t>
      </w:r>
    </w:p>
    <w:p>
      <w:pPr>
        <w:spacing w:after="0" w:line="21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51" w:name="page152"/>
    <w:bookmarkEnd w:id="151"/>
    <w:p>
      <w:pPr>
        <w:ind w:left="92" w:right="180"/>
        <w:spacing w:after="0" w:line="319" w:lineRule="auto"/>
        <w:rPr>
          <w:sz w:val="20"/>
          <w:szCs w:val="20"/>
          <w:color w:val="auto"/>
        </w:rPr>
      </w:pPr>
      <w:r>
        <w:rPr>
          <w:rFonts w:ascii="Arial" w:cs="Arial" w:eastAsia="Arial" w:hAnsi="Arial"/>
          <w:sz w:val="18"/>
          <w:szCs w:val="18"/>
          <w:color w:val="auto"/>
        </w:rPr>
        <w:t xml:space="preserve">paid by any Credit Party to, a Controlled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any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02" w:lineRule="exact"/>
        <w:rPr>
          <w:sz w:val="20"/>
          <w:szCs w:val="20"/>
          <w:color w:val="auto"/>
        </w:rPr>
      </w:pPr>
    </w:p>
    <w:p>
      <w:pPr>
        <w:ind w:left="312" w:right="60" w:hanging="219"/>
        <w:spacing w:after="0" w:line="287"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w:t>
      </w:r>
    </w:p>
    <w:p>
      <w:pPr>
        <w:spacing w:after="0" w:line="110" w:lineRule="exact"/>
        <w:rPr>
          <w:sz w:val="20"/>
          <w:szCs w:val="20"/>
          <w:color w:val="auto"/>
        </w:rPr>
      </w:pPr>
    </w:p>
    <w:p>
      <w:pPr>
        <w:ind w:left="92"/>
        <w:spacing w:after="0"/>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on demand therefor.</w:t>
      </w:r>
    </w:p>
    <w:p>
      <w:pPr>
        <w:spacing w:after="0" w:line="189" w:lineRule="exact"/>
        <w:rPr>
          <w:sz w:val="20"/>
          <w:szCs w:val="20"/>
          <w:color w:val="auto"/>
        </w:rPr>
      </w:pPr>
    </w:p>
    <w:p>
      <w:pPr>
        <w:ind w:left="312" w:right="20" w:hanging="219"/>
        <w:spacing w:after="0" w:line="305" w:lineRule="auto"/>
        <w:rPr>
          <w:sz w:val="20"/>
          <w:szCs w:val="20"/>
          <w:color w:val="auto"/>
        </w:rPr>
      </w:pPr>
      <w:r>
        <w:rPr>
          <w:rFonts w:ascii="Arial" w:cs="Arial" w:eastAsia="Arial" w:hAnsi="Arial"/>
          <w:sz w:val="19"/>
          <w:szCs w:val="19"/>
          <w:color w:val="auto"/>
        </w:rPr>
        <w:t>(e)</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0" w:lineRule="exact"/>
        <w:rPr>
          <w:sz w:val="20"/>
          <w:szCs w:val="20"/>
          <w:color w:val="auto"/>
        </w:rPr>
      </w:pPr>
    </w:p>
    <w:p>
      <w:pPr>
        <w:ind w:left="292" w:right="460" w:hanging="197"/>
        <w:spacing w:after="0" w:line="292" w:lineRule="auto"/>
        <w:rPr>
          <w:sz w:val="20"/>
          <w:szCs w:val="20"/>
          <w:color w:val="auto"/>
        </w:rPr>
      </w:pPr>
      <w:r>
        <w:rPr>
          <w:rFonts w:ascii="Arial" w:cs="Arial" w:eastAsia="Arial" w:hAnsi="Arial"/>
          <w:sz w:val="20"/>
          <w:szCs w:val="20"/>
          <w:color w:val="auto"/>
        </w:rPr>
        <w:t>(f)</w:t>
      </w:r>
      <w:r>
        <w:rPr>
          <w:rFonts w:ascii="Arial" w:cs="Arial" w:eastAsia="Arial" w:hAnsi="Arial"/>
          <w:sz w:val="20"/>
          <w:szCs w:val="20"/>
          <w:u w:val="single" w:color="auto"/>
          <w:color w:val="auto"/>
        </w:rPr>
        <w:t>Survival</w:t>
      </w:r>
      <w:r>
        <w:rPr>
          <w:rFonts w:ascii="Arial" w:cs="Arial" w:eastAsia="Arial" w:hAnsi="Arial"/>
          <w:sz w:val="20"/>
          <w:szCs w:val="20"/>
          <w:color w:val="auto"/>
        </w:rPr>
        <w:t>. The agreements in this Section shall survive the resignation of any Agent, the L/C Issuer or the Swing Line Lender, the assignment of any Commitment or Loan by any Lender, the replacement of any Lender, the termination of the Aggregate Revolving Commitments and the repayment, satisfaction or discharge of all the other Obligations.</w:t>
      </w:r>
    </w:p>
    <w:p>
      <w:pPr>
        <w:spacing w:after="0" w:line="100"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10.05 Payments Set Aside</w:t>
      </w:r>
    </w:p>
    <w:p>
      <w:pPr>
        <w:spacing w:after="0" w:line="195" w:lineRule="exact"/>
        <w:rPr>
          <w:sz w:val="20"/>
          <w:szCs w:val="20"/>
          <w:color w:val="auto"/>
        </w:rPr>
      </w:pPr>
    </w:p>
    <w:p>
      <w:pPr>
        <w:ind w:left="-8" w:firstLine="8"/>
        <w:spacing w:after="0" w:line="301" w:lineRule="auto"/>
        <w:tabs>
          <w:tab w:leader="none" w:pos="1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To the extent that any payment by or on behalf of the Loan Parties is made 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Agent upon demand its Applicable Percentage (without duplication) of any amount so recovered from or repaid by the Agent, plus interest thereon from the date of such demand to the date such payment is</w:t>
      </w:r>
    </w:p>
    <w:p>
      <w:pPr>
        <w:spacing w:after="0" w:line="238"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6" w:right="359" w:bottom="1440" w:gutter="0" w:footer="0" w:header="0"/>
        </w:sectPr>
      </w:pPr>
    </w:p>
    <w:bookmarkStart w:id="152" w:name="page153"/>
    <w:bookmarkEnd w:id="152"/>
    <w:p>
      <w:pPr>
        <w:jc w:val="both"/>
        <w:ind w:right="120"/>
        <w:spacing w:after="0" w:line="438" w:lineRule="auto"/>
        <w:rPr>
          <w:sz w:val="20"/>
          <w:szCs w:val="20"/>
          <w:color w:val="auto"/>
        </w:rPr>
      </w:pPr>
      <w:r>
        <w:rPr>
          <w:rFonts w:ascii="Arial" w:cs="Arial" w:eastAsia="Arial" w:hAnsi="Arial"/>
          <w:sz w:val="16"/>
          <w:szCs w:val="16"/>
          <w:color w:val="auto"/>
        </w:rPr>
        <w:t>made at a rate per annum equal to the Federal Funds Effective Rate from time to time in effect. The obligations of the Lenders and the L/C Issuer under clause (b) of the preceding sentence shall survive the payment in full of the Obligations and the termination of this Agreement.</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10.06 Successors and Assigns</w:t>
      </w:r>
      <w:r>
        <w:rPr>
          <w:rFonts w:ascii="Arial" w:cs="Arial" w:eastAsia="Arial" w:hAnsi="Arial"/>
          <w:sz w:val="20"/>
          <w:szCs w:val="20"/>
          <w:color w:val="auto"/>
        </w:rPr>
        <w:t>.</w:t>
      </w:r>
    </w:p>
    <w:p>
      <w:pPr>
        <w:spacing w:after="0" w:line="181" w:lineRule="exact"/>
        <w:rPr>
          <w:sz w:val="20"/>
          <w:szCs w:val="20"/>
          <w:color w:val="auto"/>
        </w:rPr>
      </w:pPr>
    </w:p>
    <w:p>
      <w:pPr>
        <w:ind w:left="320" w:right="40" w:hanging="219"/>
        <w:spacing w:after="0" w:line="318"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Agent and each Lender and no Lender may assign or otherwise transfer any of its rights or obligations hereunder except (i) to an Eligible Assignee in accordance with the provisions of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(ii) by way of participation in accordance with the provisions of subsection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10.06(f)</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Credit Parties) any legal or equitable right, remedy or claim under or by reason of this Agreement.</w:t>
      </w:r>
    </w:p>
    <w:p>
      <w:pPr>
        <w:spacing w:after="0" w:line="106" w:lineRule="exact"/>
        <w:rPr>
          <w:sz w:val="20"/>
          <w:szCs w:val="20"/>
          <w:color w:val="auto"/>
        </w:rPr>
      </w:pPr>
    </w:p>
    <w:p>
      <w:pPr>
        <w:ind w:left="340" w:hanging="230"/>
        <w:spacing w:after="0" w:line="288" w:lineRule="auto"/>
        <w:rPr>
          <w:sz w:val="20"/>
          <w:szCs w:val="20"/>
          <w:color w:val="auto"/>
        </w:rPr>
      </w:pPr>
      <w:r>
        <w:rPr>
          <w:rFonts w:ascii="Arial" w:cs="Arial" w:eastAsia="Arial" w:hAnsi="Arial"/>
          <w:sz w:val="20"/>
          <w:szCs w:val="20"/>
          <w:color w:val="auto"/>
        </w:rPr>
        <w:t>(b)</w:t>
      </w: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10.06(b)</w:t>
      </w:r>
      <w:r>
        <w:rPr>
          <w:rFonts w:ascii="Arial" w:cs="Arial" w:eastAsia="Arial" w:hAnsi="Arial"/>
          <w:sz w:val="20"/>
          <w:szCs w:val="20"/>
          <w:color w:val="auto"/>
        </w:rPr>
        <w:t xml:space="preserve">, participations in L/C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25" w:lineRule="exact"/>
        <w:rPr>
          <w:sz w:val="20"/>
          <w:szCs w:val="20"/>
          <w:color w:val="auto"/>
        </w:rPr>
      </w:pPr>
    </w:p>
    <w:p>
      <w:pPr>
        <w:ind w:left="5140" w:hanging="1449"/>
        <w:spacing w:after="0"/>
        <w:tabs>
          <w:tab w:leader="none" w:pos="51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175" w:lineRule="exact"/>
        <w:rPr>
          <w:rFonts w:ascii="Arial" w:cs="Arial" w:eastAsia="Arial" w:hAnsi="Arial"/>
          <w:sz w:val="20"/>
          <w:szCs w:val="20"/>
          <w:color w:val="auto"/>
        </w:rPr>
      </w:pPr>
    </w:p>
    <w:p>
      <w:pPr>
        <w:ind w:left="7280" w:hanging="1400"/>
        <w:spacing w:after="0"/>
        <w:tabs>
          <w:tab w:leader="none" w:pos="728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in the case of an assignment of the entire</w:t>
      </w:r>
    </w:p>
    <w:p>
      <w:pPr>
        <w:spacing w:after="0" w:line="40" w:lineRule="exact"/>
        <w:rPr>
          <w:rFonts w:ascii="Arial" w:cs="Arial" w:eastAsia="Arial" w:hAnsi="Arial"/>
          <w:sz w:val="20"/>
          <w:szCs w:val="20"/>
          <w:color w:val="auto"/>
        </w:rPr>
      </w:pPr>
    </w:p>
    <w:p>
      <w:pPr>
        <w:jc w:val="both"/>
        <w:ind w:left="3100" w:right="60"/>
        <w:spacing w:after="0" w:line="292" w:lineRule="auto"/>
        <w:rPr>
          <w:rFonts w:ascii="Arial" w:cs="Arial" w:eastAsia="Arial" w:hAnsi="Arial"/>
          <w:sz w:val="20"/>
          <w:szCs w:val="20"/>
          <w:color w:val="auto"/>
        </w:rPr>
      </w:pPr>
      <w:r>
        <w:rPr>
          <w:rFonts w:ascii="Arial" w:cs="Arial" w:eastAsia="Arial" w:hAnsi="Arial"/>
          <w:sz w:val="20"/>
          <w:szCs w:val="20"/>
          <w:color w:val="auto"/>
        </w:rPr>
        <w:t>remaining amount of the assigning Lender's Revolving Commitment and the Loans at the time owing to it or in the case of an assignment to a Lender or an Affiliate of a Lender or an Approved Fund with respect to a Lender, no minimum amount need be assigned; and</w:t>
      </w:r>
    </w:p>
    <w:p>
      <w:pPr>
        <w:spacing w:after="0" w:line="119" w:lineRule="exact"/>
        <w:rPr>
          <w:rFonts w:ascii="Arial" w:cs="Arial" w:eastAsia="Arial" w:hAnsi="Arial"/>
          <w:sz w:val="20"/>
          <w:szCs w:val="20"/>
          <w:color w:val="auto"/>
        </w:rPr>
      </w:pPr>
    </w:p>
    <w:p>
      <w:pPr>
        <w:ind w:left="7280" w:hanging="1400"/>
        <w:spacing w:after="0"/>
        <w:tabs>
          <w:tab w:leader="none" w:pos="728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in any case not described in subsection (b)(i)</w:t>
      </w:r>
    </w:p>
    <w:p>
      <w:pPr>
        <w:spacing w:after="0" w:line="51" w:lineRule="exact"/>
        <w:rPr>
          <w:rFonts w:ascii="Arial" w:cs="Arial" w:eastAsia="Arial" w:hAnsi="Arial"/>
          <w:sz w:val="19"/>
          <w:szCs w:val="19"/>
          <w:color w:val="auto"/>
        </w:rPr>
      </w:pPr>
    </w:p>
    <w:p>
      <w:pPr>
        <w:ind w:left="3100"/>
        <w:spacing w:after="0" w:line="299" w:lineRule="auto"/>
        <w:rPr>
          <w:rFonts w:ascii="Arial" w:cs="Arial" w:eastAsia="Arial" w:hAnsi="Arial"/>
          <w:sz w:val="19"/>
          <w:szCs w:val="19"/>
          <w:color w:val="auto"/>
        </w:rPr>
      </w:pPr>
      <w:r>
        <w:rPr>
          <w:rFonts w:ascii="Arial" w:cs="Arial" w:eastAsia="Arial" w:hAnsi="Arial"/>
          <w:sz w:val="19"/>
          <w:szCs w:val="19"/>
          <w:color w:val="auto"/>
        </w:rPr>
        <w:t xml:space="preserve">(A)of this Section, the aggregate amount of the Revolving Commitment (which for this purpose includes Revolving Loans outstanding thereunder) or, if the Revolving Commitment is not then in effect, the principal outstanding balance of the Revolving Loans of the assigning Revolving Lender subject to each such assignment, determined as of the date the Assignment and Assumption with respect to such assignment is delivered to the Agent or, if “Trade Date” is specified in the Assignment and Assumption, as of the Trade Date, shall not be less than $5,000,000 and, so long as no Default or Event of Default has occurred and is continuing, the Lead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44"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6" w:right="399" w:bottom="1440" w:gutter="0" w:footer="0" w:header="0"/>
        </w:sectPr>
      </w:pPr>
    </w:p>
    <w:bookmarkStart w:id="153" w:name="page154"/>
    <w:bookmarkEnd w:id="153"/>
    <w:p>
      <w:pPr>
        <w:ind w:left="2320" w:right="160" w:firstLine="1305"/>
        <w:spacing w:after="0" w:line="288" w:lineRule="auto"/>
        <w:tabs>
          <w:tab w:leader="none" w:pos="5114"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24" w:lineRule="exact"/>
        <w:rPr>
          <w:rFonts w:ascii="Arial" w:cs="Arial" w:eastAsia="Arial" w:hAnsi="Arial"/>
          <w:sz w:val="20"/>
          <w:szCs w:val="20"/>
          <w:color w:val="auto"/>
        </w:rPr>
      </w:pPr>
    </w:p>
    <w:p>
      <w:pPr>
        <w:ind w:left="5120" w:hanging="1541"/>
        <w:spacing w:after="0"/>
        <w:tabs>
          <w:tab w:leader="none" w:pos="512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w:t>
      </w:r>
    </w:p>
    <w:p>
      <w:pPr>
        <w:spacing w:after="0" w:line="86" w:lineRule="exact"/>
        <w:rPr>
          <w:rFonts w:ascii="Arial" w:cs="Arial" w:eastAsia="Arial" w:hAnsi="Arial"/>
          <w:sz w:val="16"/>
          <w:szCs w:val="16"/>
          <w:color w:val="auto"/>
        </w:rPr>
      </w:pPr>
    </w:p>
    <w:p>
      <w:pPr>
        <w:ind w:left="2320"/>
        <w:spacing w:after="0"/>
        <w:rPr>
          <w:rFonts w:ascii="Arial" w:cs="Arial" w:eastAsia="Arial" w:hAnsi="Arial"/>
          <w:sz w:val="16"/>
          <w:szCs w:val="16"/>
          <w:color w:val="auto"/>
        </w:rPr>
      </w:pPr>
      <w:r>
        <w:rPr>
          <w:rFonts w:ascii="Arial" w:cs="Arial" w:eastAsia="Arial" w:hAnsi="Arial"/>
          <w:sz w:val="20"/>
          <w:szCs w:val="20"/>
          <w:color w:val="auto"/>
        </w:rPr>
        <w:t>to the extent required by subsection (b)(i)(B) of this Section and, in addition:</w:t>
      </w:r>
    </w:p>
    <w:p>
      <w:pPr>
        <w:spacing w:after="0" w:line="175" w:lineRule="exact"/>
        <w:rPr>
          <w:rFonts w:ascii="Arial" w:cs="Arial" w:eastAsia="Arial" w:hAnsi="Arial"/>
          <w:sz w:val="16"/>
          <w:szCs w:val="16"/>
          <w:color w:val="auto"/>
        </w:rPr>
      </w:pPr>
    </w:p>
    <w:p>
      <w:pPr>
        <w:jc w:val="both"/>
        <w:ind w:left="3080" w:firstLine="2780"/>
        <w:spacing w:after="0" w:line="329" w:lineRule="auto"/>
        <w:tabs>
          <w:tab w:leader="none" w:pos="727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consent of the Lead Borrower (such consent not to be unreasonably withheld or delayed) shall be required unless (1) a Default or Event of Default has occurred and is continuing at the time of such assignment or (2) such assignment is to a Lender, an Affiliate of a Lender or an Approved Fund with respect to such Lender; and</w:t>
      </w:r>
    </w:p>
    <w:p>
      <w:pPr>
        <w:spacing w:after="0" w:line="93" w:lineRule="exact"/>
        <w:rPr>
          <w:rFonts w:ascii="Arial" w:cs="Arial" w:eastAsia="Arial" w:hAnsi="Arial"/>
          <w:sz w:val="18"/>
          <w:szCs w:val="18"/>
          <w:color w:val="auto"/>
        </w:rPr>
      </w:pPr>
    </w:p>
    <w:p>
      <w:pPr>
        <w:ind w:left="7260" w:hanging="1400"/>
        <w:spacing w:after="0"/>
        <w:tabs>
          <w:tab w:leader="none" w:pos="72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consent of the Agent, the L/C Issuer and the</w:t>
      </w:r>
    </w:p>
    <w:p>
      <w:pPr>
        <w:spacing w:after="0" w:line="63" w:lineRule="exact"/>
        <w:rPr>
          <w:rFonts w:ascii="Arial" w:cs="Arial" w:eastAsia="Arial" w:hAnsi="Arial"/>
          <w:sz w:val="18"/>
          <w:szCs w:val="18"/>
          <w:color w:val="auto"/>
        </w:rPr>
      </w:pPr>
    </w:p>
    <w:p>
      <w:pPr>
        <w:jc w:val="both"/>
        <w:ind w:left="3080" w:right="220"/>
        <w:spacing w:after="0" w:line="338" w:lineRule="auto"/>
        <w:rPr>
          <w:rFonts w:ascii="Arial" w:cs="Arial" w:eastAsia="Arial" w:hAnsi="Arial"/>
          <w:sz w:val="18"/>
          <w:szCs w:val="18"/>
          <w:color w:val="auto"/>
        </w:rPr>
      </w:pPr>
      <w:r>
        <w:rPr>
          <w:rFonts w:ascii="Arial" w:cs="Arial" w:eastAsia="Arial" w:hAnsi="Arial"/>
          <w:sz w:val="18"/>
          <w:szCs w:val="18"/>
          <w:color w:val="auto"/>
        </w:rPr>
        <w:t>Swing Line Lender (such consent not to be unreasonably withheld or delayed) shall be required for assignments in respect of any Revolving Commitment if such assignment is to a Person that is not a Lender, an Affiliate of such Lender or an Approved Fund with respect to such Lender; and</w:t>
      </w:r>
    </w:p>
    <w:p>
      <w:pPr>
        <w:spacing w:after="0" w:line="83" w:lineRule="exact"/>
        <w:rPr>
          <w:rFonts w:ascii="Arial" w:cs="Arial" w:eastAsia="Arial" w:hAnsi="Arial"/>
          <w:sz w:val="18"/>
          <w:szCs w:val="18"/>
          <w:color w:val="auto"/>
        </w:rPr>
      </w:pPr>
    </w:p>
    <w:p>
      <w:pPr>
        <w:ind w:left="2320" w:firstLine="1268"/>
        <w:spacing w:after="0" w:line="287" w:lineRule="auto"/>
        <w:tabs>
          <w:tab w:leader="none" w:pos="5114"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Agent an Assignment and Assumption, together with a processing and recordation fee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Agent may, in its sole discretion, elect to waive such processing and recordation fee in the case of any assignment. The assignee, if it shall not be a Lender, shall deliver to the Agent an Administrative Questionnaire.</w:t>
      </w:r>
    </w:p>
    <w:p>
      <w:pPr>
        <w:spacing w:after="0" w:line="109" w:lineRule="exact"/>
        <w:rPr>
          <w:rFonts w:ascii="Arial" w:cs="Arial" w:eastAsia="Arial" w:hAnsi="Arial"/>
          <w:sz w:val="20"/>
          <w:szCs w:val="20"/>
          <w:color w:val="auto"/>
        </w:rPr>
      </w:pPr>
    </w:p>
    <w:p>
      <w:pPr>
        <w:ind w:left="2320" w:right="140" w:firstLine="1314"/>
        <w:spacing w:after="0" w:line="308" w:lineRule="auto"/>
        <w:tabs>
          <w:tab w:leader="none" w:pos="511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(A) to the Loan Parties or any of the Loan Parties’ Subsidiaries, (B) to any Defaulting Lender or any of its Subsidiaries or Affiliates, or any Person who, upon becoming a Lender hereunder, would constitute any of the foregoing Persons described in this clause (B), or (C) to a natural Person.</w:t>
      </w:r>
    </w:p>
    <w:p>
      <w:pPr>
        <w:spacing w:after="0" w:line="106" w:lineRule="exact"/>
        <w:rPr>
          <w:rFonts w:ascii="Arial" w:cs="Arial" w:eastAsia="Arial" w:hAnsi="Arial"/>
          <w:sz w:val="19"/>
          <w:szCs w:val="19"/>
          <w:color w:val="auto"/>
        </w:rPr>
      </w:pPr>
    </w:p>
    <w:p>
      <w:pPr>
        <w:ind w:left="2320" w:right="40" w:firstLine="1268"/>
        <w:spacing w:after="0" w:line="316" w:lineRule="auto"/>
        <w:tabs>
          <w:tab w:leader="none" w:pos="511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Lead Borrower and the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32"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6" w:right="359" w:bottom="1440" w:gutter="0" w:footer="0" w:header="0"/>
        </w:sectPr>
      </w:pPr>
    </w:p>
    <w:bookmarkStart w:id="154" w:name="page155"/>
    <w:bookmarkEnd w:id="154"/>
    <w:p>
      <w:pPr>
        <w:ind w:right="20"/>
        <w:spacing w:after="0" w:line="299" w:lineRule="auto"/>
        <w:rPr>
          <w:sz w:val="20"/>
          <w:szCs w:val="20"/>
          <w:color w:val="auto"/>
        </w:rPr>
      </w:pPr>
      <w:r>
        <w:rPr>
          <w:rFonts w:ascii="Arial" w:cs="Arial" w:eastAsia="Arial" w:hAnsi="Arial"/>
          <w:sz w:val="19"/>
          <w:szCs w:val="19"/>
          <w:color w:val="auto"/>
        </w:rPr>
        <w:t xml:space="preserve">Subject to acceptance and recording thereof by the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10.06(d)</w:t>
      </w:r>
      <w:r>
        <w:rPr>
          <w:rFonts w:ascii="Arial" w:cs="Arial" w:eastAsia="Arial" w:hAnsi="Arial"/>
          <w:sz w:val="19"/>
          <w:szCs w:val="19"/>
          <w:color w:val="auto"/>
        </w:rPr>
        <w:t>.</w:t>
      </w:r>
    </w:p>
    <w:p>
      <w:pPr>
        <w:spacing w:after="0" w:line="122" w:lineRule="exact"/>
        <w:rPr>
          <w:sz w:val="20"/>
          <w:szCs w:val="20"/>
          <w:color w:val="auto"/>
        </w:rPr>
      </w:pPr>
    </w:p>
    <w:p>
      <w:pPr>
        <w:ind w:left="320" w:right="100" w:hanging="219"/>
        <w:spacing w:after="0" w:line="301"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Register</w:t>
      </w:r>
      <w:r>
        <w:rPr>
          <w:rFonts w:ascii="Arial" w:cs="Arial" w:eastAsia="Arial" w:hAnsi="Arial"/>
          <w:sz w:val="19"/>
          <w:szCs w:val="19"/>
          <w:color w:val="auto"/>
        </w:rPr>
        <w:t>. The Agent, acting solely for this purpose as an agent of the Borrowers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“Register”). The entries in the Register shall be conclusive, absent manifest error, and the Loan Parties, the Agent and the Lenders may treat each Person whose name is recorded in the Register pursuant to the terms hereof as a Lender hereunder for all purposes of this Agreement, notwithstanding notice to the contrary. The Register shall be available for inspection by the Lead Borrower and any Lender at any reasonable time and from time to time upon reasonable prior notice.</w:t>
      </w:r>
    </w:p>
    <w:p>
      <w:pPr>
        <w:spacing w:after="0" w:line="103" w:lineRule="exact"/>
        <w:rPr>
          <w:sz w:val="20"/>
          <w:szCs w:val="20"/>
          <w:color w:val="auto"/>
        </w:rPr>
      </w:pPr>
    </w:p>
    <w:p>
      <w:pPr>
        <w:ind w:left="340" w:right="20" w:hanging="230"/>
        <w:spacing w:after="0" w:line="320"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(i) Any Lender may at any time, without the consent of, or notice to, the Loan Parties or the Agent, sell participations to any Person (other than a natural person or the Loan Parties or any of the Loan Parties’ Affiliates or Subsidiaries) (each, a “Participant”)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Loan Parties, the Agent, the Lenders and the L/C Issuer shall continue to deal solely and directly with such Lender in connection with such Lender's rights and obligations under this Agreement. Any Participant shall agree in writing to comply with all confidentiality obligations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as if such Participant was a Lender hereunder.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40" w:type="dxa"/>
            <w:vAlign w:val="bottom"/>
          </w:tcPr>
          <w:p>
            <w:pPr>
              <w:ind w:left="4400"/>
              <w:spacing w:after="0"/>
              <w:rPr>
                <w:sz w:val="20"/>
                <w:szCs w:val="20"/>
                <w:color w:val="auto"/>
              </w:rPr>
            </w:pPr>
            <w:r>
              <w:rPr>
                <w:rFonts w:ascii="Arial" w:cs="Arial" w:eastAsia="Arial" w:hAnsi="Arial"/>
                <w:sz w:val="20"/>
                <w:szCs w:val="20"/>
                <w:color w:val="auto"/>
              </w:rPr>
              <w:t>(ii)</w:t>
            </w:r>
          </w:p>
        </w:tc>
        <w:tc>
          <w:tcPr>
            <w:tcW w:w="6200" w:type="dxa"/>
            <w:vAlign w:val="bottom"/>
          </w:tcPr>
          <w:p>
            <w:pPr>
              <w:jc w:val="right"/>
              <w:ind w:right="61"/>
              <w:spacing w:after="0"/>
              <w:rPr>
                <w:sz w:val="20"/>
                <w:szCs w:val="20"/>
                <w:color w:val="auto"/>
              </w:rPr>
            </w:pPr>
            <w:r>
              <w:rPr>
                <w:rFonts w:ascii="Arial" w:cs="Arial" w:eastAsia="Arial" w:hAnsi="Arial"/>
                <w:sz w:val="20"/>
                <w:szCs w:val="20"/>
                <w:color w:val="auto"/>
              </w:rPr>
              <w:t>Any agreement or instrument pursuant to which a Lender</w:t>
            </w:r>
          </w:p>
        </w:tc>
      </w:tr>
      <w:tr>
        <w:trPr>
          <w:trHeight w:val="270"/>
        </w:trPr>
        <w:tc>
          <w:tcPr>
            <w:tcW w:w="11240" w:type="dxa"/>
            <w:vAlign w:val="bottom"/>
            <w:gridSpan w:val="2"/>
          </w:tcPr>
          <w:p>
            <w:pPr>
              <w:ind w:left="2340"/>
              <w:spacing w:after="0"/>
              <w:rPr>
                <w:sz w:val="20"/>
                <w:szCs w:val="20"/>
                <w:color w:val="auto"/>
              </w:rPr>
            </w:pPr>
            <w:r>
              <w:rPr>
                <w:rFonts w:ascii="Arial" w:cs="Arial" w:eastAsia="Arial" w:hAnsi="Arial"/>
                <w:sz w:val="20"/>
                <w:szCs w:val="20"/>
                <w:color w:val="auto"/>
                <w:w w:val="90"/>
              </w:rPr>
              <w:t>sells such a participation shall provide that such Lender shall retain the sole right to enforce this Agreement and</w:t>
            </w:r>
          </w:p>
        </w:tc>
      </w:tr>
      <w:tr>
        <w:trPr>
          <w:trHeight w:val="270"/>
        </w:trPr>
        <w:tc>
          <w:tcPr>
            <w:tcW w:w="11240" w:type="dxa"/>
            <w:vAlign w:val="bottom"/>
            <w:gridSpan w:val="2"/>
          </w:tcPr>
          <w:p>
            <w:pPr>
              <w:ind w:left="2340"/>
              <w:spacing w:after="0"/>
              <w:rPr>
                <w:sz w:val="20"/>
                <w:szCs w:val="20"/>
                <w:color w:val="auto"/>
              </w:rPr>
            </w:pPr>
            <w:r>
              <w:rPr>
                <w:rFonts w:ascii="Arial" w:cs="Arial" w:eastAsia="Arial" w:hAnsi="Arial"/>
                <w:sz w:val="20"/>
                <w:szCs w:val="20"/>
                <w:color w:val="auto"/>
                <w:w w:val="95"/>
              </w:rPr>
              <w:t>to approve any amendment, modification or waiver of any provision of this Agreement; provided that such</w:t>
            </w:r>
          </w:p>
        </w:tc>
      </w:tr>
      <w:tr>
        <w:trPr>
          <w:trHeight w:val="270"/>
        </w:trPr>
        <w:tc>
          <w:tcPr>
            <w:tcW w:w="11240" w:type="dxa"/>
            <w:vAlign w:val="bottom"/>
            <w:gridSpan w:val="2"/>
          </w:tcPr>
          <w:p>
            <w:pPr>
              <w:ind w:left="2340"/>
              <w:spacing w:after="0"/>
              <w:rPr>
                <w:sz w:val="20"/>
                <w:szCs w:val="20"/>
                <w:color w:val="auto"/>
              </w:rPr>
            </w:pPr>
            <w:r>
              <w:rPr>
                <w:rFonts w:ascii="Arial" w:cs="Arial" w:eastAsia="Arial" w:hAnsi="Arial"/>
                <w:sz w:val="20"/>
                <w:szCs w:val="20"/>
                <w:color w:val="auto"/>
                <w:w w:val="90"/>
              </w:rPr>
              <w:t>agreement or instrument may provide that such Lender will not, without the consent of the Participant, agree to</w:t>
            </w:r>
          </w:p>
        </w:tc>
      </w:tr>
      <w:tr>
        <w:trPr>
          <w:trHeight w:val="270"/>
        </w:trPr>
        <w:tc>
          <w:tcPr>
            <w:tcW w:w="11240" w:type="dxa"/>
            <w:vAlign w:val="bottom"/>
            <w:gridSpan w:val="2"/>
          </w:tcPr>
          <w:p>
            <w:pPr>
              <w:ind w:left="2340"/>
              <w:spacing w:after="0"/>
              <w:rPr>
                <w:sz w:val="20"/>
                <w:szCs w:val="20"/>
                <w:color w:val="auto"/>
              </w:rPr>
            </w:pPr>
            <w:r>
              <w:rPr>
                <w:rFonts w:ascii="Arial" w:cs="Arial" w:eastAsia="Arial" w:hAnsi="Arial"/>
                <w:sz w:val="20"/>
                <w:szCs w:val="20"/>
                <w:color w:val="auto"/>
              </w:rPr>
              <w:t>any amendment, waiver or other modification described in clauses (i) through (iv)</w:t>
            </w:r>
          </w:p>
        </w:tc>
      </w:tr>
      <w:tr>
        <w:trPr>
          <w:trHeight w:val="551"/>
        </w:trPr>
        <w:tc>
          <w:tcPr>
            <w:tcW w:w="504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6200" w:type="dxa"/>
            <w:vAlign w:val="bottom"/>
          </w:tcPr>
          <w:p>
            <w:pPr>
              <w:jc w:val="right"/>
              <w:ind w:right="5301"/>
              <w:spacing w:after="0"/>
              <w:rPr>
                <w:sz w:val="20"/>
                <w:szCs w:val="20"/>
                <w:color w:val="auto"/>
              </w:rPr>
            </w:pPr>
            <w:r>
              <w:rPr>
                <w:rFonts w:ascii="Arial" w:cs="Arial" w:eastAsia="Arial" w:hAnsi="Arial"/>
                <w:sz w:val="20"/>
                <w:szCs w:val="20"/>
                <w:color w:val="auto"/>
              </w:rPr>
              <w:t>-151-</w:t>
            </w:r>
          </w:p>
        </w:tc>
      </w:tr>
      <w:tr>
        <w:trPr>
          <w:trHeight w:val="383"/>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55" w:name="page156"/>
    <w:bookmarkEnd w:id="155"/>
    <w:p>
      <w:pPr>
        <w:ind w:left="2320" w:right="40"/>
        <w:spacing w:after="0" w:line="286" w:lineRule="auto"/>
        <w:rPr>
          <w:sz w:val="20"/>
          <w:szCs w:val="20"/>
          <w:color w:val="auto"/>
        </w:rPr>
      </w:pPr>
      <w:r>
        <w:rPr>
          <w:rFonts w:ascii="Arial" w:cs="Arial" w:eastAsia="Arial" w:hAnsi="Arial"/>
          <w:sz w:val="20"/>
          <w:szCs w:val="20"/>
          <w:color w:val="auto"/>
        </w:rPr>
        <w:t xml:space="preserve">of the first proviso to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if applicable, </w:t>
      </w:r>
      <w:r>
        <w:rPr>
          <w:rFonts w:ascii="Arial" w:cs="Arial" w:eastAsia="Arial" w:hAnsi="Arial"/>
          <w:sz w:val="20"/>
          <w:szCs w:val="20"/>
          <w:u w:val="single" w:color="auto"/>
          <w:color w:val="auto"/>
        </w:rPr>
        <w:t>Section 10.01-A</w:t>
      </w:r>
      <w:r>
        <w:rPr>
          <w:rFonts w:ascii="Arial" w:cs="Arial" w:eastAsia="Arial" w:hAnsi="Arial"/>
          <w:sz w:val="20"/>
          <w:szCs w:val="20"/>
          <w:color w:val="auto"/>
        </w:rPr>
        <w:t xml:space="preserve"> that affects such Participant. Subject to subsection (e) of this Section, the Loan Parties agree that each Participant shall be entitled to the benefits of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to the same extent as if it were a Lender and had acquired its interest by assignment pursuant to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To the extent permitted by law, each Participant also shall be entitled to the benefits of </w:t>
      </w:r>
      <w:r>
        <w:rPr>
          <w:rFonts w:ascii="Arial" w:cs="Arial" w:eastAsia="Arial" w:hAnsi="Arial"/>
          <w:sz w:val="20"/>
          <w:szCs w:val="20"/>
          <w:u w:val="single" w:color="auto"/>
          <w:color w:val="auto"/>
        </w:rPr>
        <w:t>Section 10.08</w:t>
      </w:r>
      <w:r>
        <w:rPr>
          <w:rFonts w:ascii="Arial" w:cs="Arial" w:eastAsia="Arial" w:hAnsi="Arial"/>
          <w:sz w:val="20"/>
          <w:szCs w:val="20"/>
          <w:color w:val="auto"/>
        </w:rPr>
        <w:t xml:space="preserve"> as though it were a Lender, provided such Participant agrees to be subject to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as though it were a Lender.</w:t>
      </w:r>
    </w:p>
    <w:p>
      <w:pPr>
        <w:spacing w:after="0" w:line="124" w:lineRule="exact"/>
        <w:rPr>
          <w:sz w:val="20"/>
          <w:szCs w:val="20"/>
          <w:color w:val="auto"/>
        </w:rPr>
      </w:pPr>
    </w:p>
    <w:p>
      <w:pPr>
        <w:ind w:left="2320" w:firstLine="2024"/>
        <w:spacing w:after="0" w:line="299" w:lineRule="auto"/>
        <w:rPr>
          <w:sz w:val="20"/>
          <w:szCs w:val="20"/>
          <w:color w:val="auto"/>
        </w:rPr>
      </w:pPr>
      <w:r>
        <w:rPr>
          <w:rFonts w:ascii="Arial" w:cs="Arial" w:eastAsia="Arial" w:hAnsi="Arial"/>
          <w:sz w:val="19"/>
          <w:szCs w:val="19"/>
          <w:color w:val="auto"/>
        </w:rPr>
        <w:t xml:space="preserve">(iii) Each Lender that sells a participation shall, acting solely for this purpose as an agent of the Borrowers,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shall have no responsibility for maintaining a Participant Register.</w:t>
      </w:r>
    </w:p>
    <w:p>
      <w:pPr>
        <w:spacing w:after="0" w:line="106" w:lineRule="exact"/>
        <w:rPr>
          <w:sz w:val="20"/>
          <w:szCs w:val="20"/>
          <w:color w:val="auto"/>
        </w:rPr>
      </w:pPr>
    </w:p>
    <w:p>
      <w:pPr>
        <w:ind w:left="300" w:right="20" w:hanging="219"/>
        <w:spacing w:after="0" w:line="325" w:lineRule="auto"/>
        <w:rPr>
          <w:sz w:val="20"/>
          <w:szCs w:val="20"/>
          <w:color w:val="auto"/>
        </w:rPr>
      </w:pPr>
      <w:r>
        <w:rPr>
          <w:rFonts w:ascii="Arial" w:cs="Arial" w:eastAsia="Arial" w:hAnsi="Arial"/>
          <w:sz w:val="18"/>
          <w:szCs w:val="18"/>
          <w:u w:val="single" w:color="auto"/>
          <w:color w:val="auto"/>
        </w:rPr>
        <w:t>(e)Limitations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Lead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Lead Borrower is notified of the participation sold to such Participant and such Participant agrees, for the benefit of the Loan Parties,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97" w:lineRule="exact"/>
        <w:rPr>
          <w:sz w:val="20"/>
          <w:szCs w:val="20"/>
          <w:color w:val="auto"/>
        </w:rPr>
      </w:pPr>
    </w:p>
    <w:p>
      <w:pPr>
        <w:ind w:left="280" w:right="100" w:hanging="197"/>
        <w:spacing w:after="0" w:line="288" w:lineRule="auto"/>
        <w:rPr>
          <w:sz w:val="20"/>
          <w:szCs w:val="20"/>
          <w:color w:val="auto"/>
        </w:rPr>
      </w:pPr>
      <w:r>
        <w:rPr>
          <w:rFonts w:ascii="Arial" w:cs="Arial" w:eastAsia="Arial" w:hAnsi="Arial"/>
          <w:sz w:val="20"/>
          <w:szCs w:val="20"/>
          <w:u w:val="single" w:color="auto"/>
          <w:color w:val="auto"/>
        </w:rPr>
        <w:t>(f)Certain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25" w:lineRule="exact"/>
        <w:rPr>
          <w:sz w:val="20"/>
          <w:szCs w:val="20"/>
          <w:color w:val="auto"/>
        </w:rPr>
      </w:pPr>
    </w:p>
    <w:p>
      <w:pPr>
        <w:ind w:left="300" w:right="40" w:hanging="230"/>
        <w:spacing w:after="0" w:line="300" w:lineRule="auto"/>
        <w:rPr>
          <w:sz w:val="20"/>
          <w:szCs w:val="20"/>
          <w:color w:val="auto"/>
        </w:rPr>
      </w:pPr>
      <w:r>
        <w:rPr>
          <w:rFonts w:ascii="Arial" w:cs="Arial" w:eastAsia="Arial" w:hAnsi="Arial"/>
          <w:sz w:val="19"/>
          <w:szCs w:val="19"/>
          <w:u w:val="single" w:color="auto"/>
          <w:color w:val="auto"/>
        </w:rPr>
        <w:t>(g)Resignation as L/C Issuer or Swing Line Lender after Assignment or Resignation</w:t>
      </w:r>
      <w:r>
        <w:rPr>
          <w:rFonts w:ascii="Arial" w:cs="Arial" w:eastAsia="Arial" w:hAnsi="Arial"/>
          <w:sz w:val="19"/>
          <w:szCs w:val="19"/>
          <w:color w:val="auto"/>
        </w:rPr>
        <w:t xml:space="preserve">. Notwithstanding anything to the contrary contained herein, if at any time Citizens Bank assigns all of its Commitment and Loans pursuant to subsection (b) above, or resigns as Agent in accordance with the provisions of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Citizens Bank may, (i) upon 30 days’ notice to the Lead Borrower and the Lenders, resign as L/C Issuer and/or (ii) with duplication of any notice required under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upon 30 days’ notice to the Lead Borrower, resign as Swing Line Lender. In the event of any such resignation as L/C Issuer or Swing Line Lender, the Lead Borrower shall be entitled to appoint from among the Lenders a successor L/C Issuer 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failure by the Lead Borrower to appoint any such successor shall affect the resignation of Citizens Bank as L/C Issuer or Swing Line Lender, as the case may be. If Citizens Bank resigns as L/C Issuer, it shall retain all the rights, powers, privileges and duties of the L/C Issuer hereunder with respect to all Letters of Credit</w:t>
      </w:r>
    </w:p>
    <w:p>
      <w:pPr>
        <w:spacing w:after="0" w:line="229"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406" w:right="399" w:bottom="1440" w:gutter="0" w:footer="0" w:header="0"/>
        </w:sectPr>
      </w:pPr>
    </w:p>
    <w:bookmarkStart w:id="156" w:name="page157"/>
    <w:bookmarkEnd w:id="156"/>
    <w:p>
      <w:pPr>
        <w:ind w:left="100"/>
        <w:spacing w:after="0" w:line="318" w:lineRule="auto"/>
        <w:rPr>
          <w:sz w:val="20"/>
          <w:szCs w:val="20"/>
          <w:color w:val="auto"/>
        </w:rPr>
      </w:pPr>
      <w:r>
        <w:rPr>
          <w:rFonts w:ascii="Arial" w:cs="Arial" w:eastAsia="Arial" w:hAnsi="Arial"/>
          <w:sz w:val="18"/>
          <w:szCs w:val="18"/>
          <w:color w:val="auto"/>
        </w:rPr>
        <w:t xml:space="preserve">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Citizens Bank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(b) the successor L/C Issuer shall issue letters of credit in substitution for the Letters of Credit, if any, outstanding at the time of such succession or make other arrangements satisfactory to Citizens Bank to effectively assume the obligations of Citizens Bank with respect to such Letters of Credit, and (c) the successor Swing Line Lender shall repay all outstanding Obligations with respect to Swing Line Loans due to the resigning Swing Line Lender.</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10.07 Treatment of Certain Information; Confidentiality</w:t>
      </w:r>
    </w:p>
    <w:p>
      <w:pPr>
        <w:spacing w:after="0" w:line="181" w:lineRule="exact"/>
        <w:rPr>
          <w:sz w:val="20"/>
          <w:szCs w:val="20"/>
          <w:color w:val="auto"/>
        </w:rPr>
      </w:pPr>
    </w:p>
    <w:p>
      <w:pPr>
        <w:ind w:right="20" w:firstLine="8"/>
        <w:spacing w:after="0" w:line="316" w:lineRule="auto"/>
        <w:tabs>
          <w:tab w:leader="none" w:pos="14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Credit Parties agrees to maintain the confidentiality of the Information (as defined below), except that Information may be disclosed (a) to its Affiliates, Approved Funds, and to its and its Affiliates’ and Approved Funds’ respective partners, directors, officers, employees, agents, funding sources, attorneys, advisors and representatives (excluding any Disqualified Institution and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(c) to the extent required by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(including any electronic agreement contained in any Platform) containing provisions substantially the same as those of this Section, to (i) any assignee of or Participant in, or any prospective assignee of or Participant in (in each case excluding any Disqualified Institution), any of its rights or obligations under this Agreement or (ii) any actual or prospective counterparty (or its advisors) to any Swap Contract relating to any Loan Party and its obligations, (g) with the consent of the Lead Borrower or (h) to the extent such Information (i) becomes publicly available other than as a result of a breach of this Section or (ii) becomes available to any Credit Party or any of their respective Affiliates on a non-confidential basis from a source other than the Loan Parties.</w:t>
      </w:r>
    </w:p>
    <w:p>
      <w:pPr>
        <w:spacing w:after="0" w:line="113"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For purposes of this Section, “Information” means all information received from the Loan Parties or any Subsidiary thereof relating to the Loan Parties or any Subsidiary thereof or their respective businesses, other than any such information that is available to any Credit Party on a non-confidential basis prior to disclosure by the Loan Parties or any Subsidiary thereof, provided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35"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57" w:name="page158"/>
    <w:bookmarkEnd w:id="157"/>
    <w:p>
      <w:pPr>
        <w:ind w:right="20"/>
        <w:spacing w:after="0" w:line="338" w:lineRule="auto"/>
        <w:rPr>
          <w:sz w:val="20"/>
          <w:szCs w:val="20"/>
          <w:color w:val="auto"/>
        </w:rPr>
      </w:pPr>
      <w:r>
        <w:rPr>
          <w:rFonts w:ascii="Arial" w:cs="Arial" w:eastAsia="Arial" w:hAnsi="Arial"/>
          <w:sz w:val="18"/>
          <w:szCs w:val="18"/>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10.08 Right of Setoff</w:t>
      </w:r>
    </w:p>
    <w:p>
      <w:pPr>
        <w:spacing w:after="0" w:line="181" w:lineRule="exact"/>
        <w:rPr>
          <w:sz w:val="20"/>
          <w:szCs w:val="20"/>
          <w:color w:val="auto"/>
        </w:rPr>
      </w:pPr>
    </w:p>
    <w:p>
      <w:pPr>
        <w:ind w:firstLine="8"/>
        <w:spacing w:after="0" w:line="316" w:lineRule="auto"/>
        <w:tabs>
          <w:tab w:leader="none" w:pos="1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an Event of Default shall have occurred and be continuing or if any Lender shall have been served with a trustee process or similar attachment relating to property of a Loan Party, each Lender, the L/C Issuer and each of their respective Affiliates is hereby authorized at any time and from time to time, after obtaining the prior written consent of the Agent or the Required Lenders, to the fullest extent permitted by Law, to set off and apply any and all deposits (general or special, time or demand, provisional or final, in whatever currency) or other property at any time held and other obligations (in whatever currency) at any time owing by such Lender, the L/C Issuer or any such Affiliate to or for the credit or the account of the Borrowers or any other Loan Party against any and all of the Obligations now or hereafter existing under this Agreement or any other Loan Document to such Lender or the L/C Issuer, regardless of the adequacy of the Collateral, and irrespective of whether or not such Lender or the L/C Issuer shall have made any demand under this Agreement or any other Loan Document and although such obligations of the Borrowers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pending such payment, shall be segregated by such Defaulting Lender from its other funds and deemed held in trust for the benefit of the Agent, the L/C Issuer and the Lenders, and (y) the Defaulting Lender shall provide promptly to the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Lead Borrower and the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10.09 Interest Rate Limitation</w:t>
      </w:r>
    </w:p>
    <w:p>
      <w:pPr>
        <w:spacing w:after="0" w:line="195" w:lineRule="exact"/>
        <w:rPr>
          <w:sz w:val="20"/>
          <w:szCs w:val="20"/>
          <w:color w:val="auto"/>
        </w:rPr>
      </w:pPr>
    </w:p>
    <w:p>
      <w:pPr>
        <w:ind w:right="20" w:firstLine="8"/>
        <w:spacing w:after="0" w:line="301" w:lineRule="auto"/>
        <w:tabs>
          <w:tab w:leader="none" w:pos="14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Law (the “Maximum Rate”). If the Agent or any Lender shall receive interest in an amount that exceeds the Maximum Rate, the excess interest shall be applied to the principal of the Loans and other Obligations (other than Other Liabilities not then due and owing) or, if it exceeds such unpaid principal, refunded to the Borrowers. In determining whether the interest contracted for, charged, or received by the Agent or a Lender exceeds the Maximum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24"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58" w:name="page159"/>
    <w:bookmarkEnd w:id="158"/>
    <w:p>
      <w:pPr>
        <w:ind w:left="832"/>
        <w:spacing w:after="0"/>
        <w:rPr>
          <w:sz w:val="20"/>
          <w:szCs w:val="20"/>
          <w:color w:val="auto"/>
        </w:rPr>
      </w:pPr>
      <w:r>
        <w:rPr>
          <w:rFonts w:ascii="Arial" w:cs="Arial" w:eastAsia="Arial" w:hAnsi="Arial"/>
          <w:sz w:val="20"/>
          <w:szCs w:val="20"/>
          <w:b w:val="1"/>
          <w:bCs w:val="1"/>
          <w:color w:val="auto"/>
        </w:rPr>
        <w:t>10.10 Counterparts; Integration; Effectiveness</w:t>
      </w:r>
    </w:p>
    <w:p>
      <w:pPr>
        <w:spacing w:after="0" w:line="195" w:lineRule="exact"/>
        <w:rPr>
          <w:sz w:val="20"/>
          <w:szCs w:val="20"/>
          <w:color w:val="auto"/>
        </w:rPr>
      </w:pPr>
    </w:p>
    <w:p>
      <w:pPr>
        <w:ind w:left="-8" w:right="40" w:firstLine="8"/>
        <w:spacing w:after="0" w:line="321" w:lineRule="auto"/>
        <w:tabs>
          <w:tab w:leader="none" w:pos="1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Agent and when the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81"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10.11 Survival</w:t>
      </w:r>
    </w:p>
    <w:p>
      <w:pPr>
        <w:spacing w:after="0" w:line="195" w:lineRule="exact"/>
        <w:rPr>
          <w:sz w:val="20"/>
          <w:szCs w:val="20"/>
          <w:color w:val="auto"/>
        </w:rPr>
      </w:pPr>
    </w:p>
    <w:p>
      <w:pPr>
        <w:ind w:left="-8" w:firstLine="8"/>
        <w:spacing w:after="0" w:line="317" w:lineRule="auto"/>
        <w:tabs>
          <w:tab w:leader="none" w:pos="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Sections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and remain in full force and effect regardless of the repayment of the Obligations, the expiration of the Letters of Credit or the termination of the Commitments or the termination of this Agreement or any provision hereof. In connection with the termination of this Agreement and the release and termination of the security interests in the Collateral, the Agent may require such indemnities and collateral security as it shall reasonably deem necessary or appropriate to protect the Credit Parties against (x) loss on account of credits previously applied to the Obligations that may subsequently be reversed or revoked, (y) any obligations that may thereafter arise with respect to the Other Liabilities, and (z) any Obligations that may thereafter arise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hereof.</w:t>
      </w:r>
    </w:p>
    <w:p>
      <w:pPr>
        <w:spacing w:after="0" w:line="102"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10.12 Severability</w:t>
      </w:r>
    </w:p>
    <w:p>
      <w:pPr>
        <w:spacing w:after="0" w:line="181" w:lineRule="exact"/>
        <w:rPr>
          <w:sz w:val="20"/>
          <w:szCs w:val="20"/>
          <w:color w:val="auto"/>
        </w:rPr>
      </w:pPr>
    </w:p>
    <w:p>
      <w:pPr>
        <w:ind w:left="-8" w:right="40" w:firstLine="8"/>
        <w:spacing w:after="0" w:line="320" w:lineRule="auto"/>
        <w:tabs>
          <w:tab w:leader="none" w:pos="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Agent, the L/C Issuer or the Swing Line Lender, as applicable, then such provisions shall be deemed to be in effect only to the extent not so limited.</w:t>
      </w:r>
    </w:p>
    <w:p>
      <w:pPr>
        <w:spacing w:after="0" w:line="95"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10.13 Replacement of Lenders</w:t>
      </w:r>
    </w:p>
    <w:p>
      <w:pPr>
        <w:spacing w:after="0" w:line="316"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0" w:right="359" w:bottom="1440" w:gutter="0" w:footer="0" w:header="0"/>
        </w:sectPr>
      </w:pPr>
    </w:p>
    <w:bookmarkStart w:id="159" w:name="page160"/>
    <w:bookmarkEnd w:id="159"/>
    <w:p>
      <w:pPr>
        <w:ind w:right="80" w:firstLine="8"/>
        <w:spacing w:after="0" w:line="302" w:lineRule="auto"/>
        <w:tabs>
          <w:tab w:leader="none" w:pos="14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the Borrowers are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is a Defaulting Lender or a Non-Consenting Lender, then the Borrowers may, at their sole expense and effort, upon notice to such Lender and the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13" w:lineRule="exact"/>
        <w:rPr>
          <w:rFonts w:ascii="Arial" w:cs="Arial" w:eastAsia="Arial" w:hAnsi="Arial"/>
          <w:sz w:val="19"/>
          <w:szCs w:val="19"/>
          <w:color w:val="auto"/>
        </w:rPr>
      </w:pPr>
    </w:p>
    <w:p>
      <w:pPr>
        <w:ind w:left="3000" w:hanging="601"/>
        <w:spacing w:after="0"/>
        <w:tabs>
          <w:tab w:leader="none" w:pos="30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the Borrowers shall have paid to the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600" w:right="120" w:firstLine="799"/>
        <w:spacing w:after="0" w:line="329" w:lineRule="auto"/>
        <w:tabs>
          <w:tab w:leader="none" w:pos="299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Borrowers (in the case of all other amounts);</w:t>
      </w:r>
    </w:p>
    <w:p>
      <w:pPr>
        <w:spacing w:after="0" w:line="93" w:lineRule="exact"/>
        <w:rPr>
          <w:rFonts w:ascii="Arial" w:cs="Arial" w:eastAsia="Arial" w:hAnsi="Arial"/>
          <w:sz w:val="18"/>
          <w:szCs w:val="18"/>
          <w:color w:val="auto"/>
        </w:rPr>
      </w:pPr>
    </w:p>
    <w:p>
      <w:pPr>
        <w:ind w:left="1600" w:right="100" w:firstLine="799"/>
        <w:spacing w:after="0" w:line="292" w:lineRule="auto"/>
        <w:tabs>
          <w:tab w:leader="none" w:pos="299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19" w:lineRule="exact"/>
        <w:rPr>
          <w:rFonts w:ascii="Arial" w:cs="Arial" w:eastAsia="Arial" w:hAnsi="Arial"/>
          <w:sz w:val="20"/>
          <w:szCs w:val="20"/>
          <w:color w:val="auto"/>
        </w:rPr>
      </w:pPr>
    </w:p>
    <w:p>
      <w:pPr>
        <w:ind w:left="3000" w:hanging="601"/>
        <w:spacing w:after="0"/>
        <w:tabs>
          <w:tab w:leader="none" w:pos="300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such assignment does not conflict with Laws; and</w:t>
      </w:r>
    </w:p>
    <w:p>
      <w:pPr>
        <w:spacing w:after="0" w:line="175" w:lineRule="exact"/>
        <w:rPr>
          <w:rFonts w:ascii="Arial" w:cs="Arial" w:eastAsia="Arial" w:hAnsi="Arial"/>
          <w:sz w:val="20"/>
          <w:szCs w:val="20"/>
          <w:color w:val="auto"/>
        </w:rPr>
      </w:pPr>
    </w:p>
    <w:p>
      <w:pPr>
        <w:ind w:left="1600" w:right="780" w:firstLine="799"/>
        <w:spacing w:after="0" w:line="331" w:lineRule="auto"/>
        <w:tabs>
          <w:tab w:leader="none" w:pos="2997"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in the case of an assignment resulting from a Lender becoming a Non-Consenting Lender, the applicable assignee shall have consented to the applicable amendment, waiver or consent.</w:t>
      </w:r>
    </w:p>
    <w:p>
      <w:pPr>
        <w:spacing w:after="0" w:line="86" w:lineRule="exact"/>
        <w:rPr>
          <w:sz w:val="20"/>
          <w:szCs w:val="20"/>
          <w:color w:val="auto"/>
        </w:rPr>
      </w:pPr>
    </w:p>
    <w:p>
      <w:pPr>
        <w:ind w:right="740"/>
        <w:spacing w:after="0" w:line="331"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10.14 Governing Law; Jurisdiction; Etc</w:t>
      </w:r>
      <w:r>
        <w:rPr>
          <w:rFonts w:ascii="Arial" w:cs="Arial" w:eastAsia="Arial" w:hAnsi="Arial"/>
          <w:sz w:val="20"/>
          <w:szCs w:val="20"/>
          <w:color w:val="auto"/>
        </w:rPr>
        <w:t>.</w:t>
      </w:r>
    </w:p>
    <w:p>
      <w:pPr>
        <w:spacing w:after="0" w:line="181" w:lineRule="exact"/>
        <w:rPr>
          <w:sz w:val="20"/>
          <w:szCs w:val="20"/>
          <w:color w:val="auto"/>
        </w:rPr>
      </w:pPr>
    </w:p>
    <w:p>
      <w:pPr>
        <w:ind w:left="320" w:right="100" w:hanging="219"/>
        <w:spacing w:after="0" w:line="286" w:lineRule="auto"/>
        <w:rPr>
          <w:sz w:val="20"/>
          <w:szCs w:val="20"/>
          <w:color w:val="auto"/>
        </w:rPr>
      </w:pPr>
      <w:r>
        <w:rPr>
          <w:rFonts w:ascii="Arial" w:cs="Arial" w:eastAsia="Arial" w:hAnsi="Arial"/>
          <w:sz w:val="20"/>
          <w:szCs w:val="20"/>
          <w:u w:val="single" w:color="auto"/>
          <w:color w:val="auto"/>
        </w:rPr>
        <w:t>(a)GOVERNING LAW</w:t>
      </w:r>
      <w:r>
        <w:rPr>
          <w:rFonts w:ascii="Arial" w:cs="Arial" w:eastAsia="Arial" w:hAnsi="Arial"/>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24" w:lineRule="exact"/>
        <w:rPr>
          <w:sz w:val="20"/>
          <w:szCs w:val="20"/>
          <w:color w:val="auto"/>
        </w:rPr>
      </w:pPr>
    </w:p>
    <w:p>
      <w:pPr>
        <w:ind w:left="340" w:hanging="230"/>
        <w:spacing w:after="0" w:line="286" w:lineRule="auto"/>
        <w:rPr>
          <w:sz w:val="20"/>
          <w:szCs w:val="20"/>
          <w:color w:val="auto"/>
        </w:rPr>
      </w:pPr>
      <w:r>
        <w:rPr>
          <w:rFonts w:ascii="Arial" w:cs="Arial" w:eastAsia="Arial" w:hAnsi="Arial"/>
          <w:sz w:val="20"/>
          <w:szCs w:val="20"/>
          <w:u w:val="single" w:color="auto"/>
          <w:color w:val="auto"/>
        </w:rPr>
        <w:t>(b)SUBMISSION TO JURISDICTION</w:t>
      </w:r>
      <w:r>
        <w:rPr>
          <w:rFonts w:ascii="Arial" w:cs="Arial" w:eastAsia="Arial" w:hAnsi="Arial"/>
          <w:sz w:val="20"/>
          <w:szCs w:val="20"/>
          <w:color w:val="auto"/>
        </w:rPr>
        <w:t>. EACH LOAN PARTY IRREVOCABLY AND UNCONDITIONALLY AGREES THAT IT WILL NOT COMMENCE ANY ACTION, LITIGATION OR PROCEEDING OF ANY KIND OR DESCRIPTION, WHETHER IN LAW OR EQUITY, WHETHER IN CONTRACT OR IN TORT OR OTHERWISE, AGAINST THE AGENT, ANY LENDER, THE L/C ISSUER, OR ANY RELATED PARTY OF THE FOREGOING IN ANY WAY RELATING TO THIS AGREEMENT OR ANY OTHER LOAN DOCUMENT OR THE TRANSACTIONS RELATING HERETO OR THERETO, IN ANY FORUM OTHER THAN THE COURTS OF THE STATE OF NEW</w:t>
      </w:r>
    </w:p>
    <w:p>
      <w:pPr>
        <w:spacing w:after="0" w:line="24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60" w:name="page161"/>
    <w:bookmarkEnd w:id="160"/>
    <w:p>
      <w:pPr>
        <w:ind w:left="92"/>
        <w:spacing w:after="0" w:line="283" w:lineRule="auto"/>
        <w:rPr>
          <w:sz w:val="20"/>
          <w:szCs w:val="20"/>
          <w:color w:val="auto"/>
        </w:rPr>
      </w:pPr>
      <w:r>
        <w:rPr>
          <w:rFonts w:ascii="Arial" w:cs="Arial" w:eastAsia="Arial" w:hAnsi="Arial"/>
          <w:sz w:val="20"/>
          <w:szCs w:val="20"/>
          <w:color w:val="auto"/>
        </w:rPr>
        <w:t>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LAW, IN SUCH FEDERAL COURT. EACH OF THE LOAN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ANY LOAN PARTY OR ITS PROPERTIES IN THE COURTS OF ANY JURISDICTION.</w:t>
      </w:r>
    </w:p>
    <w:p>
      <w:pPr>
        <w:spacing w:after="0" w:line="135" w:lineRule="exact"/>
        <w:rPr>
          <w:sz w:val="20"/>
          <w:szCs w:val="20"/>
          <w:color w:val="auto"/>
        </w:rPr>
      </w:pPr>
    </w:p>
    <w:p>
      <w:pPr>
        <w:ind w:left="312" w:hanging="219"/>
        <w:spacing w:after="0" w:line="303"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WAIVER OF VENUE</w:t>
      </w:r>
      <w:r>
        <w:rPr>
          <w:rFonts w:ascii="Arial" w:cs="Arial" w:eastAsia="Arial" w:hAnsi="Arial"/>
          <w:sz w:val="19"/>
          <w:szCs w:val="19"/>
          <w:color w:val="auto"/>
        </w:rPr>
        <w:t>. EACH LOAN PARTY IRREVOCABLY AND UNCONDITIONALLY WAIVES, TO THE FULLEST EXTENT PERMITTED BY LAW, ANY OBJECTION THAT IT MAY NOW OR HEREAFTER HAVE TO THE LAYING OF VENUE OF ANY ACTION OR PROCEEDING ARISING OUT OF OR RELATING TO THIS AGREEMENT OR ANY OTHER LOAN DOCUMENT IN ANY COURT REFERRED TO IN PARAGRAPH (B) OF THIS SECTION. EACH OF THE LOAN PARTIES HERETO HEREBY IRREVOCABLY WAIVES, TO THE FULLEST EXTENT PERMITTED BY LAW, THE DEFENSE OF AN INCONVENIENT FORUM TO THE MAINTENANCE OF SUCH ACTION OR PROCEEDING IN ANY SUCH COURT.</w:t>
      </w:r>
    </w:p>
    <w:p>
      <w:pPr>
        <w:spacing w:after="0" w:line="100" w:lineRule="exact"/>
        <w:rPr>
          <w:sz w:val="20"/>
          <w:szCs w:val="20"/>
          <w:color w:val="auto"/>
        </w:rPr>
      </w:pPr>
    </w:p>
    <w:p>
      <w:pPr>
        <w:ind w:left="332" w:hanging="230"/>
        <w:spacing w:after="0" w:line="292" w:lineRule="auto"/>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LAW.</w:t>
      </w:r>
    </w:p>
    <w:p>
      <w:pPr>
        <w:spacing w:after="0" w:line="113"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10.15 Waiver of Jury Trial</w:t>
      </w:r>
    </w:p>
    <w:p>
      <w:pPr>
        <w:spacing w:after="0" w:line="195" w:lineRule="exact"/>
        <w:rPr>
          <w:sz w:val="20"/>
          <w:szCs w:val="20"/>
          <w:color w:val="auto"/>
        </w:rPr>
      </w:pPr>
    </w:p>
    <w:p>
      <w:pPr>
        <w:ind w:left="-8" w:right="80" w:firstLine="8"/>
        <w:spacing w:after="0" w:line="284" w:lineRule="auto"/>
        <w:tabs>
          <w:tab w:leader="none" w:pos="1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EACH PARTY HERETO HEREBY IRREVOCABLY WAIVES, TO THE FULLEST EXTENT PERMITTED BY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0" w:lineRule="exact"/>
        <w:rPr>
          <w:sz w:val="20"/>
          <w:szCs w:val="20"/>
          <w:color w:val="auto"/>
        </w:rPr>
      </w:pPr>
    </w:p>
    <w:p>
      <w:pPr>
        <w:ind w:left="832"/>
        <w:spacing w:after="0"/>
        <w:rPr>
          <w:sz w:val="20"/>
          <w:szCs w:val="20"/>
          <w:color w:val="auto"/>
        </w:rPr>
      </w:pPr>
      <w:r>
        <w:rPr>
          <w:rFonts w:ascii="Arial" w:cs="Arial" w:eastAsia="Arial" w:hAnsi="Arial"/>
          <w:sz w:val="20"/>
          <w:szCs w:val="20"/>
          <w:b w:val="1"/>
          <w:bCs w:val="1"/>
          <w:color w:val="auto"/>
        </w:rPr>
        <w:t>10.16 No Advisory or Fiduciary Responsibility</w:t>
      </w:r>
    </w:p>
    <w:p>
      <w:pPr>
        <w:spacing w:after="0" w:line="195" w:lineRule="exact"/>
        <w:rPr>
          <w:sz w:val="20"/>
          <w:szCs w:val="20"/>
          <w:color w:val="auto"/>
        </w:rPr>
      </w:pPr>
    </w:p>
    <w:p>
      <w:pPr>
        <w:ind w:left="-8" w:right="280" w:firstLine="8"/>
        <w:spacing w:after="0" w:line="286" w:lineRule="auto"/>
        <w:tabs>
          <w:tab w:leader="none" w:pos="1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 connection with all aspects of each transaction contemplated hereby, the 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w:t>
      </w:r>
    </w:p>
    <w:p>
      <w:pPr>
        <w:spacing w:after="0" w:line="246" w:lineRule="exact"/>
        <w:rPr>
          <w:sz w:val="20"/>
          <w:szCs w:val="20"/>
          <w:color w:val="auto"/>
        </w:rPr>
      </w:pPr>
    </w:p>
    <w:p>
      <w:pPr>
        <w:ind w:left="12"/>
        <w:spacing w:after="0"/>
        <w:tabs>
          <w:tab w:leader="none" w:pos="5392"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275590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06" w:right="359" w:bottom="1440" w:gutter="0" w:footer="0" w:header="0"/>
        </w:sectPr>
      </w:pPr>
    </w:p>
    <w:bookmarkStart w:id="161" w:name="page162"/>
    <w:bookmarkEnd w:id="161"/>
    <w:p>
      <w:pPr>
        <w:ind w:right="20"/>
        <w:spacing w:after="0" w:line="316" w:lineRule="auto"/>
        <w:rPr>
          <w:sz w:val="20"/>
          <w:szCs w:val="20"/>
          <w:color w:val="auto"/>
        </w:rPr>
      </w:pPr>
      <w:r>
        <w:rPr>
          <w:rFonts w:ascii="Arial" w:cs="Arial" w:eastAsia="Arial" w:hAnsi="Arial"/>
          <w:sz w:val="18"/>
          <w:szCs w:val="18"/>
          <w:color w:val="auto"/>
        </w:rPr>
        <w:t>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 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10.17 USA PATRIOT Act Notice</w:t>
      </w:r>
    </w:p>
    <w:p>
      <w:pPr>
        <w:spacing w:after="0" w:line="181" w:lineRule="exact"/>
        <w:rPr>
          <w:sz w:val="20"/>
          <w:szCs w:val="20"/>
          <w:color w:val="auto"/>
        </w:rPr>
      </w:pPr>
    </w:p>
    <w:p>
      <w:pPr>
        <w:ind w:right="20" w:firstLine="8"/>
        <w:spacing w:after="0" w:line="300" w:lineRule="auto"/>
        <w:tabs>
          <w:tab w:leader="none" w:pos="14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Lender that is subject to the Act (as hereinafter defined) and the Agent (for itself and not on behalf of any Lender) hereby notifies the Loan Parties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Agent, as applicable, to identify each Loan Party in accordance with the Act. Each Loan Party is in compliance, in all material respects, with the Act. No part of the proceeds of the Loans 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 The Loan Parties shall, promptly following a request by the Agent or any Lender, provide all documentation and other information that the Agent or such Lender requests in order to comply with its ongoing obligations under applicable “know your customer”, Anti-Corruption Laws and Anti-Money Laundering Laws, including the Act and the Beneficial Ownership Regulation.</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10.18 Foreign Assets Control Regulations</w:t>
      </w:r>
    </w:p>
    <w:p>
      <w:pPr>
        <w:spacing w:after="0" w:line="195" w:lineRule="exact"/>
        <w:rPr>
          <w:sz w:val="20"/>
          <w:szCs w:val="20"/>
          <w:color w:val="auto"/>
        </w:rPr>
      </w:pPr>
    </w:p>
    <w:p>
      <w:pPr>
        <w:ind w:firstLine="8"/>
        <w:spacing w:after="0" w:line="287" w:lineRule="auto"/>
        <w:tabs>
          <w:tab w:leader="none" w:pos="14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Neither of the advance of the Loans nor the use of the proceeds of any thereof will violate the Trading With the Enemy Act (50 U.S.C. § 1 et seq., as amended) (the “Trading With the Enemy Act”) or any of the foreign assets control regulations of the United States Treasury Department (31 CFR, Subtitle B, Chapter V, as amended) (the “Foreign Assets Control Regulations”) or any enabling legislation or executive order relating thereto (which for the avoidance of doubt shall include, but shall not be limited to (a) Executive Order 13224 of September 21, 2001 Blocking Property and Prohibiting Transactions With Persons Who</w:t>
      </w:r>
    </w:p>
    <w:p>
      <w:pPr>
        <w:spacing w:after="0" w:line="23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162" w:name="page163"/>
    <w:bookmarkEnd w:id="162"/>
    <w:p>
      <w:pPr>
        <w:ind w:right="40"/>
        <w:spacing w:after="0" w:line="303" w:lineRule="auto"/>
        <w:rPr>
          <w:sz w:val="20"/>
          <w:szCs w:val="20"/>
          <w:color w:val="auto"/>
        </w:rPr>
      </w:pPr>
      <w:r>
        <w:rPr>
          <w:rFonts w:ascii="Arial" w:cs="Arial" w:eastAsia="Arial" w:hAnsi="Arial"/>
          <w:sz w:val="19"/>
          <w:szCs w:val="19"/>
          <w:color w:val="auto"/>
        </w:rPr>
        <w:t>Commit, Threaten to Commit, or Support Terrorism (66 Fed. Reg. 49079 (2001)) (the “Executive Order”) and (b) the Uniting and Strengthening America by Providing Appropriate Tools Required to Intercept and Obstruct Terrorism Act of 2001 (Public Law 107-56)). To the extent applicable, each Loan Party is in compliance, in all material respects, with the Trading with the Enemy Act. Furthermore, none of the Borrowers or their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10.19 Time of the Essence</w:t>
      </w:r>
    </w:p>
    <w:p>
      <w:pPr>
        <w:spacing w:after="0" w:line="181" w:lineRule="exact"/>
        <w:rPr>
          <w:sz w:val="20"/>
          <w:szCs w:val="20"/>
          <w:color w:val="auto"/>
        </w:rPr>
      </w:pPr>
    </w:p>
    <w:p>
      <w:pPr>
        <w:ind w:left="840" w:right="7340" w:hanging="832"/>
        <w:spacing w:after="0" w:line="485" w:lineRule="auto"/>
        <w:tabs>
          <w:tab w:leader="none" w:pos="15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Time is of the essence of the Loan Documents. </w:t>
      </w:r>
      <w:r>
        <w:rPr>
          <w:rFonts w:ascii="Arial" w:cs="Arial" w:eastAsia="Arial" w:hAnsi="Arial"/>
          <w:sz w:val="18"/>
          <w:szCs w:val="18"/>
          <w:b w:val="1"/>
          <w:bCs w:val="1"/>
          <w:color w:val="auto"/>
        </w:rPr>
        <w:t>10.20 Press Releases</w:t>
      </w:r>
      <w:r>
        <w:rPr>
          <w:rFonts w:ascii="Arial" w:cs="Arial" w:eastAsia="Arial" w:hAnsi="Arial"/>
          <w:sz w:val="18"/>
          <w:szCs w:val="18"/>
          <w:color w:val="auto"/>
        </w:rPr>
        <w:t>.</w:t>
      </w:r>
    </w:p>
    <w:p>
      <w:pPr>
        <w:ind w:left="320" w:right="120" w:hanging="219"/>
        <w:spacing w:after="0" w:line="305" w:lineRule="auto"/>
        <w:rPr>
          <w:sz w:val="20"/>
          <w:szCs w:val="20"/>
          <w:color w:val="auto"/>
        </w:rPr>
      </w:pPr>
      <w:r>
        <w:rPr>
          <w:rFonts w:ascii="Arial" w:cs="Arial" w:eastAsia="Arial" w:hAnsi="Arial"/>
          <w:sz w:val="19"/>
          <w:szCs w:val="19"/>
          <w:color w:val="auto"/>
        </w:rPr>
        <w:t>(a)Each Credit Party executing this Agreement agrees that neither it nor its Affiliates will in the future issue any press releases or other public disclosure using the name of the Agent or its Affiliates or referring to this Agreement or the other Loan Documents without at least two (2) Business Days’ prior notice to the Agent and without the prior written consent of the Agent unless (and only to the extent that) such Credit Party or Affiliate is required to do so under Law and then, in any event, such Credit Party or Affiliate will consult with the Agent before issuing such press release or other public disclosure.</w:t>
      </w:r>
    </w:p>
    <w:p>
      <w:pPr>
        <w:spacing w:after="0" w:line="97" w:lineRule="exact"/>
        <w:rPr>
          <w:sz w:val="20"/>
          <w:szCs w:val="20"/>
          <w:color w:val="auto"/>
        </w:rPr>
      </w:pPr>
    </w:p>
    <w:p>
      <w:pPr>
        <w:ind w:left="340" w:hanging="230"/>
        <w:spacing w:after="0" w:line="287" w:lineRule="auto"/>
        <w:rPr>
          <w:sz w:val="20"/>
          <w:szCs w:val="20"/>
          <w:color w:val="auto"/>
        </w:rPr>
      </w:pPr>
      <w:r>
        <w:rPr>
          <w:rFonts w:ascii="Arial" w:cs="Arial" w:eastAsia="Arial" w:hAnsi="Arial"/>
          <w:sz w:val="20"/>
          <w:szCs w:val="20"/>
          <w:color w:val="auto"/>
        </w:rPr>
        <w:t>(b)Each Loan Party consents to the publication by the Agent or any Lender of advertising material relating to the financing transactions contemplated by this Agreement using any Loan Party’s name, product photographs, logo or trademark. The Agent, or such Lender shall provide a draft reasonably in advance of any advertising material to the Lead Borrower prior to the publication thereof. The Agent reserves the right to provide to industry trade organizations information necessary and customary for inclusion in league table measurements.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10.21 Additional Waivers</w:t>
      </w:r>
      <w:r>
        <w:rPr>
          <w:rFonts w:ascii="Arial" w:cs="Arial" w:eastAsia="Arial" w:hAnsi="Arial"/>
          <w:sz w:val="20"/>
          <w:szCs w:val="20"/>
          <w:color w:val="auto"/>
        </w:rPr>
        <w:t>.</w:t>
      </w:r>
    </w:p>
    <w:p>
      <w:pPr>
        <w:spacing w:after="0" w:line="195" w:lineRule="exact"/>
        <w:rPr>
          <w:sz w:val="20"/>
          <w:szCs w:val="20"/>
          <w:color w:val="auto"/>
        </w:rPr>
      </w:pPr>
    </w:p>
    <w:p>
      <w:pPr>
        <w:ind w:left="320" w:right="20" w:hanging="219"/>
        <w:spacing w:after="0" w:line="317" w:lineRule="auto"/>
        <w:rPr>
          <w:sz w:val="20"/>
          <w:szCs w:val="20"/>
          <w:color w:val="auto"/>
        </w:rPr>
      </w:pPr>
      <w:r>
        <w:rPr>
          <w:rFonts w:ascii="Arial" w:cs="Arial" w:eastAsia="Arial" w:hAnsi="Arial"/>
          <w:sz w:val="18"/>
          <w:szCs w:val="18"/>
          <w:color w:val="auto"/>
        </w:rPr>
        <w:t>(a)The Obligations are the joint and several obligation of each Loan Party. To the fullest extent permitted by Law, the obligations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(iii) the failure to perfect any security interest in, or the release of, any of the Collateral or other security held by or on behalf of the Agent or any other Credit Party, or (iv)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 payment in full in cash of all the Obligations after the termination of the Commitments). The obligations of each Loan Party shall not be subject to any reduction, limitation, impairment or termination for any reason (other than the indefeasible payment in full in cash of the Obligations after the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w:t>
      </w:r>
    </w:p>
    <w:p>
      <w:pPr>
        <w:spacing w:after="0" w:line="21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63" w:name="page164"/>
    <w:bookmarkEnd w:id="163"/>
    <w:p>
      <w:pPr>
        <w:ind w:left="320" w:hanging="230"/>
        <w:spacing w:after="0" w:line="318" w:lineRule="auto"/>
        <w:rPr>
          <w:sz w:val="20"/>
          <w:szCs w:val="20"/>
          <w:color w:val="auto"/>
        </w:rPr>
      </w:pPr>
      <w:r>
        <w:rPr>
          <w:rFonts w:ascii="Arial" w:cs="Arial" w:eastAsia="Arial" w:hAnsi="Arial"/>
          <w:sz w:val="18"/>
          <w:szCs w:val="18"/>
          <w:color w:val="auto"/>
        </w:rPr>
        <w:t>(b)To the fullest extent permitted by Law, each Loan Party waives any defense based on or arising out of any defense of any other Loan Party or the unenforceability of the Obligations or any part thereof from any cause, or the cessation from any cause of the liability of any other Loan Party, other than the indefeasible payment in full in cash of all the Obligations and the termination of the Commitments. The Agent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of the Obligations have been indefeasibly paid in full in cash and the Commitments have been terminated. Each Loan Party waives any defense arising out of any such election even though such election operates, pursuant to Law, to impair or to extinguish any right of reimbursement or subrogation or other right or remedy of such Loan Party against any other Loan Party.</w:t>
      </w:r>
    </w:p>
    <w:p>
      <w:pPr>
        <w:spacing w:after="0" w:line="106" w:lineRule="exact"/>
        <w:rPr>
          <w:sz w:val="20"/>
          <w:szCs w:val="20"/>
          <w:color w:val="auto"/>
        </w:rPr>
      </w:pPr>
    </w:p>
    <w:p>
      <w:pPr>
        <w:ind w:left="300" w:right="20" w:hanging="219"/>
        <w:spacing w:after="0" w:line="315" w:lineRule="auto"/>
        <w:rPr>
          <w:sz w:val="20"/>
          <w:szCs w:val="20"/>
          <w:color w:val="auto"/>
        </w:rPr>
      </w:pPr>
      <w:r>
        <w:rPr>
          <w:rFonts w:ascii="Arial" w:cs="Arial" w:eastAsia="Arial" w:hAnsi="Arial"/>
          <w:sz w:val="18"/>
          <w:szCs w:val="18"/>
          <w:color w:val="auto"/>
        </w:rPr>
        <w:t>(c)Upon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of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Agent to be credited against the payment of the Obligations, whether matured or unmatured, in accordance with the terms of this Agreement and the other Loan Documents. Subject to the foregoing,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(a) rendering such Borrower “insolvent” within the meaning of Section 101 (32) of the Bankruptcy Code, Section 2 of the Uniform Fraudulent Transfer Act (“UFTA”) or Section 2 of the Uniform Fraudulent Conveyance Act (“UFCA”),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221"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6" w:right="339" w:bottom="1440" w:gutter="0" w:footer="0" w:header="0"/>
        </w:sectPr>
      </w:pPr>
    </w:p>
    <w:bookmarkStart w:id="164" w:name="page165"/>
    <w:bookmarkEnd w:id="164"/>
    <w:p>
      <w:pPr>
        <w:ind w:left="840"/>
        <w:spacing w:after="0"/>
        <w:rPr>
          <w:sz w:val="20"/>
          <w:szCs w:val="20"/>
          <w:color w:val="auto"/>
        </w:rPr>
      </w:pPr>
      <w:r>
        <w:rPr>
          <w:rFonts w:ascii="Arial" w:cs="Arial" w:eastAsia="Arial" w:hAnsi="Arial"/>
          <w:sz w:val="20"/>
          <w:szCs w:val="20"/>
          <w:b w:val="1"/>
          <w:bCs w:val="1"/>
          <w:color w:val="auto"/>
        </w:rPr>
        <w:t>10.22 No Strict Construction.</w:t>
      </w:r>
    </w:p>
    <w:p>
      <w:pPr>
        <w:spacing w:after="0" w:line="195" w:lineRule="exact"/>
        <w:rPr>
          <w:sz w:val="20"/>
          <w:szCs w:val="20"/>
          <w:color w:val="auto"/>
        </w:rPr>
      </w:pPr>
    </w:p>
    <w:p>
      <w:pPr>
        <w:ind w:right="80"/>
        <w:spacing w:after="0" w:line="314" w:lineRule="auto"/>
        <w:rPr>
          <w:sz w:val="20"/>
          <w:szCs w:val="20"/>
          <w:color w:val="auto"/>
        </w:rPr>
      </w:pPr>
      <w:r>
        <w:rPr>
          <w:rFonts w:ascii="Arial" w:cs="Arial" w:eastAsia="Arial" w:hAnsi="Arial"/>
          <w:sz w:val="19"/>
          <w:szCs w:val="19"/>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10.23 Attachments.</w:t>
      </w:r>
    </w:p>
    <w:p>
      <w:pPr>
        <w:spacing w:after="0" w:line="195"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10.24 Electronic Execution of Assignments and Certain Other Documents.</w:t>
      </w:r>
    </w:p>
    <w:p>
      <w:pPr>
        <w:spacing w:after="0" w:line="181" w:lineRule="exact"/>
        <w:rPr>
          <w:sz w:val="20"/>
          <w:szCs w:val="20"/>
          <w:color w:val="auto"/>
        </w:rPr>
      </w:pPr>
    </w:p>
    <w:p>
      <w:pPr>
        <w:ind w:right="20" w:firstLine="8"/>
        <w:spacing w:after="0" w:line="300" w:lineRule="auto"/>
        <w:tabs>
          <w:tab w:leader="none" w:pos="39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20" w:lineRule="exact"/>
        <w:rPr>
          <w:rFonts w:ascii="Arial" w:cs="Arial" w:eastAsia="Arial" w:hAnsi="Arial"/>
          <w:sz w:val="19"/>
          <w:szCs w:val="19"/>
          <w:color w:val="auto"/>
        </w:rPr>
      </w:pPr>
    </w:p>
    <w:p>
      <w:pPr>
        <w:ind w:firstLine="8"/>
        <w:spacing w:after="0" w:line="299" w:lineRule="auto"/>
        <w:tabs>
          <w:tab w:leader="none" w:pos="39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This Agreement and any document, amendment, approval, consent, information, notice, certificate, request, statement, disclosure or authorization related to this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Credit Parties of a manually signed paper Communication which has been converted into electronic form (such as scanned into PDF format), or an electronically signed Communication converted into another format, for transmission, delivery and/or retention. The Agent and each of the Credit Parties may, at its option, create one or more copies of any Communication in the form of an imaged Electronic Record (“Electronic Copy”), which shall be deemed created in the ordinary course of the such Person’s business, and destroy the original paper document. All Communications in the form of an Electronic</w:t>
      </w:r>
    </w:p>
    <w:p>
      <w:pPr>
        <w:spacing w:after="0" w:line="239"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65" w:name="page166"/>
    <w:bookmarkEnd w:id="165"/>
    <w:p>
      <w:pPr>
        <w:ind w:right="140"/>
        <w:spacing w:after="0" w:line="320" w:lineRule="auto"/>
        <w:rPr>
          <w:sz w:val="20"/>
          <w:szCs w:val="20"/>
          <w:color w:val="auto"/>
        </w:rPr>
      </w:pPr>
      <w:r>
        <w:rPr>
          <w:rFonts w:ascii="Arial" w:cs="Arial" w:eastAsia="Arial" w:hAnsi="Arial"/>
          <w:sz w:val="18"/>
          <w:szCs w:val="18"/>
          <w:color w:val="auto"/>
        </w:rPr>
        <w:t>Record, including an Electronic Copy,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provided, further, without limiting the foregoing, (a) to the extent the Agent has agreed to accept such Electronic Signature, the Agent and each of the Credit Parties shall be entitled to rely on any such Electronic Signature purportedly given by or on behalf of any Loan Party without further verification and (b) upon the request of the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10.25 Keepwell</w:t>
      </w:r>
      <w:r>
        <w:rPr>
          <w:rFonts w:ascii="Arial" w:cs="Arial" w:eastAsia="Arial" w:hAnsi="Arial"/>
          <w:sz w:val="20"/>
          <w:szCs w:val="20"/>
          <w:color w:val="auto"/>
        </w:rPr>
        <w:t>.</w:t>
      </w:r>
    </w:p>
    <w:p>
      <w:pPr>
        <w:spacing w:after="0" w:line="181" w:lineRule="exact"/>
        <w:rPr>
          <w:sz w:val="20"/>
          <w:szCs w:val="20"/>
          <w:color w:val="auto"/>
        </w:rPr>
      </w:pPr>
    </w:p>
    <w:p>
      <w:pPr>
        <w:ind w:right="40"/>
        <w:spacing w:after="0" w:line="300" w:lineRule="auto"/>
        <w:rPr>
          <w:sz w:val="20"/>
          <w:szCs w:val="20"/>
          <w:color w:val="auto"/>
        </w:rPr>
      </w:pPr>
      <w:r>
        <w:rPr>
          <w:rFonts w:ascii="Arial" w:cs="Arial" w:eastAsia="Arial" w:hAnsi="Arial"/>
          <w:sz w:val="19"/>
          <w:szCs w:val="19"/>
          <w:color w:val="auto"/>
        </w:rPr>
        <w:t>Each Loan Party that is a Qualified ECP Guarantor at the time the Facility Guaranty or the grant of a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the indefeasible payment in full of the Obligations.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10.26 Acknowledgement Regarding Any Supported QFCs.</w:t>
      </w:r>
    </w:p>
    <w:p>
      <w:pPr>
        <w:spacing w:after="0" w:line="195"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0" w:lineRule="exact"/>
        <w:rPr>
          <w:sz w:val="20"/>
          <w:szCs w:val="20"/>
          <w:color w:val="auto"/>
        </w:rPr>
      </w:pPr>
    </w:p>
    <w:p>
      <w:pPr>
        <w:ind w:right="40" w:firstLine="8"/>
        <w:spacing w:after="0" w:line="305" w:lineRule="auto"/>
        <w:tabs>
          <w:tab w:leader="none" w:pos="3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w:t>
      </w:r>
    </w:p>
    <w:p>
      <w:pPr>
        <w:spacing w:after="0" w:line="232"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6" w:right="379" w:bottom="1440" w:gutter="0" w:footer="0" w:header="0"/>
        </w:sectPr>
      </w:pPr>
    </w:p>
    <w:bookmarkStart w:id="166" w:name="page167"/>
    <w:bookmarkEnd w:id="166"/>
    <w:p>
      <w:pPr>
        <w:ind w:right="40"/>
        <w:spacing w:after="0" w:line="366" w:lineRule="auto"/>
        <w:rPr>
          <w:sz w:val="20"/>
          <w:szCs w:val="20"/>
          <w:color w:val="auto"/>
        </w:rPr>
      </w:pPr>
      <w:r>
        <w:rPr>
          <w:rFonts w:ascii="Arial" w:cs="Arial" w:eastAsia="Arial" w:hAnsi="Arial"/>
          <w:sz w:val="16"/>
          <w:szCs w:val="16"/>
          <w:color w:val="auto"/>
        </w:rPr>
        <w:t>(and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10.27 Acknowledgement and Consent to Bail-In of Affected Financial Institutions.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Lender or an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07" w:lineRule="exact"/>
        <w:rPr>
          <w:sz w:val="20"/>
          <w:szCs w:val="20"/>
          <w:color w:val="auto"/>
        </w:rPr>
      </w:pPr>
    </w:p>
    <w:p>
      <w:pPr>
        <w:ind w:right="80" w:firstLine="1678"/>
        <w:spacing w:after="0" w:line="363" w:lineRule="auto"/>
        <w:tabs>
          <w:tab w:leader="none" w:pos="279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62" w:lineRule="exact"/>
        <w:rPr>
          <w:rFonts w:ascii="Arial" w:cs="Arial" w:eastAsia="Arial" w:hAnsi="Arial"/>
          <w:sz w:val="18"/>
          <w:szCs w:val="18"/>
          <w:color w:val="auto"/>
        </w:rPr>
      </w:pPr>
    </w:p>
    <w:p>
      <w:pPr>
        <w:ind w:left="2800" w:hanging="1122"/>
        <w:spacing w:after="0"/>
        <w:tabs>
          <w:tab w:leader="none" w:pos="28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(i)a reduction in full or in part or cancellation of any such liability;</w:t>
      </w:r>
    </w:p>
    <w:p>
      <w:pPr>
        <w:spacing w:after="0" w:line="189" w:lineRule="exact"/>
        <w:rPr>
          <w:sz w:val="20"/>
          <w:szCs w:val="20"/>
          <w:color w:val="auto"/>
        </w:rPr>
      </w:pPr>
    </w:p>
    <w:p>
      <w:pPr>
        <w:ind w:left="2260" w:right="40" w:hanging="241"/>
        <w:spacing w:after="0" w:line="308" w:lineRule="auto"/>
        <w:rPr>
          <w:sz w:val="20"/>
          <w:szCs w:val="20"/>
          <w:color w:val="auto"/>
        </w:rPr>
      </w:pPr>
      <w:r>
        <w:rPr>
          <w:rFonts w:ascii="Arial" w:cs="Arial" w:eastAsia="Arial" w:hAnsi="Arial"/>
          <w:sz w:val="19"/>
          <w:szCs w:val="19"/>
          <w:color w:val="auto"/>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7" w:lineRule="exact"/>
        <w:rPr>
          <w:sz w:val="20"/>
          <w:szCs w:val="20"/>
          <w:color w:val="auto"/>
        </w:rPr>
      </w:pPr>
    </w:p>
    <w:p>
      <w:pPr>
        <w:ind w:left="2260" w:right="360" w:hanging="296"/>
        <w:spacing w:after="0" w:line="303" w:lineRule="auto"/>
        <w:rPr>
          <w:sz w:val="20"/>
          <w:szCs w:val="20"/>
          <w:color w:val="auto"/>
        </w:rPr>
      </w:pPr>
      <w:r>
        <w:rPr>
          <w:rFonts w:ascii="Arial" w:cs="Arial" w:eastAsia="Arial" w:hAnsi="Arial"/>
          <w:sz w:val="20"/>
          <w:szCs w:val="20"/>
          <w:color w:val="auto"/>
        </w:rPr>
        <w:t>(iii)the variation of the terms of such liability in connection with the exercise of the Write-Down and Conversion Powers of any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67" w:name="page168"/>
    <w:bookmarkEnd w:id="167"/>
    <w:p>
      <w:pPr>
        <w:ind w:right="40"/>
        <w:spacing w:after="0" w:line="303" w:lineRule="auto"/>
        <w:rPr>
          <w:sz w:val="20"/>
          <w:szCs w:val="20"/>
          <w:color w:val="auto"/>
        </w:rPr>
      </w:pPr>
      <w:r>
        <w:rPr>
          <w:rFonts w:ascii="Arial" w:cs="Arial" w:eastAsia="Arial" w:hAnsi="Arial"/>
          <w:sz w:val="20"/>
          <w:szCs w:val="20"/>
          <w:i w:val="1"/>
          <w:iCs w:val="1"/>
          <w:color w:val="auto"/>
        </w:rPr>
        <w:t xml:space="preserve">IN WITNESS WHEREOF, </w:t>
      </w:r>
      <w:r>
        <w:rPr>
          <w:rFonts w:ascii="Arial" w:cs="Arial" w:eastAsia="Arial" w:hAnsi="Arial"/>
          <w:sz w:val="20"/>
          <w:szCs w:val="20"/>
          <w:color w:val="auto"/>
        </w:rPr>
        <w:t>the parties hereto have caused this Agreement to be duly executed by their respective authorized officers as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date first above written.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DESTINATION XL GROUP, INC.</w:t>
      </w:r>
      <w:r>
        <w:rPr>
          <w:rFonts w:ascii="Arial" w:cs="Arial" w:eastAsia="Arial" w:hAnsi="Arial"/>
          <w:sz w:val="20"/>
          <w:szCs w:val="20"/>
          <w:color w:val="auto"/>
        </w:rPr>
        <w:t>, as a Lead Borrower and a Borrower</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CMRG APPAREL, LLC</w:t>
      </w:r>
      <w:r>
        <w:rPr>
          <w:rFonts w:ascii="Arial" w:cs="Arial" w:eastAsia="Arial" w:hAnsi="Arial"/>
          <w:sz w:val="20"/>
          <w:szCs w:val="20"/>
          <w:color w:val="auto"/>
        </w:rPr>
        <w:t>, as a Borrower</w:t>
      </w:r>
    </w:p>
    <w:p>
      <w:pPr>
        <w:spacing w:after="0" w:line="170"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CASUAL MALE RBT, LLC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CAPTURE, LLC</w:t>
      </w:r>
      <w:r>
        <w:rPr>
          <w:rFonts w:ascii="Arial" w:cs="Arial" w:eastAsia="Arial" w:hAnsi="Arial"/>
          <w:sz w:val="20"/>
          <w:szCs w:val="20"/>
          <w:color w:val="auto"/>
        </w:rPr>
        <w:t>, as a Guarantor</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CASUAL MALE STORE, LLC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80"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CASUAL MALE RETAIL STORE, LLC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CASUAL MALE DIRECT, LLC</w:t>
      </w:r>
      <w:r>
        <w:rPr>
          <w:rFonts w:ascii="Arial" w:cs="Arial" w:eastAsia="Arial" w:hAnsi="Arial"/>
          <w:sz w:val="20"/>
          <w:szCs w:val="20"/>
          <w:color w:val="auto"/>
        </w:rPr>
        <w:t>, as a Guarantor</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THINK BIG PRODUCTS LLC</w:t>
      </w:r>
      <w:r>
        <w:rPr>
          <w:rFonts w:ascii="Arial" w:cs="Arial" w:eastAsia="Arial" w:hAnsi="Arial"/>
          <w:sz w:val="20"/>
          <w:szCs w:val="20"/>
          <w:color w:val="auto"/>
        </w:rPr>
        <w:t>, as a Guarantor</w:t>
      </w:r>
    </w:p>
    <w:p>
      <w:pPr>
        <w:spacing w:after="0" w:line="316"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6" w:right="439" w:bottom="1440" w:gutter="0" w:footer="0" w:header="0"/>
        </w:sectPr>
      </w:pPr>
    </w:p>
    <w:bookmarkStart w:id="168" w:name="page169"/>
    <w:bookmarkEnd w:id="168"/>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CMRG HOLDCO, LLC</w:t>
      </w:r>
      <w:r>
        <w:rPr>
          <w:rFonts w:ascii="Arial" w:cs="Arial" w:eastAsia="Arial" w:hAnsi="Arial"/>
          <w:sz w:val="20"/>
          <w:szCs w:val="20"/>
          <w:color w:val="auto"/>
        </w:rPr>
        <w:t>, as a Guarantor</w:t>
      </w:r>
    </w:p>
    <w:p>
      <w:pPr>
        <w:spacing w:after="0" w:line="157"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DXLG WHOLESALE, LLC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CMRG APPAREL MANAGEMENT, INC.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CMXL APPAREL, LP</w:t>
      </w:r>
      <w:r>
        <w:rPr>
          <w:rFonts w:ascii="Arial" w:cs="Arial" w:eastAsia="Arial" w:hAnsi="Arial"/>
          <w:sz w:val="20"/>
          <w:szCs w:val="20"/>
          <w:color w:val="auto"/>
        </w:rPr>
        <w:t>, as a Guarantor</w:t>
      </w:r>
    </w:p>
    <w:p>
      <w:pPr>
        <w:spacing w:after="0" w:line="157"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19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CASUAL MALE (EUROPE), LLC</w:t>
      </w:r>
      <w:r>
        <w:rPr>
          <w:rFonts w:ascii="Arial" w:cs="Arial" w:eastAsia="Arial" w:hAnsi="Arial"/>
          <w:sz w:val="20"/>
          <w:szCs w:val="20"/>
          <w:color w:val="auto"/>
        </w:rPr>
        <w:t>, as a Guarantor</w:t>
      </w:r>
    </w:p>
    <w:p>
      <w:pPr>
        <w:spacing w:after="0" w:line="170"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Peter H. Stratton, Jr.</w:t>
            </w: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30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Peter H. Stratton, Jr.</w:t>
            </w:r>
          </w:p>
        </w:tc>
      </w:tr>
      <w:tr>
        <w:trPr>
          <w:trHeight w:val="250"/>
        </w:trPr>
        <w:tc>
          <w:tcPr>
            <w:tcW w:w="440" w:type="dxa"/>
            <w:vAlign w:val="bottom"/>
            <w:gridSpan w:val="2"/>
          </w:tcPr>
          <w:p>
            <w:pPr>
              <w:spacing w:after="0"/>
              <w:rPr>
                <w:sz w:val="20"/>
                <w:szCs w:val="20"/>
                <w:color w:val="auto"/>
              </w:rPr>
            </w:pPr>
            <w:r>
              <w:rPr>
                <w:rFonts w:ascii="Arial" w:cs="Arial" w:eastAsia="Arial" w:hAnsi="Arial"/>
                <w:sz w:val="20"/>
                <w:szCs w:val="20"/>
                <w:color w:val="auto"/>
                <w:w w:val="96"/>
              </w:rPr>
              <w:t>Title:</w:t>
            </w: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382" w:right="1439" w:bottom="1440" w:gutter="0" w:footer="0" w:header="0"/>
        </w:sectPr>
      </w:pPr>
    </w:p>
    <w:bookmarkStart w:id="169" w:name="page170"/>
    <w:bookmarkEnd w:id="169"/>
    <w:p>
      <w:pPr>
        <w:ind w:left="5220"/>
        <w:spacing w:after="0"/>
        <w:rPr>
          <w:sz w:val="20"/>
          <w:szCs w:val="20"/>
          <w:color w:val="auto"/>
        </w:rPr>
      </w:pPr>
      <w:r>
        <w:rPr>
          <w:rFonts w:ascii="Arial" w:cs="Arial" w:eastAsia="Arial" w:hAnsi="Arial"/>
          <w:sz w:val="19"/>
          <w:szCs w:val="19"/>
          <w:b w:val="1"/>
          <w:bCs w:val="1"/>
          <w:color w:val="auto"/>
        </w:rPr>
        <w:t>CITIZENS BANK, N.A.</w:t>
      </w:r>
      <w:r>
        <w:rPr>
          <w:rFonts w:ascii="Arial" w:cs="Arial" w:eastAsia="Arial" w:hAnsi="Arial"/>
          <w:sz w:val="19"/>
          <w:szCs w:val="19"/>
          <w:color w:val="auto"/>
        </w:rPr>
        <w:t>, as Administrative Agent and Collateral Agent</w:t>
      </w:r>
    </w:p>
    <w:p>
      <w:pPr>
        <w:spacing w:after="0" w:line="182"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Christine Scott</w:t>
            </w:r>
          </w:p>
        </w:tc>
        <w:tc>
          <w:tcPr>
            <w:tcW w:w="400" w:type="dxa"/>
            <w:vAlign w:val="bottom"/>
          </w:tcPr>
          <w:p>
            <w:pPr>
              <w:spacing w:after="0"/>
              <w:rPr>
                <w:sz w:val="19"/>
                <w:szCs w:val="19"/>
                <w:color w:val="auto"/>
              </w:rPr>
            </w:pP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Christine Scott</w:t>
            </w:r>
          </w:p>
        </w:tc>
        <w:tc>
          <w:tcPr>
            <w:tcW w:w="400" w:type="dxa"/>
            <w:vAlign w:val="bottom"/>
            <w:tcBorders>
              <w:bottom w:val="single" w:sz="8" w:color="auto"/>
            </w:tcBorders>
          </w:tcPr>
          <w:p>
            <w:pPr>
              <w:spacing w:after="0"/>
              <w:rPr>
                <w:sz w:val="21"/>
                <w:szCs w:val="2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20"/>
                <w:szCs w:val="20"/>
                <w:color w:val="auto"/>
              </w:rPr>
              <w:t>Title:</w:t>
            </w:r>
          </w:p>
        </w:tc>
        <w:tc>
          <w:tcPr>
            <w:tcW w:w="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Senior Vice President</w:t>
            </w:r>
          </w:p>
        </w:tc>
        <w:tc>
          <w:tcPr>
            <w:tcW w:w="400" w:type="dxa"/>
            <w:vAlign w:val="bottom"/>
            <w:tcBorders>
              <w:bottom w:val="single" w:sz="8" w:color="auto"/>
            </w:tcBorders>
          </w:tcPr>
          <w:p>
            <w:pPr>
              <w:spacing w:after="0"/>
              <w:rPr>
                <w:sz w:val="21"/>
                <w:szCs w:val="21"/>
                <w:color w:val="auto"/>
              </w:rPr>
            </w:pPr>
          </w:p>
        </w:tc>
      </w:tr>
    </w:tbl>
    <w:p>
      <w:pPr>
        <w:spacing w:after="0" w:line="180" w:lineRule="exact"/>
        <w:rPr>
          <w:sz w:val="20"/>
          <w:szCs w:val="20"/>
          <w:color w:val="auto"/>
        </w:rPr>
      </w:pPr>
    </w:p>
    <w:p>
      <w:pPr>
        <w:ind w:left="5220"/>
        <w:spacing w:after="0" w:line="309" w:lineRule="auto"/>
        <w:rPr>
          <w:sz w:val="20"/>
          <w:szCs w:val="20"/>
          <w:color w:val="auto"/>
        </w:rPr>
      </w:pPr>
      <w:r>
        <w:rPr>
          <w:rFonts w:ascii="Arial" w:cs="Arial" w:eastAsia="Arial" w:hAnsi="Arial"/>
          <w:sz w:val="20"/>
          <w:szCs w:val="20"/>
          <w:b w:val="1"/>
          <w:bCs w:val="1"/>
          <w:color w:val="auto"/>
        </w:rPr>
        <w:t>CITIZENS BANK, N.A.</w:t>
      </w:r>
      <w:r>
        <w:rPr>
          <w:rFonts w:ascii="Arial" w:cs="Arial" w:eastAsia="Arial" w:hAnsi="Arial"/>
          <w:sz w:val="20"/>
          <w:szCs w:val="20"/>
          <w:color w:val="auto"/>
        </w:rPr>
        <w:t>, as a Revolving Lender, L/C Issuer and Swing</w:t>
      </w:r>
      <w:r>
        <w:rPr>
          <w:rFonts w:ascii="Arial" w:cs="Arial" w:eastAsia="Arial" w:hAnsi="Arial"/>
          <w:sz w:val="20"/>
          <w:szCs w:val="20"/>
          <w:b w:val="1"/>
          <w:bCs w:val="1"/>
          <w:color w:val="auto"/>
        </w:rPr>
        <w:t xml:space="preserve"> </w:t>
      </w:r>
      <w:r>
        <w:rPr>
          <w:rFonts w:ascii="Arial" w:cs="Arial" w:eastAsia="Arial" w:hAnsi="Arial"/>
          <w:sz w:val="20"/>
          <w:szCs w:val="20"/>
          <w:color w:val="auto"/>
        </w:rPr>
        <w:t>Line Lender</w:t>
      </w:r>
    </w:p>
    <w:p>
      <w:pPr>
        <w:spacing w:after="0" w:line="78"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180" w:type="dxa"/>
            <w:vAlign w:val="bottom"/>
            <w:tcBorders>
              <w:bottom w:val="single" w:sz="8" w:color="auto"/>
            </w:tcBorders>
            <w:gridSpan w:val="2"/>
          </w:tcPr>
          <w:p>
            <w:pPr>
              <w:spacing w:after="0"/>
              <w:rPr>
                <w:sz w:val="19"/>
                <w:szCs w:val="19"/>
                <w:color w:val="auto"/>
              </w:rPr>
            </w:pP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 Christine Scott</w:t>
            </w:r>
          </w:p>
        </w:tc>
        <w:tc>
          <w:tcPr>
            <w:tcW w:w="400" w:type="dxa"/>
            <w:vAlign w:val="bottom"/>
          </w:tcPr>
          <w:p>
            <w:pPr>
              <w:spacing w:after="0"/>
              <w:rPr>
                <w:sz w:val="19"/>
                <w:szCs w:val="19"/>
                <w:color w:val="auto"/>
              </w:rPr>
            </w:pPr>
          </w:p>
        </w:tc>
      </w:tr>
      <w:tr>
        <w:trPr>
          <w:trHeight w:val="250"/>
        </w:trPr>
        <w:tc>
          <w:tcPr>
            <w:tcW w:w="580" w:type="dxa"/>
            <w:vAlign w:val="bottom"/>
            <w:gridSpan w:val="3"/>
          </w:tcPr>
          <w:p>
            <w:pPr>
              <w:spacing w:after="0"/>
              <w:rPr>
                <w:sz w:val="20"/>
                <w:szCs w:val="20"/>
                <w:color w:val="auto"/>
              </w:rPr>
            </w:pPr>
            <w:r>
              <w:rPr>
                <w:rFonts w:ascii="Arial" w:cs="Arial" w:eastAsia="Arial" w:hAnsi="Arial"/>
                <w:sz w:val="20"/>
                <w:szCs w:val="20"/>
                <w:color w:val="auto"/>
                <w:w w:val="94"/>
              </w:rPr>
              <w:t>Name:</w:t>
            </w: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Christine Scott</w:t>
            </w:r>
          </w:p>
        </w:tc>
        <w:tc>
          <w:tcPr>
            <w:tcW w:w="400" w:type="dxa"/>
            <w:vAlign w:val="bottom"/>
            <w:tcBorders>
              <w:bottom w:val="single" w:sz="8" w:color="auto"/>
            </w:tcBorders>
          </w:tcPr>
          <w:p>
            <w:pPr>
              <w:spacing w:after="0"/>
              <w:rPr>
                <w:sz w:val="21"/>
                <w:szCs w:val="2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20"/>
                <w:szCs w:val="20"/>
                <w:color w:val="auto"/>
              </w:rPr>
              <w:t>Title:</w:t>
            </w:r>
          </w:p>
        </w:tc>
        <w:tc>
          <w:tcPr>
            <w:tcW w:w="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Senior Vice President</w:t>
            </w:r>
          </w:p>
        </w:tc>
        <w:tc>
          <w:tcPr>
            <w:tcW w:w="4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380" w:val="left"/>
        </w:tabs>
        <w:rPr>
          <w:sz w:val="20"/>
          <w:szCs w:val="20"/>
          <w:color w:val="auto"/>
        </w:rPr>
      </w:pPr>
      <w:r>
        <w:rPr>
          <w:rFonts w:ascii="Arial" w:cs="Arial" w:eastAsia="Arial" w:hAnsi="Arial"/>
          <w:sz w:val="14"/>
          <w:szCs w:val="14"/>
          <w:color w:val="auto"/>
        </w:rPr>
        <w:t>DB1/ 124773100.6</w:t>
      </w:r>
      <w:r>
        <w:rPr>
          <w:sz w:val="20"/>
          <w:szCs w:val="20"/>
          <w:color w:val="auto"/>
        </w:rPr>
        <w:tab/>
      </w: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275590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400"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56"/>
        </w:trPr>
        <w:tc>
          <w:tcPr>
            <w:tcW w:w="3180" w:type="dxa"/>
            <w:vAlign w:val="bottom"/>
          </w:tcPr>
          <w:p>
            <w:pPr>
              <w:spacing w:after="0"/>
              <w:rPr>
                <w:sz w:val="22"/>
                <w:szCs w:val="22"/>
                <w:color w:val="auto"/>
              </w:rPr>
            </w:pPr>
          </w:p>
        </w:tc>
        <w:tc>
          <w:tcPr>
            <w:tcW w:w="8060" w:type="dxa"/>
            <w:vAlign w:val="bottom"/>
            <w:gridSpan w:val="4"/>
          </w:tcPr>
          <w:p>
            <w:pPr>
              <w:ind w:left="20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Revolving Lender</w:t>
            </w:r>
          </w:p>
        </w:tc>
      </w:tr>
      <w:tr>
        <w:trPr>
          <w:trHeight w:val="374"/>
        </w:trPr>
        <w:tc>
          <w:tcPr>
            <w:tcW w:w="3180" w:type="dxa"/>
            <w:vAlign w:val="bottom"/>
          </w:tcPr>
          <w:p>
            <w:pPr>
              <w:spacing w:after="0"/>
              <w:rPr>
                <w:sz w:val="24"/>
                <w:szCs w:val="24"/>
                <w:color w:val="auto"/>
              </w:rPr>
            </w:pPr>
          </w:p>
        </w:tc>
        <w:tc>
          <w:tcPr>
            <w:tcW w:w="2460" w:type="dxa"/>
            <w:vAlign w:val="bottom"/>
          </w:tcPr>
          <w:p>
            <w:pPr>
              <w:ind w:left="2060"/>
              <w:spacing w:after="0"/>
              <w:rPr>
                <w:sz w:val="20"/>
                <w:szCs w:val="20"/>
                <w:color w:val="auto"/>
              </w:rPr>
            </w:pPr>
            <w:r>
              <w:rPr>
                <w:rFonts w:ascii="Arial" w:cs="Arial" w:eastAsia="Arial" w:hAnsi="Arial"/>
                <w:sz w:val="20"/>
                <w:szCs w:val="20"/>
                <w:color w:val="auto"/>
              </w:rPr>
              <w:t>By:</w:t>
            </w: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w w:val="95"/>
              </w:rPr>
              <w:t>/s/ L. Daniel Menendez</w:t>
            </w:r>
          </w:p>
        </w:tc>
        <w:tc>
          <w:tcPr>
            <w:tcW w:w="3220" w:type="dxa"/>
            <w:vAlign w:val="bottom"/>
          </w:tcPr>
          <w:p>
            <w:pPr>
              <w:spacing w:after="0"/>
              <w:rPr>
                <w:sz w:val="24"/>
                <w:szCs w:val="24"/>
                <w:color w:val="auto"/>
              </w:rPr>
            </w:pPr>
          </w:p>
        </w:tc>
      </w:tr>
      <w:tr>
        <w:trPr>
          <w:trHeight w:val="294"/>
        </w:trPr>
        <w:tc>
          <w:tcPr>
            <w:tcW w:w="3180" w:type="dxa"/>
            <w:vAlign w:val="bottom"/>
          </w:tcPr>
          <w:p>
            <w:pPr>
              <w:spacing w:after="0"/>
              <w:rPr>
                <w:sz w:val="24"/>
                <w:szCs w:val="24"/>
                <w:color w:val="auto"/>
              </w:rPr>
            </w:pPr>
          </w:p>
        </w:tc>
        <w:tc>
          <w:tcPr>
            <w:tcW w:w="8060" w:type="dxa"/>
            <w:vAlign w:val="bottom"/>
            <w:gridSpan w:val="4"/>
          </w:tcPr>
          <w:p>
            <w:pPr>
              <w:ind w:left="2060"/>
              <w:spacing w:after="0"/>
              <w:rPr>
                <w:sz w:val="20"/>
                <w:szCs w:val="20"/>
                <w:color w:val="auto"/>
              </w:rPr>
            </w:pPr>
            <w:r>
              <w:rPr>
                <w:rFonts w:ascii="Arial" w:cs="Arial" w:eastAsia="Arial" w:hAnsi="Arial"/>
                <w:sz w:val="20"/>
                <w:szCs w:val="20"/>
                <w:color w:val="auto"/>
              </w:rPr>
              <w:t>Name: L. Daniel Menendez</w:t>
            </w:r>
          </w:p>
        </w:tc>
      </w:tr>
      <w:tr>
        <w:trPr>
          <w:trHeight w:val="270"/>
        </w:trPr>
        <w:tc>
          <w:tcPr>
            <w:tcW w:w="3180" w:type="dxa"/>
            <w:vAlign w:val="bottom"/>
          </w:tcPr>
          <w:p>
            <w:pPr>
              <w:spacing w:after="0"/>
              <w:rPr>
                <w:sz w:val="23"/>
                <w:szCs w:val="23"/>
                <w:color w:val="auto"/>
              </w:rPr>
            </w:pPr>
          </w:p>
        </w:tc>
        <w:tc>
          <w:tcPr>
            <w:tcW w:w="8060" w:type="dxa"/>
            <w:vAlign w:val="bottom"/>
            <w:gridSpan w:val="4"/>
          </w:tcPr>
          <w:p>
            <w:pPr>
              <w:ind w:left="2060"/>
              <w:spacing w:after="0"/>
              <w:rPr>
                <w:sz w:val="20"/>
                <w:szCs w:val="20"/>
                <w:color w:val="auto"/>
              </w:rPr>
            </w:pPr>
            <w:r>
              <w:rPr>
                <w:rFonts w:ascii="Arial" w:cs="Arial" w:eastAsia="Arial" w:hAnsi="Arial"/>
                <w:sz w:val="20"/>
                <w:szCs w:val="20"/>
                <w:color w:val="auto"/>
              </w:rPr>
              <w:t>Title: Vice President</w:t>
            </w:r>
          </w:p>
        </w:tc>
      </w:tr>
      <w:tr>
        <w:trPr>
          <w:trHeight w:val="538"/>
        </w:trPr>
        <w:tc>
          <w:tcPr>
            <w:tcW w:w="3180" w:type="dxa"/>
            <w:vAlign w:val="bottom"/>
          </w:tcPr>
          <w:p>
            <w:pPr>
              <w:ind w:left="20"/>
              <w:spacing w:after="0"/>
              <w:rPr>
                <w:sz w:val="20"/>
                <w:szCs w:val="20"/>
                <w:color w:val="auto"/>
              </w:rPr>
            </w:pPr>
            <w:r>
              <w:rPr>
                <w:rFonts w:ascii="Arial" w:cs="Arial" w:eastAsia="Arial" w:hAnsi="Arial"/>
                <w:sz w:val="14"/>
                <w:szCs w:val="14"/>
                <w:color w:val="auto"/>
              </w:rPr>
              <w:t>DB1/ 124773100.6</w:t>
            </w:r>
          </w:p>
        </w:tc>
        <w:tc>
          <w:tcPr>
            <w:tcW w:w="2760" w:type="dxa"/>
            <w:vAlign w:val="bottom"/>
            <w:gridSpan w:val="2"/>
          </w:tcPr>
          <w:p>
            <w:pPr>
              <w:ind w:left="2240"/>
              <w:spacing w:after="0"/>
              <w:rPr>
                <w:sz w:val="20"/>
                <w:szCs w:val="20"/>
                <w:color w:val="auto"/>
              </w:rPr>
            </w:pPr>
            <w:r>
              <w:rPr>
                <w:rFonts w:ascii="Arial" w:cs="Arial" w:eastAsia="Arial" w:hAnsi="Arial"/>
                <w:sz w:val="20"/>
                <w:szCs w:val="20"/>
                <w:color w:val="auto"/>
              </w:rPr>
              <w:t>-167-</w:t>
            </w:r>
          </w:p>
        </w:tc>
        <w:tc>
          <w:tcPr>
            <w:tcW w:w="2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83"/>
        </w:trPr>
        <w:tc>
          <w:tcPr>
            <w:tcW w:w="31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71" w:name="page172"/>
    <w:bookmarkEnd w:id="1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1"/>
      <w:numFmt w:val="decimal"/>
      <w:start w:val="104"/>
    </w:lvl>
  </w:abstractNum>
  <w:abstractNum w:abstractNumId="2">
    <w:nsid w:val="14E17E33"/>
    <w:multiLevelType w:val="hybridMultilevel"/>
    <w:lvl w:ilvl="0">
      <w:lvlJc w:val="left"/>
      <w:lvlText w:val="(%1)"/>
      <w:numFmt w:val="lowerLetter"/>
      <w:start w:val="3"/>
    </w:lvl>
  </w:abstractNum>
  <w:abstractNum w:abstractNumId="3">
    <w:nsid w:val="3222E7CD"/>
    <w:multiLevelType w:val="hybridMultilevel"/>
    <w:lvl w:ilvl="0">
      <w:lvlJc w:val="left"/>
      <w:lvlText w:val="(%1)"/>
      <w:numFmt w:val="lowerLetter"/>
      <w:start w:val="1"/>
    </w:lvl>
  </w:abstractNum>
  <w:abstractNum w:abstractNumId="4">
    <w:nsid w:val="74DE0EE3"/>
    <w:multiLevelType w:val="hybridMultilevel"/>
    <w:lvl w:ilvl="0">
      <w:lvlJc w:val="left"/>
      <w:lvlText w:val="(%1)"/>
      <w:numFmt w:val="lowerLetter"/>
      <w:start w:val="1"/>
    </w:lvl>
  </w:abstractNum>
  <w:abstractNum w:abstractNumId="5">
    <w:nsid w:val="68EBC550"/>
    <w:multiLevelType w:val="hybridMultilevel"/>
    <w:lvl w:ilvl="0">
      <w:lvlJc w:val="left"/>
      <w:lvlText w:val="(%1)"/>
      <w:numFmt w:val="decimal"/>
      <w:start w:val="1"/>
    </w:lvl>
  </w:abstractNum>
  <w:abstractNum w:abstractNumId="6">
    <w:nsid w:val="2DF6D648"/>
    <w:multiLevelType w:val="hybridMultilevel"/>
    <w:lvl w:ilvl="0">
      <w:lvlJc w:val="left"/>
      <w:lvlText w:val="(%1)"/>
      <w:numFmt w:val="decimal"/>
      <w:start w:val="1"/>
    </w:lvl>
    <w:lvl w:ilvl="1">
      <w:lvlJc w:val="left"/>
      <w:lvlText w:val="(%2)"/>
      <w:numFmt w:val="lowerLetter"/>
      <w:start w:val="1"/>
    </w:lvl>
  </w:abstractNum>
  <w:abstractNum w:abstractNumId="7">
    <w:nsid w:val="46B7D447"/>
    <w:multiLevelType w:val="hybridMultilevel"/>
    <w:lvl w:ilvl="0">
      <w:lvlJc w:val="left"/>
      <w:lvlText w:val="(%1)"/>
      <w:numFmt w:val="decimal"/>
      <w:start w:val="1"/>
    </w:lvl>
  </w:abstractNum>
  <w:abstractNum w:abstractNumId="8">
    <w:nsid w:val="4A2AC315"/>
    <w:multiLevelType w:val="hybridMultilevel"/>
    <w:lvl w:ilvl="0">
      <w:lvlJc w:val="left"/>
      <w:lvlText w:val="(%1)"/>
      <w:numFmt w:val="decimal"/>
      <w:start w:val="1"/>
    </w:lvl>
  </w:abstractNum>
  <w:abstractNum w:abstractNumId="9">
    <w:nsid w:val="39EE015C"/>
    <w:multiLevelType w:val="hybridMultilevel"/>
    <w:lvl w:ilvl="0">
      <w:lvlJc w:val="left"/>
      <w:lvlText w:val="(%1)"/>
      <w:numFmt w:val="decimal"/>
      <w:start w:val="3"/>
    </w:lvl>
  </w:abstractNum>
  <w:abstractNum w:abstractNumId="10">
    <w:nsid w:val="57FC4FBB"/>
    <w:multiLevelType w:val="hybridMultilevel"/>
    <w:lvl w:ilvl="0">
      <w:lvlJc w:val="left"/>
      <w:lvlText w:val="(%1)"/>
      <w:numFmt w:val="lowerLetter"/>
      <w:start w:val="1"/>
    </w:lvl>
  </w:abstractNum>
  <w:abstractNum w:abstractNumId="11">
    <w:nsid w:val="CC1016F"/>
    <w:multiLevelType w:val="hybridMultilevel"/>
    <w:lvl w:ilvl="0">
      <w:lvlJc w:val="left"/>
      <w:lvlText w:val="(%1)"/>
      <w:numFmt w:val="lowerLetter"/>
      <w:start w:val="3"/>
    </w:lvl>
  </w:abstractNum>
  <w:abstractNum w:abstractNumId="12">
    <w:nsid w:val="43F18422"/>
    <w:multiLevelType w:val="hybridMultilevel"/>
    <w:lvl w:ilvl="0">
      <w:lvlJc w:val="left"/>
      <w:lvlText w:val="(%1)"/>
      <w:numFmt w:val="lowerLetter"/>
      <w:start w:val="4"/>
    </w:lvl>
  </w:abstractNum>
  <w:abstractNum w:abstractNumId="13">
    <w:nsid w:val="60EF0119"/>
    <w:multiLevelType w:val="hybridMultilevel"/>
    <w:lvl w:ilvl="0">
      <w:lvlJc w:val="left"/>
      <w:lvlText w:val="(%1)"/>
      <w:numFmt w:val="lowerLetter"/>
      <w:start w:val="5"/>
    </w:lvl>
  </w:abstractNum>
  <w:abstractNum w:abstractNumId="14">
    <w:nsid w:val="26F324BA"/>
    <w:multiLevelType w:val="hybridMultilevel"/>
    <w:lvl w:ilvl="0">
      <w:lvlJc w:val="left"/>
      <w:lvlText w:val="(%1)"/>
      <w:numFmt w:val="lowerLetter"/>
      <w:start w:val="6"/>
    </w:lvl>
  </w:abstractNum>
  <w:abstractNum w:abstractNumId="15">
    <w:nsid w:val="7F01579B"/>
    <w:multiLevelType w:val="hybridMultilevel"/>
    <w:lvl w:ilvl="0">
      <w:lvlJc w:val="left"/>
      <w:lvlText w:val="(%1)"/>
      <w:numFmt w:val="lowerLetter"/>
      <w:start w:val="1"/>
    </w:lvl>
  </w:abstractNum>
  <w:abstractNum w:abstractNumId="16">
    <w:nsid w:val="49DA307D"/>
    <w:multiLevelType w:val="hybridMultilevel"/>
    <w:lvl w:ilvl="0">
      <w:lvlJc w:val="left"/>
      <w:lvlText w:val="(%1)"/>
      <w:numFmt w:val="lowerLetter"/>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1)"/>
      <w:numFmt w:val="lowerRoman"/>
      <w:start w:val="2"/>
    </w:lvl>
  </w:abstractNum>
  <w:abstractNum w:abstractNumId="19">
    <w:nsid w:val="50801EE1"/>
    <w:multiLevelType w:val="hybridMultilevel"/>
    <w:lvl w:ilvl="0">
      <w:lvlJc w:val="left"/>
      <w:lvlText w:val="(%1)"/>
      <w:numFmt w:val="decimal"/>
      <w:start w:val="1"/>
    </w:lvl>
  </w:abstractNum>
  <w:abstractNum w:abstractNumId="20">
    <w:nsid w:val="488AC1A"/>
    <w:multiLevelType w:val="hybridMultilevel"/>
    <w:lvl w:ilvl="0">
      <w:lvlJc w:val="left"/>
      <w:lvlText w:val="(%1)"/>
      <w:numFmt w:val="lowerLetter"/>
      <w:start w:val="1"/>
    </w:lvl>
  </w:abstractNum>
  <w:abstractNum w:abstractNumId="21">
    <w:nsid w:val="5FB8011C"/>
    <w:multiLevelType w:val="hybridMultilevel"/>
    <w:lvl w:ilvl="0">
      <w:lvlJc w:val="left"/>
      <w:lvlText w:val="(%1)"/>
      <w:numFmt w:val="lowerLetter"/>
      <w:start w:val="5"/>
    </w:lvl>
  </w:abstractNum>
  <w:abstractNum w:abstractNumId="22">
    <w:nsid w:val="6AA78F7F"/>
    <w:multiLevelType w:val="hybridMultilevel"/>
    <w:lvl w:ilvl="0">
      <w:lvlJc w:val="left"/>
      <w:lvlText w:val="(%1)"/>
      <w:numFmt w:val="lowerLetter"/>
      <w:start w:val="1"/>
    </w:lvl>
  </w:abstractNum>
  <w:abstractNum w:abstractNumId="23">
    <w:nsid w:val="7672BD23"/>
    <w:multiLevelType w:val="hybridMultilevel"/>
    <w:lvl w:ilvl="0">
      <w:lvlJc w:val="left"/>
      <w:lvlText w:val="(%1)"/>
      <w:numFmt w:val="lowerLetter"/>
      <w:start w:val="1"/>
    </w:lvl>
  </w:abstractNum>
  <w:abstractNum w:abstractNumId="24">
    <w:nsid w:val="6FC75AF8"/>
    <w:multiLevelType w:val="hybridMultilevel"/>
    <w:lvl w:ilvl="0">
      <w:lvlJc w:val="left"/>
      <w:lvlText w:val="(%1)"/>
      <w:numFmt w:val="lowerLetter"/>
      <w:start w:val="8"/>
    </w:lvl>
  </w:abstractNum>
  <w:abstractNum w:abstractNumId="25">
    <w:nsid w:val="6A5F7029"/>
    <w:multiLevelType w:val="hybridMultilevel"/>
    <w:lvl w:ilvl="0">
      <w:lvlJc w:val="left"/>
      <w:lvlText w:val="(%1)"/>
      <w:numFmt w:val="lowerLetter"/>
      <w:start w:val="2"/>
    </w:lvl>
  </w:abstractNum>
  <w:abstractNum w:abstractNumId="26">
    <w:nsid w:val="7D5E18F8"/>
    <w:multiLevelType w:val="hybridMultilevel"/>
    <w:lvl w:ilvl="0">
      <w:lvlJc w:val="left"/>
      <w:lvlText w:val="(%1)"/>
      <w:numFmt w:val="lowerLetter"/>
      <w:start w:val="1"/>
    </w:lvl>
  </w:abstractNum>
  <w:abstractNum w:abstractNumId="27">
    <w:nsid w:val="5F3534A4"/>
    <w:multiLevelType w:val="hybridMultilevel"/>
    <w:lvl w:ilvl="0">
      <w:lvlJc w:val="left"/>
      <w:lvlText w:val="(%1)"/>
      <w:numFmt w:val="lowerLetter"/>
      <w:start w:val="3"/>
    </w:lvl>
  </w:abstractNum>
  <w:abstractNum w:abstractNumId="28">
    <w:nsid w:val="73A1821B"/>
    <w:multiLevelType w:val="hybridMultilevel"/>
    <w:lvl w:ilvl="0">
      <w:lvlJc w:val="left"/>
      <w:lvlText w:val="(%1)"/>
      <w:numFmt w:val="lowerRoman"/>
      <w:start w:val="2"/>
    </w:lvl>
  </w:abstractNum>
  <w:abstractNum w:abstractNumId="29">
    <w:nsid w:val="7DE67713"/>
    <w:multiLevelType w:val="hybridMultilevel"/>
    <w:lvl w:ilvl="0">
      <w:lvlJc w:val="left"/>
      <w:lvlText w:val="(%1)"/>
      <w:numFmt w:val="lowerLetter"/>
      <w:start w:val="1"/>
    </w:lvl>
  </w:abstractNum>
  <w:abstractNum w:abstractNumId="30">
    <w:nsid w:val="555C55B5"/>
    <w:multiLevelType w:val="hybridMultilevel"/>
    <w:lvl w:ilvl="0">
      <w:lvlJc w:val="left"/>
      <w:lvlText w:val="(%1)"/>
      <w:numFmt w:val="lowerLetter"/>
      <w:start w:val="4"/>
    </w:lvl>
  </w:abstractNum>
  <w:abstractNum w:abstractNumId="31">
    <w:nsid w:val="3FA62ACA"/>
    <w:multiLevelType w:val="hybridMultilevel"/>
    <w:lvl w:ilvl="0">
      <w:lvlJc w:val="left"/>
      <w:lvlText w:val="(%1)"/>
      <w:numFmt w:val="lowerLetter"/>
      <w:start w:val="1"/>
    </w:lvl>
  </w:abstractNum>
  <w:abstractNum w:abstractNumId="32">
    <w:nsid w:val="14FCE74E"/>
    <w:multiLevelType w:val="hybridMultilevel"/>
    <w:lvl w:ilvl="0">
      <w:lvlJc w:val="left"/>
      <w:lvlText w:val="(%1)"/>
      <w:numFmt w:val="lowerLetter"/>
      <w:start w:val="2"/>
    </w:lvl>
  </w:abstractNum>
  <w:abstractNum w:abstractNumId="33">
    <w:nsid w:val="6A3DD3E8"/>
    <w:multiLevelType w:val="hybridMultilevel"/>
    <w:lvl w:ilvl="0">
      <w:lvlJc w:val="left"/>
      <w:lvlText w:val="(%1)"/>
      <w:numFmt w:val="lowerLetter"/>
      <w:start w:val="2"/>
    </w:lvl>
  </w:abstractNum>
  <w:abstractNum w:abstractNumId="34">
    <w:nsid w:val="71C91298"/>
    <w:multiLevelType w:val="hybridMultilevel"/>
    <w:lvl w:ilvl="0">
      <w:lvlJc w:val="left"/>
      <w:lvlText w:val="(%1)"/>
      <w:numFmt w:val="lowerLetter"/>
      <w:start w:val="2"/>
    </w:lvl>
  </w:abstractNum>
  <w:abstractNum w:abstractNumId="35">
    <w:nsid w:val="9DAF632"/>
    <w:multiLevelType w:val="hybridMultilevel"/>
    <w:lvl w:ilvl="0">
      <w:lvlJc w:val="left"/>
      <w:lvlText w:val="(%1)"/>
      <w:numFmt w:val="lowerLetter"/>
      <w:start w:val="1"/>
    </w:lvl>
  </w:abstractNum>
  <w:abstractNum w:abstractNumId="36">
    <w:nsid w:val="53299938"/>
    <w:multiLevelType w:val="hybridMultilevel"/>
    <w:lvl w:ilvl="0">
      <w:lvlJc w:val="left"/>
      <w:lvlText w:val="(%1)"/>
      <w:numFmt w:val="lowerLetter"/>
      <w:start w:val="2"/>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lowerLetter"/>
      <w:start w:val="5"/>
    </w:lvl>
  </w:abstractNum>
  <w:abstractNum w:abstractNumId="39">
    <w:nsid w:val="1D545C4D"/>
    <w:multiLevelType w:val="hybridMultilevel"/>
    <w:lvl w:ilvl="0">
      <w:lvlJc w:val="left"/>
      <w:lvlText w:val="(%1)"/>
      <w:numFmt w:val="lowerLetter"/>
      <w:start w:val="1"/>
    </w:lvl>
  </w:abstractNum>
  <w:abstractNum w:abstractNumId="40">
    <w:nsid w:val="59ADEA3D"/>
    <w:multiLevelType w:val="hybridMultilevel"/>
    <w:lvl w:ilvl="0">
      <w:lvlJc w:val="left"/>
      <w:lvlText w:val="(%1)"/>
      <w:numFmt w:val="lowerLetter"/>
      <w:start w:val="7"/>
    </w:lvl>
  </w:abstractNum>
  <w:abstractNum w:abstractNumId="41">
    <w:nsid w:val="288F1A34"/>
    <w:multiLevelType w:val="hybridMultilevel"/>
    <w:lvl w:ilvl="0">
      <w:lvlJc w:val="left"/>
      <w:lvlText w:val="(%1)"/>
      <w:numFmt w:val="lowerLetter"/>
      <w:start w:val="1"/>
    </w:lvl>
  </w:abstractNum>
  <w:abstractNum w:abstractNumId="42">
    <w:nsid w:val="2A155DBC"/>
    <w:multiLevelType w:val="hybridMultilevel"/>
    <w:lvl w:ilvl="0">
      <w:lvlJc w:val="left"/>
      <w:lvlText w:val="(%1)"/>
      <w:numFmt w:val="lowerLetter"/>
      <w:start w:val="10"/>
    </w:lvl>
  </w:abstractNum>
  <w:abstractNum w:abstractNumId="43">
    <w:nsid w:val="1D9F6E5F"/>
    <w:multiLevelType w:val="hybridMultilevel"/>
    <w:lvl w:ilvl="0">
      <w:lvlJc w:val="left"/>
      <w:lvlText w:val="(%1)"/>
      <w:numFmt w:val="lowerLetter"/>
      <w:start w:val="1"/>
    </w:lvl>
  </w:abstractNum>
  <w:abstractNum w:abstractNumId="44">
    <w:nsid w:val="97E1B4E"/>
    <w:multiLevelType w:val="hybridMultilevel"/>
    <w:lvl w:ilvl="0">
      <w:lvlJc w:val="left"/>
      <w:lvlText w:val="(%1)"/>
      <w:numFmt w:val="lowerLetter"/>
      <w:start w:val="8"/>
    </w:lvl>
  </w:abstractNum>
  <w:abstractNum w:abstractNumId="45">
    <w:nsid w:val="51088277"/>
    <w:multiLevelType w:val="hybridMultilevel"/>
    <w:lvl w:ilvl="0">
      <w:lvlJc w:val="left"/>
      <w:lvlText w:val="(%1)"/>
      <w:numFmt w:val="lowerLetter"/>
      <w:start w:val="1"/>
    </w:lvl>
  </w:abstractNum>
  <w:abstractNum w:abstractNumId="46">
    <w:nsid w:val="1CA0C5FA"/>
    <w:multiLevelType w:val="hybridMultilevel"/>
    <w:lvl w:ilvl="0">
      <w:lvlJc w:val="left"/>
      <w:lvlText w:val="(%1)"/>
      <w:numFmt w:val="lowerLetter"/>
      <w:start w:val="2"/>
    </w:lvl>
  </w:abstractNum>
  <w:abstractNum w:abstractNumId="47">
    <w:nsid w:val="53584BCB"/>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48">
    <w:nsid w:val="415E286C"/>
    <w:multiLevelType w:val="hybridMultilevel"/>
    <w:lvl w:ilvl="0">
      <w:lvlJc w:val="left"/>
      <w:lvlText w:val="."/>
      <w:numFmt w:val="bullet"/>
      <w:start w:val="1"/>
    </w:lvl>
    <w:lvl w:ilvl="1">
      <w:lvlJc w:val="left"/>
      <w:lvlText w:val="(%2)"/>
      <w:numFmt w:val="lowerRoman"/>
      <w:start w:val="6"/>
    </w:lvl>
    <w:lvl w:ilvl="2">
      <w:lvlJc w:val="left"/>
      <w:lvlText w:val="(%3)"/>
      <w:numFmt w:val="lowerLetter"/>
      <w:start w:val="2"/>
    </w:lvl>
  </w:abstractNum>
  <w:abstractNum w:abstractNumId="49">
    <w:nsid w:val="7C58FD05"/>
    <w:multiLevelType w:val="hybridMultilevel"/>
    <w:lvl w:ilvl="0">
      <w:lvlJc w:val="left"/>
      <w:lvlText w:val="(%1)"/>
      <w:numFmt w:val="lowerLetter"/>
      <w:start w:val="5"/>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54">
    <w:nsid w:val="3C5991AA"/>
    <w:multiLevelType w:val="hybridMultilevel"/>
    <w:lvl w:ilvl="0">
      <w:lvlJc w:val="left"/>
      <w:lvlText w:val="(%1)"/>
      <w:numFmt w:val="lowerRoman"/>
      <w:start w:val="5"/>
    </w:lvl>
  </w:abstractNum>
  <w:abstractNum w:abstractNumId="55">
    <w:nsid w:val="4BD8591A"/>
    <w:multiLevelType w:val="hybridMultilevel"/>
    <w:lvl w:ilvl="0">
      <w:lvlJc w:val="left"/>
      <w:lvlText w:val="(%1)"/>
      <w:numFmt w:val="lowerRoman"/>
      <w:start w:val="10"/>
    </w:lvl>
  </w:abstractNum>
  <w:abstractNum w:abstractNumId="56">
    <w:nsid w:val="78DF6A55"/>
    <w:multiLevelType w:val="hybridMultilevel"/>
    <w:lvl w:ilvl="0">
      <w:lvlJc w:val="left"/>
      <w:lvlText w:val="(%1)"/>
      <w:numFmt w:val="upperLetter"/>
      <w:start w:val="1"/>
    </w:lvl>
  </w:abstractNum>
  <w:abstractNum w:abstractNumId="57">
    <w:nsid w:val="39B7AAA2"/>
    <w:multiLevelType w:val="hybridMultilevel"/>
    <w:lvl w:ilvl="0">
      <w:lvlJc w:val="left"/>
      <w:lvlText w:val="(%1)"/>
      <w:numFmt w:val="lowerRoman"/>
      <w:start w:val="1"/>
    </w:lvl>
    <w:lvl w:ilvl="1">
      <w:lvlJc w:val="left"/>
      <w:lvlText w:val="(%2)"/>
      <w:numFmt w:val="lowerRoman"/>
      <w:start w:val="3"/>
    </w:lvl>
  </w:abstractNum>
  <w:abstractNum w:abstractNumId="58">
    <w:nsid w:val="2B0D8DBE"/>
    <w:multiLevelType w:val="hybridMultilevel"/>
    <w:lvl w:ilvl="0">
      <w:lvlJc w:val="left"/>
      <w:lvlText w:val="(%1)"/>
      <w:numFmt w:val="lowerRoman"/>
      <w:start w:val="5"/>
    </w:lvl>
  </w:abstractNum>
  <w:abstractNum w:abstractNumId="59">
    <w:nsid w:val="6C80EC70"/>
    <w:multiLevelType w:val="hybridMultilevel"/>
    <w:lvl w:ilvl="0">
      <w:lvlJc w:val="left"/>
      <w:lvlText w:val="(%1)"/>
      <w:numFmt w:val="lowerRoman"/>
      <w:start w:val="7"/>
    </w:lvl>
  </w:abstractNum>
  <w:abstractNum w:abstractNumId="60">
    <w:nsid w:val="379E21B5"/>
    <w:multiLevelType w:val="hybridMultilevel"/>
    <w:lvl w:ilvl="0">
      <w:lvlJc w:val="left"/>
      <w:lvlText w:val="(%1)"/>
      <w:numFmt w:val="lowerRoman"/>
      <w:start w:val="2"/>
    </w:lvl>
  </w:abstractNum>
  <w:abstractNum w:abstractNumId="61">
    <w:nsid w:val="69E373"/>
    <w:multiLevelType w:val="hybridMultilevel"/>
    <w:lvl w:ilvl="0">
      <w:lvlJc w:val="left"/>
      <w:lvlText w:val="."/>
      <w:numFmt w:val="bullet"/>
      <w:start w:val="1"/>
    </w:lvl>
    <w:lvl w:ilvl="1">
      <w:lvlJc w:val="left"/>
      <w:lvlText w:val="(%2)"/>
      <w:numFmt w:val="lowerRoman"/>
      <w:start w:val="1"/>
    </w:lvl>
  </w:abstractNum>
  <w:abstractNum w:abstractNumId="62">
    <w:nsid w:val="2C27173B"/>
    <w:multiLevelType w:val="hybridMultilevel"/>
    <w:lvl w:ilvl="0">
      <w:lvlJc w:val="left"/>
      <w:lvlText w:val="(%1)"/>
      <w:numFmt w:val="lowerRoman"/>
      <w:start w:val="6"/>
    </w:lvl>
  </w:abstractNum>
  <w:abstractNum w:abstractNumId="63">
    <w:nsid w:val="4C9B0904"/>
    <w:multiLevelType w:val="hybridMultilevel"/>
    <w:lvl w:ilvl="0">
      <w:lvlJc w:val="left"/>
      <w:lvlText w:val="(%1)"/>
      <w:numFmt w:val="lowerRoman"/>
      <w:start w:val="1"/>
    </w:lvl>
  </w:abstractNum>
  <w:abstractNum w:abstractNumId="64">
    <w:nsid w:val="6AA7B75C"/>
    <w:multiLevelType w:val="hybridMultilevel"/>
    <w:lvl w:ilvl="0">
      <w:lvlJc w:val="left"/>
      <w:lvlText w:val="(%1)"/>
      <w:numFmt w:val="lowerRoman"/>
      <w:start w:val="2"/>
    </w:lvl>
    <w:lvl w:ilvl="1">
      <w:lvlJc w:val="left"/>
      <w:lvlText w:val="(%2)"/>
      <w:numFmt w:val="upperLetter"/>
      <w:start w:val="1"/>
    </w:lvl>
  </w:abstractNum>
  <w:abstractNum w:abstractNumId="65">
    <w:nsid w:val="1DF029D3"/>
    <w:multiLevelType w:val="hybridMultilevel"/>
    <w:lvl w:ilvl="0">
      <w:lvlJc w:val="left"/>
      <w:lvlText w:val="(%1)"/>
      <w:numFmt w:val="upperLetter"/>
      <w:start w:val="1"/>
    </w:lvl>
    <w:lvl w:ilvl="1">
      <w:lvlJc w:val="left"/>
      <w:lvlText w:val="(%2)"/>
      <w:numFmt w:val="lowerRoman"/>
      <w:start w:val="4"/>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1)"/>
      <w:numFmt w:val="lowerRoman"/>
      <w:start w:val="1"/>
    </w:lvl>
  </w:abstractNum>
  <w:abstractNum w:abstractNumId="68">
    <w:nsid w:val="3DB012B3"/>
    <w:multiLevelType w:val="hybridMultilevel"/>
    <w:lvl w:ilvl="0">
      <w:lvlJc w:val="left"/>
      <w:lvlText w:val="(%1)"/>
      <w:numFmt w:val="lowerRoman"/>
      <w:start w:val="2"/>
    </w:lvl>
  </w:abstractNum>
  <w:abstractNum w:abstractNumId="69">
    <w:nsid w:val="2708C9AF"/>
    <w:multiLevelType w:val="hybridMultilevel"/>
    <w:lvl w:ilvl="0">
      <w:lvlJc w:val="left"/>
      <w:lvlText w:val="(%1)"/>
      <w:numFmt w:val="lowerRoman"/>
      <w:start w:val="1"/>
    </w:lvl>
    <w:lvl w:ilvl="1">
      <w:lvlJc w:val="left"/>
      <w:lvlText w:val="(%2)"/>
      <w:numFmt w:val="lowerRoman"/>
      <w:start w:val="3"/>
    </w:lvl>
  </w:abstractNum>
  <w:abstractNum w:abstractNumId="70">
    <w:nsid w:val="5B25ACE2"/>
    <w:multiLevelType w:val="hybridMultilevel"/>
    <w:lvl w:ilvl="0">
      <w:lvlJc w:val="left"/>
      <w:lvlText w:val="(%1)"/>
      <w:numFmt w:val="lowerRoman"/>
      <w:start w:val="4"/>
    </w:lvl>
  </w:abstractNum>
  <w:abstractNum w:abstractNumId="71">
    <w:nsid w:val="175DFCF0"/>
    <w:multiLevelType w:val="hybridMultilevel"/>
    <w:lvl w:ilvl="0">
      <w:lvlJc w:val="left"/>
      <w:lvlText w:val="(%1)"/>
      <w:numFmt w:val="lowerRoman"/>
      <w:start w:val="1"/>
    </w:lvl>
  </w:abstractNum>
  <w:abstractNum w:abstractNumId="72">
    <w:nsid w:val="4F97E3E4"/>
    <w:multiLevelType w:val="hybridMultilevel"/>
    <w:lvl w:ilvl="0">
      <w:lvlJc w:val="left"/>
      <w:lvlText w:val="(%1)"/>
      <w:numFmt w:val="lowerRoman"/>
      <w:start w:val="2"/>
    </w:lvl>
  </w:abstractNum>
  <w:abstractNum w:abstractNumId="73">
    <w:nsid w:val="53B0A9E"/>
    <w:multiLevelType w:val="hybridMultilevel"/>
    <w:lvl w:ilvl="0">
      <w:lvlJc w:val="left"/>
      <w:lvlText w:val="."/>
      <w:numFmt w:val="bullet"/>
      <w:start w:val="1"/>
    </w:lvl>
    <w:lvl w:ilvl="1">
      <w:lvlJc w:val="left"/>
      <w:lvlText w:val="(%2)"/>
      <w:numFmt w:val="lowerLetter"/>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1)"/>
      <w:numFmt w:val="lowerLetter"/>
      <w:start w:val="1"/>
    </w:lvl>
  </w:abstractNum>
  <w:abstractNum w:abstractNumId="76">
    <w:nsid w:val="56438D15"/>
    <w:multiLevelType w:val="hybridMultilevel"/>
    <w:lvl w:ilvl="0">
      <w:lvlJc w:val="left"/>
      <w:lvlText w:val="(%1)"/>
      <w:numFmt w:val="lowerLetter"/>
      <w:start w:val="2"/>
    </w:lvl>
  </w:abstractNum>
  <w:abstractNum w:abstractNumId="77">
    <w:nsid w:val="519E3149"/>
    <w:multiLevelType w:val="hybridMultilevel"/>
    <w:lvl w:ilvl="0">
      <w:lvlJc w:val="left"/>
      <w:lvlText w:val="(%1)"/>
      <w:numFmt w:val="lowerLetter"/>
      <w:start w:val="10"/>
    </w:lvl>
  </w:abstractNum>
  <w:abstractNum w:abstractNumId="78">
    <w:nsid w:val="2C6E4AFD"/>
    <w:multiLevelType w:val="hybridMultilevel"/>
    <w:lvl w:ilvl="0">
      <w:lvlJc w:val="left"/>
      <w:lvlText w:val="."/>
      <w:numFmt w:val="bullet"/>
      <w:start w:val="1"/>
    </w:lvl>
    <w:lvl w:ilvl="1">
      <w:lvlJc w:val="left"/>
      <w:lvlText w:val="(%2)"/>
      <w:numFmt w:val="lowerLetter"/>
      <w:start w:val="1"/>
    </w:lvl>
  </w:abstractNum>
  <w:abstractNum w:abstractNumId="79">
    <w:nsid w:val="17A1B582"/>
    <w:multiLevelType w:val="hybridMultilevel"/>
    <w:lvl w:ilvl="0">
      <w:lvlJc w:val="left"/>
      <w:lvlText w:val="(%1)"/>
      <w:numFmt w:val="lowerLetter"/>
      <w:start w:val="2"/>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abstractNum>
  <w:abstractNum w:abstractNumId="83">
    <w:nsid w:val="2A082C70"/>
    <w:multiLevelType w:val="hybridMultilevel"/>
    <w:lvl w:ilvl="0">
      <w:lvlJc w:val="left"/>
      <w:lvlText w:val="."/>
      <w:numFmt w:val="bullet"/>
      <w:start w:val="1"/>
    </w:lvl>
  </w:abstractNum>
  <w:abstractNum w:abstractNumId="84">
    <w:nsid w:val="5EC6AFD4"/>
    <w:multiLevelType w:val="hybridMultilevel"/>
    <w:lvl w:ilvl="0">
      <w:lvlJc w:val="left"/>
      <w:lvlText w:val="."/>
      <w:numFmt w:val="bullet"/>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
      <w:numFmt w:val="bullet"/>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
      <w:numFmt w:val="bullet"/>
      <w:start w:val="1"/>
    </w:lvl>
    <w:lvl w:ilvl="1">
      <w:lvlJc w:val="left"/>
      <w:lvlText w:val="(%2)"/>
      <w:numFmt w:val="lowerLetter"/>
      <w:start w:val="1"/>
    </w:lvl>
  </w:abstractNum>
  <w:abstractNum w:abstractNumId="97">
    <w:nsid w:val="2E48F044"/>
    <w:multiLevelType w:val="hybridMultilevel"/>
    <w:lvl w:ilvl="0">
      <w:lvlJc w:val="left"/>
      <w:lvlText w:val="%1"/>
      <w:numFmt w:val="lowerLetter"/>
      <w:start w:val="1"/>
    </w:lvl>
    <w:lvl w:ilvl="1">
      <w:lvlJc w:val="left"/>
      <w:lvlText w:val="(%2)"/>
      <w:numFmt w:val="lowerLetter"/>
      <w:start w:val="2"/>
    </w:lvl>
  </w:abstractNum>
  <w:abstractNum w:abstractNumId="98">
    <w:nsid w:val="49D0FEAC"/>
    <w:multiLevelType w:val="hybridMultilevel"/>
    <w:lvl w:ilvl="0">
      <w:lvlJc w:val="left"/>
      <w:lvlText w:val="(%1)"/>
      <w:numFmt w:val="lowerLetter"/>
      <w:start w:val="4"/>
    </w:lvl>
    <w:lvl w:ilvl="1">
      <w:lvlJc w:val="left"/>
      <w:lvlText w:val="%2"/>
      <w:numFmt w:val="lowerLetter"/>
      <w:start w:val="1"/>
    </w:lvl>
  </w:abstractNum>
  <w:abstractNum w:abstractNumId="99">
    <w:nsid w:val="4BEE5A5B"/>
    <w:multiLevelType w:val="hybridMultilevel"/>
    <w:lvl w:ilvl="0">
      <w:lvlJc w:val="left"/>
      <w:lvlText w:val="(%1)"/>
      <w:numFmt w:val="lowerLetter"/>
      <w:start w:val="1"/>
    </w:lvl>
  </w:abstractNum>
  <w:abstractNum w:abstractNumId="100">
    <w:nsid w:val="5551B9F3"/>
    <w:multiLevelType w:val="hybridMultilevel"/>
    <w:lvl w:ilvl="0">
      <w:lvlJc w:val="left"/>
      <w:lvlText w:val="(%1)"/>
      <w:numFmt w:val="lowerLetter"/>
      <w:start w:val="8"/>
    </w:lvl>
  </w:abstractNum>
  <w:abstractNum w:abstractNumId="101">
    <w:nsid w:val="24F6AB8E"/>
    <w:multiLevelType w:val="hybridMultilevel"/>
    <w:lvl w:ilvl="0">
      <w:lvlJc w:val="left"/>
      <w:lvlText w:val="."/>
      <w:numFmt w:val="bullet"/>
      <w:start w:val="1"/>
    </w:lvl>
    <w:lvl w:ilvl="1">
      <w:lvlJc w:val="left"/>
      <w:lvlText w:val="(%2)"/>
      <w:numFmt w:val="lowerLetter"/>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1)"/>
      <w:numFmt w:val="lowerLetter"/>
      <w:start w:val="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1)"/>
      <w:numFmt w:val="lowerLetter"/>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1)"/>
      <w:numFmt w:val="lowerRoman"/>
      <w:start w:val="1"/>
    </w:lvl>
  </w:abstractNum>
  <w:abstractNum w:abstractNumId="109">
    <w:nsid w:val="2A6DE806"/>
    <w:multiLevelType w:val="hybridMultilevel"/>
    <w:lvl w:ilvl="0">
      <w:lvlJc w:val="left"/>
      <w:lvlText w:val="(%1)"/>
      <w:numFmt w:val="lowerRoman"/>
      <w:start w:val="1"/>
    </w:lvl>
    <w:lvl w:ilvl="1">
      <w:lvlJc w:val="left"/>
      <w:lvlText w:val="(%2)"/>
      <w:numFmt w:val="lowerRoman"/>
      <w:start w:val="3"/>
    </w:lvl>
  </w:abstractNum>
  <w:abstractNum w:abstractNumId="110">
    <w:nsid w:val="1816F8C4"/>
    <w:multiLevelType w:val="hybridMultilevel"/>
    <w:lvl w:ilvl="0">
      <w:lvlJc w:val="left"/>
      <w:lvlText w:val="(%1)"/>
      <w:numFmt w:val="lowerRoman"/>
      <w:start w:val="5"/>
    </w:lvl>
  </w:abstractNum>
  <w:abstractNum w:abstractNumId="111">
    <w:nsid w:val="37DF2233"/>
    <w:multiLevelType w:val="hybridMultilevel"/>
    <w:lvl w:ilvl="0">
      <w:lvlJc w:val="left"/>
      <w:lvlText w:val="(%1)"/>
      <w:numFmt w:val="decimal"/>
      <w:start w:val="30"/>
    </w:lvl>
  </w:abstractNum>
  <w:abstractNum w:abstractNumId="112">
    <w:nsid w:val="7AB49DAF"/>
    <w:multiLevelType w:val="hybridMultilevel"/>
    <w:lvl w:ilvl="0">
      <w:lvlJc w:val="left"/>
      <w:lvlText w:val="."/>
      <w:numFmt w:val="bullet"/>
      <w:start w:val="1"/>
    </w:lvl>
  </w:abstractNum>
  <w:abstractNum w:abstractNumId="113">
    <w:nsid w:val="759F82CD"/>
    <w:multiLevelType w:val="hybridMultilevel"/>
    <w:lvl w:ilvl="0">
      <w:lvlJc w:val="left"/>
      <w:lvlText w:val="."/>
      <w:numFmt w:val="bullet"/>
      <w:start w:val="1"/>
    </w:lvl>
  </w:abstractNum>
  <w:abstractNum w:abstractNumId="114">
    <w:nsid w:val="61E74EA3"/>
    <w:multiLevelType w:val="hybridMultilevel"/>
    <w:lvl w:ilvl="0">
      <w:lvlJc w:val="left"/>
      <w:lvlText w:val="."/>
      <w:numFmt w:val="bullet"/>
      <w:start w:val="1"/>
    </w:lvl>
  </w:abstractNum>
  <w:abstractNum w:abstractNumId="115">
    <w:nsid w:val="597B4D84"/>
    <w:multiLevelType w:val="hybridMultilevel"/>
    <w:lvl w:ilvl="0">
      <w:lvlJc w:val="left"/>
      <w:lvlText w:val="(%1)"/>
      <w:numFmt w:val="lowerLetter"/>
      <w:start w:val="1"/>
    </w:lvl>
  </w:abstractNum>
  <w:abstractNum w:abstractNumId="116">
    <w:nsid w:val="F819E7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17">
    <w:nsid w:val="57C7D42D"/>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
    </w:lvl>
  </w:abstractNum>
  <w:abstractNum w:abstractNumId="118">
    <w:nsid w:val="312167AD"/>
    <w:multiLevelType w:val="hybridMultilevel"/>
    <w:lvl w:ilvl="0">
      <w:lvlJc w:val="left"/>
      <w:lvlText w:val="."/>
      <w:numFmt w:val="bullet"/>
      <w:start w:val="1"/>
    </w:lvl>
  </w:abstractNum>
  <w:abstractNum w:abstractNumId="119">
    <w:nsid w:val="631B64D4"/>
    <w:multiLevelType w:val="hybridMultilevel"/>
    <w:lvl w:ilvl="0">
      <w:lvlJc w:val="left"/>
      <w:lvlText w:val="."/>
      <w:numFmt w:val="bullet"/>
      <w:start w:val="1"/>
    </w:lvl>
    <w:lvl w:ilvl="1">
      <w:lvlJc w:val="left"/>
      <w:lvlText w:val="(%2)"/>
      <w:numFmt w:val="lowerLetter"/>
      <w:start w:val="1"/>
    </w:lvl>
  </w:abstractNum>
  <w:abstractNum w:abstractNumId="120">
    <w:nsid w:val="78B5E776"/>
    <w:multiLevelType w:val="hybridMultilevel"/>
    <w:lvl w:ilvl="0">
      <w:lvlJc w:val="left"/>
      <w:lvlText w:val="%1"/>
      <w:numFmt w:val="lowerLetter"/>
      <w:start w:val="1"/>
    </w:lvl>
    <w:lvl w:ilvl="1">
      <w:lvlJc w:val="left"/>
      <w:lvlText w:val="(%2)"/>
      <w:numFmt w:val="lowerLetter"/>
      <w:start w:val="3"/>
    </w:lvl>
  </w:abstractNum>
  <w:abstractNum w:abstractNumId="121">
    <w:nsid w:val="75486E47"/>
    <w:multiLevelType w:val="hybridMultilevel"/>
    <w:lvl w:ilvl="0">
      <w:lvlJc w:val="left"/>
      <w:lvlText w:val="(%1)"/>
      <w:numFmt w:val="lowerLetter"/>
      <w:start w:val="4"/>
    </w:lvl>
    <w:lvl w:ilvl="1">
      <w:lvlJc w:val="left"/>
      <w:lvlText w:val="%2"/>
      <w:numFmt w:val="lowerLetter"/>
      <w:start w:val="1"/>
    </w:lvl>
  </w:abstractNum>
  <w:abstractNum w:abstractNumId="122">
    <w:nsid w:val="6E534CDE"/>
    <w:multiLevelType w:val="hybridMultilevel"/>
    <w:lvl w:ilvl="0">
      <w:lvlJc w:val="left"/>
      <w:lvlText w:val="."/>
      <w:numFmt w:val="bullet"/>
      <w:start w:val="1"/>
    </w:lvl>
  </w:abstractNum>
  <w:abstractNum w:abstractNumId="123">
    <w:nsid w:val="1A0DDE32"/>
    <w:multiLevelType w:val="hybridMultilevel"/>
    <w:lvl w:ilvl="0">
      <w:lvlJc w:val="left"/>
      <w:lvlText w:val="."/>
      <w:numFmt w:val="bullet"/>
      <w:start w:val="1"/>
    </w:lvl>
  </w:abstractNum>
  <w:abstractNum w:abstractNumId="124">
    <w:nsid w:val="65968C1C"/>
    <w:multiLevelType w:val="hybridMultilevel"/>
    <w:lvl w:ilvl="0">
      <w:lvlJc w:val="left"/>
      <w:lvlText w:val="."/>
      <w:numFmt w:val="bullet"/>
      <w:start w:val="1"/>
    </w:lvl>
  </w:abstractNum>
  <w:abstractNum w:abstractNumId="125">
    <w:nsid w:val="46263DEC"/>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26">
    <w:nsid w:val="260D8C4A"/>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2"/>
    </w:lvl>
  </w:abstractNum>
  <w:abstractNum w:abstractNumId="127">
    <w:nsid w:val="73D4D3C4"/>
    <w:multiLevelType w:val="hybridMultilevel"/>
    <w:lvl w:ilvl="0">
      <w:lvlJc w:val="left"/>
      <w:lvlText w:val="%1"/>
      <w:numFmt w:val="lowerLetter"/>
      <w:start w:val="1"/>
    </w:lvl>
    <w:lvl w:ilvl="1">
      <w:lvlJc w:val="left"/>
      <w:lvlText w:val="(%2)"/>
      <w:numFmt w:val="lowerLetter"/>
      <w:start w:val="6"/>
    </w:lvl>
  </w:abstractNum>
  <w:abstractNum w:abstractNumId="128">
    <w:nsid w:val="746F2E30"/>
    <w:multiLevelType w:val="hybridMultilevel"/>
    <w:lvl w:ilvl="0">
      <w:lvlJc w:val="left"/>
      <w:lvlText w:val="(%1)"/>
      <w:numFmt w:val="lowerLetter"/>
      <w:start w:val="35"/>
    </w:lvl>
    <w:lvl w:ilvl="1">
      <w:lvlJc w:val="left"/>
      <w:lvlText w:val="(%2)"/>
      <w:numFmt w:val="lowerLetter"/>
      <w:start w:val="8"/>
    </w:lvl>
  </w:abstractNum>
  <w:abstractNum w:abstractNumId="129">
    <w:nsid w:val="6FDE8AF6"/>
    <w:multiLevelType w:val="hybridMultilevel"/>
    <w:lvl w:ilvl="0">
      <w:lvlJc w:val="left"/>
      <w:lvlText w:val="(%1)"/>
      <w:numFmt w:val="lowerLetter"/>
      <w:start w:val="11"/>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
      <w:numFmt w:val="bullet"/>
      <w:start w:val="1"/>
    </w:lvl>
  </w:abstractNum>
  <w:abstractNum w:abstractNumId="132">
    <w:nsid w:val="14D53685"/>
    <w:multiLevelType w:val="hybridMultilevel"/>
    <w:lvl w:ilvl="0">
      <w:lvlJc w:val="left"/>
      <w:lvlText w:val="."/>
      <w:numFmt w:val="bullet"/>
      <w:start w:val="1"/>
    </w:lvl>
    <w:lvl w:ilvl="1">
      <w:lvlJc w:val="left"/>
      <w:lvlText w:val="(%2)"/>
      <w:numFmt w:val="lowerLetter"/>
      <w:start w:val="1"/>
    </w:lvl>
  </w:abstractNum>
  <w:abstractNum w:abstractNumId="133">
    <w:nsid w:val="230F856C"/>
    <w:multiLevelType w:val="hybridMultilevel"/>
    <w:lvl w:ilvl="0">
      <w:lvlJc w:val="left"/>
      <w:lvlText w:val="(%1)"/>
      <w:numFmt w:val="lowerLetter"/>
      <w:start w:val="3"/>
    </w:lvl>
  </w:abstractNum>
  <w:abstractNum w:abstractNumId="134">
    <w:nsid w:val="6EAA85FB"/>
    <w:multiLevelType w:val="hybridMultilevel"/>
    <w:lvl w:ilvl="0">
      <w:lvlJc w:val="left"/>
      <w:lvlText w:val="."/>
      <w:numFmt w:val="bullet"/>
      <w:start w:val="1"/>
    </w:lvl>
  </w:abstractNum>
  <w:abstractNum w:abstractNumId="135">
    <w:nsid w:val="3F06ECB2"/>
    <w:multiLevelType w:val="hybridMultilevel"/>
    <w:lvl w:ilvl="0">
      <w:lvlJc w:val="left"/>
      <w:lvlText w:val="."/>
      <w:numFmt w:val="bullet"/>
      <w:start w:val="1"/>
    </w:lvl>
  </w:abstractNum>
  <w:abstractNum w:abstractNumId="136">
    <w:nsid w:val="3B594807"/>
    <w:multiLevelType w:val="hybridMultilevel"/>
    <w:lvl w:ilvl="0">
      <w:lvlJc w:val="left"/>
      <w:lvlText w:val="."/>
      <w:numFmt w:val="bullet"/>
      <w:start w:val="1"/>
    </w:lvl>
    <w:lvl w:ilvl="1">
      <w:lvlJc w:val="left"/>
      <w:lvlText w:val="(%2)"/>
      <w:numFmt w:val="lowerLetter"/>
      <w:start w:val="1"/>
    </w:lvl>
  </w:abstractNum>
  <w:abstractNum w:abstractNumId="137">
    <w:nsid w:val="6CAA2304"/>
    <w:multiLevelType w:val="hybridMultilevel"/>
    <w:lvl w:ilvl="0">
      <w:lvlJc w:val="left"/>
      <w:lvlText w:val="."/>
      <w:numFmt w:val="bullet"/>
      <w:start w:val="1"/>
    </w:lvl>
    <w:lvl w:ilvl="1">
      <w:lvlJc w:val="left"/>
      <w:lvlText w:val="(%2)"/>
      <w:numFmt w:val="lowerLetter"/>
      <w:start w:val="1"/>
    </w:lvl>
  </w:abstractNum>
  <w:abstractNum w:abstractNumId="138">
    <w:nsid w:val="3F7C2FF4"/>
    <w:multiLevelType w:val="hybridMultilevel"/>
    <w:lvl w:ilvl="0">
      <w:lvlJc w:val="left"/>
      <w:lvlText w:val="(%1)"/>
      <w:numFmt w:val="lowerLetter"/>
      <w:start w:val="35"/>
    </w:lvl>
    <w:lvl w:ilvl="1">
      <w:lvlJc w:val="left"/>
      <w:lvlText w:val="(%2)"/>
      <w:numFmt w:val="lowerLetter"/>
      <w:start w:val="2"/>
    </w:lvl>
  </w:abstractNum>
  <w:abstractNum w:abstractNumId="139">
    <w:nsid w:val="25413BEC"/>
    <w:multiLevelType w:val="hybridMultilevel"/>
    <w:lvl w:ilvl="0">
      <w:lvlJc w:val="left"/>
      <w:lvlText w:val="(%1)"/>
      <w:numFmt w:val="lowerLetter"/>
      <w:start w:val="1"/>
    </w:lvl>
  </w:abstractNum>
  <w:abstractNum w:abstractNumId="140">
    <w:nsid w:val="17180B0B"/>
    <w:multiLevelType w:val="hybridMultilevel"/>
    <w:lvl w:ilvl="0">
      <w:lvlJc w:val="left"/>
      <w:lvlText w:val="(%1)"/>
      <w:numFmt w:val="lowerLetter"/>
      <w:start w:val="4"/>
    </w:lvl>
  </w:abstractNum>
  <w:abstractNum w:abstractNumId="141">
    <w:nsid w:val="579328B9"/>
    <w:multiLevelType w:val="hybridMultilevel"/>
    <w:lvl w:ilvl="0">
      <w:lvlJc w:val="left"/>
      <w:lvlText w:val="."/>
      <w:numFmt w:val="bullet"/>
      <w:start w:val="1"/>
    </w:lvl>
  </w:abstractNum>
  <w:abstractNum w:abstractNumId="142">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43">
    <w:nsid w:val="11CCA8BA"/>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144">
    <w:nsid w:val="4D32AB86"/>
    <w:multiLevelType w:val="hybridMultilevel"/>
    <w:lvl w:ilvl="0">
      <w:lvlJc w:val="left"/>
      <w:lvlText w:val="%1"/>
      <w:numFmt w:val="lowerRoman"/>
      <w:start w:val="1"/>
    </w:lvl>
    <w:lvl w:ilvl="1">
      <w:lvlJc w:val="left"/>
      <w:lvlText w:val="(%2)"/>
      <w:numFmt w:val="lowerLetter"/>
      <w:start w:val="2"/>
    </w:lvl>
  </w:abstractNum>
  <w:abstractNum w:abstractNumId="145">
    <w:nsid w:val="3F07ACC3"/>
    <w:multiLevelType w:val="hybridMultilevel"/>
    <w:lvl w:ilvl="0">
      <w:lvlJc w:val="left"/>
      <w:lvlText w:val="(%1)"/>
      <w:numFmt w:val="lowerRoman"/>
      <w:start w:val="4"/>
    </w:lvl>
    <w:lvl w:ilvl="1">
      <w:lvlJc w:val="left"/>
      <w:lvlText w:val="%2"/>
      <w:numFmt w:val="lowerLetter"/>
      <w:start w:val="1"/>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1"/>
      <w:numFmt w:val="lowerLetter"/>
      <w:start w:val="1"/>
    </w:lvl>
    <w:lvl w:ilvl="1">
      <w:lvlJc w:val="left"/>
      <w:lvlText w:val="(%2)"/>
      <w:numFmt w:val="lowerRoman"/>
      <w:start w:val="1"/>
    </w:lvl>
  </w:abstractNum>
  <w:abstractNum w:abstractNumId="148">
    <w:nsid w:val="16CF80F1"/>
    <w:multiLevelType w:val="hybridMultilevel"/>
    <w:lvl w:ilvl="0">
      <w:lvlJc w:val="left"/>
      <w:lvlText w:val="(%1)"/>
      <w:numFmt w:val="lowerLetter"/>
      <w:start w:val="3"/>
    </w:lvl>
    <w:lvl w:ilvl="1">
      <w:lvlJc w:val="left"/>
      <w:lvlText w:val="%2"/>
      <w:numFmt w:val="lowerRoman"/>
      <w:start w:val="1"/>
    </w:lvl>
  </w:abstractNum>
  <w:abstractNum w:abstractNumId="149">
    <w:nsid w:val="1C695DEC"/>
    <w:multiLevelType w:val="hybridMultilevel"/>
    <w:lvl w:ilvl="0">
      <w:lvlJc w:val="left"/>
      <w:lvlText w:val="(%1)"/>
      <w:numFmt w:val="lowerLetter"/>
      <w:start w:val="5"/>
    </w:lvl>
  </w:abstractNum>
  <w:abstractNum w:abstractNumId="150">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51">
    <w:nsid w:val="F856867"/>
    <w:multiLevelType w:val="hybridMultilevel"/>
    <w:lvl w:ilvl="0">
      <w:lvlJc w:val="left"/>
      <w:lvlText w:val="(%1)"/>
      <w:numFmt w:val="lowerRoman"/>
      <w:start w:val="4"/>
    </w:lvl>
    <w:lvl w:ilvl="1">
      <w:lvlJc w:val="left"/>
      <w:lvlText w:val="(%2)"/>
      <w:numFmt w:val="lowerRoman"/>
      <w:start w:val="8"/>
    </w:lvl>
  </w:abstractNum>
  <w:abstractNum w:abstractNumId="152">
    <w:nsid w:val="11B1CC33"/>
    <w:multiLevelType w:val="hybridMultilevel"/>
    <w:lvl w:ilvl="0">
      <w:lvlJc w:val="left"/>
      <w:lvlText w:val="(%1)"/>
      <w:numFmt w:val="lowerRoman"/>
      <w:start w:val="9"/>
    </w:lvl>
  </w:abstractNum>
  <w:abstractNum w:abstractNumId="153">
    <w:nsid w:val="2E22FBB7"/>
    <w:multiLevelType w:val="hybridMultilevel"/>
    <w:lvl w:ilvl="0">
      <w:lvlJc w:val="left"/>
      <w:lvlText w:val="(%1)"/>
      <w:numFmt w:val="lowerRoman"/>
      <w:start w:val="2"/>
    </w:lvl>
  </w:abstractNum>
  <w:abstractNum w:abstractNumId="154">
    <w:nsid w:val="29934699"/>
    <w:multiLevelType w:val="hybridMultilevel"/>
    <w:lvl w:ilvl="0">
      <w:lvlJc w:val="left"/>
      <w:lvlText w:val="(%1)"/>
      <w:numFmt w:val="lowerRoman"/>
      <w:start w:val="1"/>
    </w:lvl>
  </w:abstractNum>
  <w:abstractNum w:abstractNumId="155">
    <w:nsid w:val="77485850"/>
    <w:multiLevelType w:val="hybridMultilevel"/>
    <w:lvl w:ilvl="0">
      <w:lvlJc w:val="left"/>
      <w:lvlText w:val="."/>
      <w:numFmt w:val="bullet"/>
      <w:start w:val="1"/>
    </w:lvl>
  </w:abstractNum>
  <w:abstractNum w:abstractNumId="156">
    <w:nsid w:val="744939A3"/>
    <w:multiLevelType w:val="hybridMultilevel"/>
    <w:lvl w:ilvl="0">
      <w:lvlJc w:val="left"/>
      <w:lvlText w:val="."/>
      <w:numFmt w:val="bullet"/>
      <w:start w:val="1"/>
    </w:lvl>
  </w:abstractNum>
  <w:abstractNum w:abstractNumId="157">
    <w:nsid w:val="4FA0D2E3"/>
    <w:multiLevelType w:val="hybridMultilevel"/>
    <w:lvl w:ilvl="0">
      <w:lvlJc w:val="left"/>
      <w:lvlText w:val="(%1)"/>
      <w:numFmt w:val="lowerRoman"/>
      <w:start w:val="1"/>
    </w:lvl>
    <w:lvl w:ilvl="1">
      <w:lvlJc w:val="left"/>
      <w:lvlText w:val="(%2)"/>
      <w:numFmt w:val="upperLetter"/>
      <w:start w:val="1"/>
    </w:lvl>
  </w:abstractNum>
  <w:abstractNum w:abstractNumId="158">
    <w:nsid w:val="6B1D2C14"/>
    <w:multiLevelType w:val="hybridMultilevel"/>
    <w:lvl w:ilvl="0">
      <w:lvlJc w:val="left"/>
      <w:lvlText w:val="(%1)"/>
      <w:numFmt w:val="lowerRoman"/>
      <w:start w:val="2"/>
    </w:lvl>
    <w:lvl w:ilvl="1">
      <w:lvlJc w:val="left"/>
      <w:lvlText w:val="(%2)"/>
      <w:numFmt w:val="upperLetter"/>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
      <w:numFmt w:val="bullet"/>
      <w:start w:val="1"/>
    </w:lvl>
  </w:abstractNum>
  <w:abstractNum w:abstractNumId="164">
    <w:nsid w:val="4DEFDFA0"/>
    <w:multiLevelType w:val="hybridMultilevel"/>
    <w:lvl w:ilvl="0">
      <w:lvlJc w:val="left"/>
      <w:lvlText w:val="."/>
      <w:numFmt w:val="bullet"/>
      <w:start w:val="1"/>
    </w:lvl>
  </w:abstractNum>
  <w:abstractNum w:abstractNumId="165">
    <w:nsid w:val="2123D5F2"/>
    <w:multiLevelType w:val="hybridMultilevel"/>
    <w:lvl w:ilvl="0">
      <w:lvlJc w:val="left"/>
      <w:lvlText w:val="."/>
      <w:numFmt w:val="bullet"/>
      <w:start w:val="1"/>
    </w:lvl>
    <w:lvl w:ilvl="1">
      <w:lvlJc w:val="left"/>
      <w:lvlText w:val="(%2)"/>
      <w:numFmt w:val="lowerLetter"/>
      <w:start w:val="1"/>
    </w:lvl>
  </w:abstractNum>
  <w:abstractNum w:abstractNumId="166">
    <w:nsid w:val="135B8110"/>
    <w:multiLevelType w:val="hybridMultilevel"/>
    <w:lvl w:ilvl="0">
      <w:lvlJc w:val="left"/>
      <w:lvlText w:val="."/>
      <w:numFmt w:val="bullet"/>
      <w:start w:val="1"/>
    </w:lvl>
  </w:abstractNum>
  <w:abstractNum w:abstractNumId="167">
    <w:nsid w:val="94927A8"/>
    <w:multiLevelType w:val="hybridMultilevel"/>
    <w:lvl w:ilvl="0">
      <w:lvlJc w:val="left"/>
      <w:lvlText w:val="."/>
      <w:numFmt w:val="bullet"/>
      <w:start w:val="1"/>
    </w:lvl>
  </w:abstractNum>
  <w:abstractNum w:abstractNumId="168">
    <w:nsid w:val="DCDF8F6"/>
    <w:multiLevelType w:val="hybridMultilevel"/>
    <w:lvl w:ilvl="0">
      <w:lvlJc w:val="left"/>
      <w:lvlText w:val="."/>
      <w:numFmt w:val="bullet"/>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
      <w:numFmt w:val="bullet"/>
      <w:start w:val="1"/>
    </w:lvl>
  </w:abstractNum>
  <w:abstractNum w:abstractNumId="171">
    <w:nsid w:val="24E60401"/>
    <w:multiLevelType w:val="hybridMultilevel"/>
    <w:lvl w:ilvl="0">
      <w:lvlJc w:val="left"/>
      <w:lvlText w:val="(%1)"/>
      <w:numFmt w:val="lowerLetter"/>
      <w:start w:val="1"/>
    </w:lvl>
  </w:abstractNum>
  <w:abstractNum w:abstractNumId="172">
    <w:nsid w:val="2A6AD9BE"/>
    <w:multiLevelType w:val="hybridMultilevel"/>
    <w:lvl w:ilvl="0">
      <w:lvlJc w:val="left"/>
      <w:lvlText w:val="(%1)"/>
      <w:numFmt w:val="lowerLetter"/>
      <w:start w:val="1"/>
    </w:lvl>
  </w:abstractNum>
  <w:abstractNum w:abstractNumId="173">
    <w:nsid w:val="BAAC1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2021-11-02T06:04:11Z</dcterms:created>
  <dcterms:modified xsi:type="dcterms:W3CDTF">2021-11-02T06:04:11Z</dcterms:modified>
</cp:coreProperties>
</file>