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HUSIC FRANK J</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jc w:val="center"/>
        <w:ind w:right="412"/>
        <w:spacing w:after="0"/>
        <w:rPr>
          <w:sz w:val="20"/>
          <w:szCs w:val="20"/>
          <w:color w:val="auto"/>
        </w:rPr>
      </w:pPr>
      <w:r>
        <w:rPr>
          <w:rFonts w:ascii="Arial" w:cs="Arial" w:eastAsia="Arial" w:hAnsi="Arial"/>
          <w:sz w:val="15"/>
          <w:szCs w:val="15"/>
          <w:color w:val="0000FF"/>
        </w:rPr>
        <w:t>06/30/2003</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CASUAL MALE RETAIL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CMRG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8" w:lineRule="exact"/>
        <w:rPr>
          <w:sz w:val="24"/>
          <w:szCs w:val="24"/>
          <w:color w:val="auto"/>
        </w:rPr>
      </w:pPr>
    </w:p>
    <w:p>
      <w:pPr>
        <w:sectPr>
          <w:pgSz w:w="11900" w:h="16838" w:orient="portrait"/>
          <w:cols w:equalWidth="0" w:num="3">
            <w:col w:w="2772" w:space="720"/>
            <w:col w:w="1228" w:space="480"/>
            <w:col w:w="6220"/>
          </w:cols>
          <w:pgMar w:left="240" w:top="226" w:right="239" w:bottom="1440" w:gutter="0" w:footer="0" w:header="0"/>
          <w:type w:val="continuous"/>
        </w:sectPr>
      </w:pPr>
    </w:p>
    <w:p>
      <w:pPr>
        <w:spacing w:after="0" w:line="8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454"/>
        <w:spacing w:after="0" w:line="268" w:lineRule="auto"/>
        <w:rPr>
          <w:sz w:val="20"/>
          <w:szCs w:val="20"/>
          <w:color w:val="auto"/>
        </w:rPr>
      </w:pPr>
      <w:r>
        <w:rPr>
          <w:rFonts w:ascii="Arial" w:cs="Arial" w:eastAsia="Arial" w:hAnsi="Arial"/>
          <w:sz w:val="18"/>
          <w:szCs w:val="18"/>
          <w:color w:val="0000FF"/>
        </w:rPr>
        <w:t>C/O CASUAL MALE RETAIL GROUP,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20" w:type="dxa"/>
            <w:vAlign w:val="bottom"/>
          </w:tcPr>
          <w:p>
            <w:pPr>
              <w:ind w:left="40"/>
              <w:spacing w:after="0"/>
              <w:rPr>
                <w:sz w:val="20"/>
                <w:szCs w:val="20"/>
                <w:color w:val="auto"/>
              </w:rPr>
            </w:pPr>
            <w:r>
              <w:rPr>
                <w:rFonts w:ascii="Arial" w:cs="Arial" w:eastAsia="Arial" w:hAnsi="Arial"/>
                <w:sz w:val="18"/>
                <w:szCs w:val="18"/>
                <w:color w:val="0000FF"/>
              </w:rPr>
              <w:t>CANTON,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02021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26"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ind w:left="3"/>
        <w:spacing w:after="0"/>
        <w:rPr>
          <w:sz w:val="20"/>
          <w:szCs w:val="20"/>
          <w:color w:val="auto"/>
        </w:rPr>
      </w:pPr>
      <w:r>
        <w:rPr>
          <w:rFonts w:ascii="Arial" w:cs="Arial" w:eastAsia="Arial" w:hAnsi="Arial"/>
          <w:sz w:val="18"/>
          <w:szCs w:val="18"/>
          <w:color w:val="0000FF"/>
        </w:rPr>
        <w:t>07/03/2003</w:t>
      </w:r>
    </w:p>
    <w:p>
      <w:pPr>
        <w:spacing w:after="0" w:line="367" w:lineRule="exact"/>
        <w:rPr>
          <w:sz w:val="24"/>
          <w:szCs w:val="24"/>
          <w:color w:val="auto"/>
        </w:rPr>
      </w:pPr>
    </w:p>
    <w:p>
      <w:pPr>
        <w:ind w:left="3" w:right="380" w:hanging="3"/>
        <w:spacing w:after="0" w:line="231" w:lineRule="auto"/>
        <w:tabs>
          <w:tab w:leader="none" w:pos="153" w:val="left"/>
        </w:tabs>
        <w:numPr>
          <w:ilvl w:val="0"/>
          <w:numId w:val="4"/>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5"/>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3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$.01 par value</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jc w:val="right"/>
              <w:ind w:right="427"/>
              <w:spacing w:after="0"/>
              <w:rPr>
                <w:sz w:val="20"/>
                <w:szCs w:val="20"/>
                <w:color w:val="auto"/>
              </w:rPr>
            </w:pPr>
            <w:r>
              <w:rPr>
                <w:rFonts w:ascii="Arial" w:cs="Arial" w:eastAsia="Arial" w:hAnsi="Arial"/>
                <w:sz w:val="18"/>
                <w:szCs w:val="18"/>
                <w:color w:val="0000FF"/>
              </w:rPr>
              <w:t>18,674</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ind w:left="88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w:t>
            </w: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40" w:type="dxa"/>
            <w:vAlign w:val="bottom"/>
          </w:tcPr>
          <w:p>
            <w:pPr>
              <w:spacing w:after="0"/>
              <w:rPr>
                <w:sz w:val="12"/>
                <w:szCs w:val="12"/>
                <w:color w:val="auto"/>
              </w:rPr>
            </w:pPr>
          </w:p>
        </w:tc>
        <w:tc>
          <w:tcPr>
            <w:tcW w:w="10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80" w:type="dxa"/>
            <w:vAlign w:val="bottom"/>
          </w:tcPr>
          <w:p>
            <w:pPr>
              <w:ind w:left="4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6"/>
        </w:numPr>
        <w:rPr>
          <w:rFonts w:ascii="Arial" w:cs="Arial" w:eastAsia="Arial" w:hAnsi="Arial"/>
          <w:sz w:val="14"/>
          <w:szCs w:val="14"/>
          <w:color w:val="008000"/>
        </w:rPr>
      </w:pPr>
      <w:r>
        <w:rPr>
          <w:rFonts w:ascii="Arial" w:cs="Arial" w:eastAsia="Arial" w:hAnsi="Arial"/>
          <w:sz w:val="14"/>
          <w:szCs w:val="14"/>
          <w:color w:val="008000"/>
        </w:rPr>
        <w:t>Reflect shares for which the Reporting Person has a pecuniary interest.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6"/>
        </w:numPr>
        <w:rPr>
          <w:rFonts w:ascii="Arial" w:cs="Arial" w:eastAsia="Arial" w:hAnsi="Arial"/>
          <w:sz w:val="14"/>
          <w:szCs w:val="14"/>
          <w:color w:val="008000"/>
        </w:rPr>
      </w:pPr>
      <w:r>
        <w:rPr>
          <w:rFonts w:ascii="Arial" w:cs="Arial" w:eastAsia="Arial" w:hAnsi="Arial"/>
          <w:sz w:val="14"/>
          <w:szCs w:val="14"/>
          <w:color w:val="008000"/>
        </w:rPr>
        <w:t>By private investment funds for which Husic Capital Management, Frank J. Husic &amp; Co. and/or the Reporting Person serve as general partners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260"/>
        <w:spacing w:after="0" w:line="233" w:lineRule="auto"/>
        <w:rPr>
          <w:sz w:val="20"/>
          <w:szCs w:val="20"/>
          <w:color w:val="auto"/>
        </w:rPr>
      </w:pPr>
      <w:r>
        <w:rPr>
          <w:rFonts w:ascii="Arial" w:cs="Arial" w:eastAsia="Arial" w:hAnsi="Arial"/>
          <w:sz w:val="14"/>
          <w:szCs w:val="14"/>
          <w:color w:val="008000"/>
        </w:rPr>
        <w:t>This amendment is filed to reflect a change in the pecuniary interest attributable to the Reporting Person. Such change arises due to changes in the ownership composition of the private investment funds for which Husic Capital Management, Frank J. Husic &amp; Co., and/or the Reporting Person serve as general partner and is not due to transactions by the private investment funds or the Reporting Person in the issuer's securities.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Frank J. Husic</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03/16/2004</w:t>
            </w:r>
          </w:p>
        </w:tc>
      </w:tr>
      <w:tr>
        <w:trPr>
          <w:trHeight w:val="20"/>
        </w:trPr>
        <w:tc>
          <w:tcPr>
            <w:tcW w:w="10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6"/>
    </w:lvl>
  </w:abstractNum>
  <w:abstractNum w:abstractNumId="4">
    <w:nsid w:val="507ED7AB"/>
    <w:multiLevelType w:val="hybridMultilevel"/>
    <w:lvl w:ilvl="0">
      <w:lvlJc w:val="left"/>
      <w:lvlText w:val="X"/>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0918220"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2019-12-16T22:58:52Z</dcterms:created>
  <dcterms:modified xsi:type="dcterms:W3CDTF">2019-12-16T22:58:52Z</dcterms:modified>
</cp:coreProperties>
</file>