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Exchange Act Of 1934</w:t>
      </w:r>
    </w:p>
    <w:p>
      <w:pPr>
        <w:spacing w:after="0" w:line="119" w:lineRule="exact"/>
        <w:rPr>
          <w:sz w:val="24"/>
          <w:szCs w:val="24"/>
          <w:color w:val="auto"/>
        </w:rPr>
      </w:pPr>
    </w:p>
    <w:p>
      <w:pPr>
        <w:spacing w:after="0" w:line="207" w:lineRule="exact"/>
        <w:tabs>
          <w:tab w:leader="none" w:pos="24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207" w:lineRule="exact"/>
        <w:tabs>
          <w:tab w:leader="none" w:pos="44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16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Rule 14a-12</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76"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-3221355</wp:posOffset>
            </wp:positionV>
            <wp:extent cx="5629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-2775585</wp:posOffset>
            </wp:positionV>
            <wp:extent cx="5629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-2235200</wp:posOffset>
            </wp:positionV>
            <wp:extent cx="5629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-1694815</wp:posOffset>
            </wp:positionV>
            <wp:extent cx="5629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9910"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-1197610</wp:posOffset>
            </wp:positionV>
            <wp:extent cx="5629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be held on August 7, 2003</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Notice is hereby given that the 2003 Annual Meeting of Stockholders of Casual Male Retail Group, Inc. (the “Company”) will be held at the Le Parker Meridien, 119 West 56th Street, New York, New York at 9:00 A.M., local time, on Thursday, August 7, 2003 for the following purposes:</w:t>
      </w:r>
    </w:p>
    <w:p>
      <w:pPr>
        <w:spacing w:after="0" w:line="118" w:lineRule="exact"/>
        <w:rPr>
          <w:sz w:val="20"/>
          <w:szCs w:val="20"/>
          <w:color w:val="auto"/>
        </w:rPr>
      </w:pPr>
    </w:p>
    <w:p>
      <w:pPr>
        <w:ind w:left="900" w:right="4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the Casual Male Retail Group, Inc. 1992 Stock Incentive Plan.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the Company for the fiscal year ending January 31, 2004.</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Board of Directors recommends that you vote FOR the election of all eight nominees to serve as directors of the Company, FOR the proposed amendments to the 1992 Stock Incentive Plan and FOR the appointment of Ernst &amp; Young LLP as the Company’s independent auditors.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the Company is sending you copies of its Annual Report on Form 10-K for the fiscal year ended February 1, 2003.</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has fixed the close of business on June 13, 2003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13, 2003 will be available for inspection by any stockholder of the Company for any purpose germane to the Annual Meeting during normal business hours at the Company’s principal executive offices, 555 Turnpike Street, Canton, Massachusetts 02021, beginning on July 13, 2003 and at the Annual Meeting.</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11, 2003</w:t>
      </w:r>
    </w:p>
    <w:p>
      <w:pPr>
        <w:spacing w:after="0" w:line="15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400"/>
          </w:cols>
          <w:pgMar w:left="240" w:top="27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7,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Proxy Statement and the enclosed form of proxy are being mailed to stockholders on or about July 11, 2003, in connection with the solicitation by the Board of Directors of Casual Male Retail Group, Inc. (the “Company”) of proxies to be used at the Annual Meeting of Stockholders, to be held at the Le Parker Meridien, 119 West 56th Street, New York, New York at 9:00 A.M., local time, on Thursday, August 7, 2003, and at any and all adjournments thereof (the “Annual Meeting”). When proxies are returned properly executed, the shares represented will be voted in accordance with the stockholders’ instructions.</w:t>
      </w:r>
    </w:p>
    <w:p>
      <w:pPr>
        <w:spacing w:after="0" w:line="9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approval of the proposed amendments to the 1992 Stock Incentive Plan, (iii) FOR the ratification of the appointment of Ernst &amp; Young LLP as the Company’s independent auditors, and (iv)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7"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Only holders of the Company’s Common Stock, par value $.01 per share (“Common Stock”) of record at the close of business on June 13, 2003, the record date for the Annual Meeting, will be entitled to notice of and to vote at the Annual Meeting. On that date, there were 35,794,837 shares of Common Stock issued and outstanding, excluding shares held by the Company in treasury. Each share is entitled to one vote at the Annual Meeting.</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plurality of the votes of shares of Common Stock present in person or represented by proxy at the Annual Meeting and entitled to vote on the election of directors is required to elect directors, and the affirmative vote of the majority of the shares of Common Stock present in person or represented by proxy at the Annual Meeting and entitled to vote thereon is required for all other matters, including the approval of the proposed amendments to the 1992 Stock Incentive Plan and the ratification of the appointment of the Company’s independent auditors.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240" w:firstLine="224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 Security Ownership of Certain Beneficial Owners</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July 3, 2003.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980" w:type="dxa"/>
            <w:vAlign w:val="bottom"/>
          </w:tcPr>
          <w:p>
            <w:pPr>
              <w:spacing w:after="0"/>
              <w:rPr>
                <w:sz w:val="15"/>
                <w:szCs w:val="15"/>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Jewelcor Management, Inc.</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4,103,973(2)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5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Baron Capital Group, Inc.</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3,134,353(3)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767 Fifth Avenue</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New York, New York 10153</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2,808,100(4)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650 Madison Avenue</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5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Wellington Management Group, LLP</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2,655,000(5)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Boston, Massachusetts 02109</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The Clark Estates, Inc.</w:t>
            </w:r>
          </w:p>
        </w:tc>
        <w:tc>
          <w:tcPr>
            <w:tcW w:w="7640" w:type="dxa"/>
            <w:vAlign w:val="bottom"/>
            <w:gridSpan w:val="3"/>
            <w:shd w:val="clear" w:color="auto" w:fill="CCEEFF"/>
          </w:tcPr>
          <w:p>
            <w:pPr>
              <w:ind w:left="5980"/>
              <w:spacing w:after="0"/>
              <w:rPr>
                <w:sz w:val="20"/>
                <w:szCs w:val="20"/>
                <w:color w:val="auto"/>
              </w:rPr>
            </w:pPr>
            <w:r>
              <w:rPr>
                <w:rFonts w:ascii="Arial" w:cs="Arial" w:eastAsia="Arial" w:hAnsi="Arial"/>
                <w:sz w:val="18"/>
                <w:szCs w:val="18"/>
                <w:color w:val="auto"/>
              </w:rPr>
              <w:t>2,446,359(6)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One Rockefeller Plaza, 31st Floor</w:t>
            </w:r>
          </w:p>
        </w:tc>
        <w:tc>
          <w:tcPr>
            <w:tcW w:w="5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10020</w:t>
            </w:r>
          </w:p>
        </w:tc>
        <w:tc>
          <w:tcPr>
            <w:tcW w:w="5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Oppenheimer Funds, Inc.</w:t>
            </w:r>
          </w:p>
        </w:tc>
        <w:tc>
          <w:tcPr>
            <w:tcW w:w="7640" w:type="dxa"/>
            <w:vAlign w:val="bottom"/>
            <w:gridSpan w:val="3"/>
          </w:tcPr>
          <w:p>
            <w:pPr>
              <w:ind w:left="5980"/>
              <w:spacing w:after="0"/>
              <w:rPr>
                <w:sz w:val="20"/>
                <w:szCs w:val="20"/>
                <w:color w:val="auto"/>
              </w:rPr>
            </w:pPr>
            <w:r>
              <w:rPr>
                <w:rFonts w:ascii="Arial" w:cs="Arial" w:eastAsia="Arial" w:hAnsi="Arial"/>
                <w:sz w:val="18"/>
                <w:szCs w:val="18"/>
                <w:color w:val="auto"/>
              </w:rPr>
              <w:t>1,810,000(7)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498 Seventh Avenue</w:t>
            </w:r>
          </w:p>
        </w:tc>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2"/>
          </w:tcPr>
          <w:p>
            <w:pPr>
              <w:spacing w:after="0"/>
              <w:rPr>
                <w:sz w:val="20"/>
                <w:szCs w:val="20"/>
                <w:color w:val="auto"/>
              </w:rPr>
            </w:pPr>
            <w:r>
              <w:rPr>
                <w:rFonts w:ascii="Arial" w:cs="Arial" w:eastAsia="Arial" w:hAnsi="Arial"/>
                <w:sz w:val="18"/>
                <w:szCs w:val="18"/>
                <w:color w:val="auto"/>
              </w:rPr>
              <w:t>New York, New York 10018</w:t>
            </w:r>
          </w:p>
        </w:tc>
        <w:tc>
          <w:tcPr>
            <w:tcW w:w="5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July 3, 2003, 35,898,435 shares of Common Stock were issued and outstanding.</w:t>
      </w:r>
    </w:p>
    <w:p>
      <w:pPr>
        <w:spacing w:after="0" w:line="15"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Schedule 13D/A, dated April 29, 2003, stating that Jewelcor Management Inc. (“JMI”) was the beneficial owner of 4,031,153 shares of Common Stock. Thereafter, JMI acquired 12,820 additional shares of Common Stock and new warrants to acquire 60,000 shares of Common Stock. Includes 207,059 shares subject to warrants exercisable within 60 days. Excludes 376,099 shares (including 363,334 shares subject to options exercisable within 60 days) owned individually by Seymour Holtzman. Mr. Holtzman is the Chairman, President and Chief Executive Officer and, indirectly with his wife, the primary shareholder of JMI.</w:t>
      </w:r>
    </w:p>
    <w:p>
      <w:pPr>
        <w:spacing w:after="0" w:line="2"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Baron Capital Group, Inc. has indicated to the Company that, as of July 3, 2003, it was the beneficial owner of the number of shares of Common Stock set forth opposite its name in the table. Includes 1,507,353 shares subject to warrants exercisable within 60 days.</w:t>
      </w:r>
    </w:p>
    <w:p>
      <w:pPr>
        <w:ind w:left="460" w:right="3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Schedule 13G/A dated October 28, 2002 stating that Glenn J. Krevlin was the beneficial owner of the number of shares of Common Stock set forth opposite its name in the table.</w:t>
      </w:r>
    </w:p>
    <w:p>
      <w:pPr>
        <w:ind w:left="460" w:right="3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Schedule 13G dated February 12, 2003, stating that Wellington Management Group, LLP was the beneficial owner of the number of shares of Common Stock set forth opposite its name in the table.</w:t>
      </w:r>
    </w:p>
    <w:p>
      <w:pPr>
        <w:ind w:left="460" w:right="12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received a Schedule 13D dated December 9, 2002, stating that The Clark Estates, Inc. was the beneficial owner of 2,346,359 shares of Common Stock, all of which shares are held of record by Clark Partners I, L.P. Thereafter, Clark Partners I, L.P. acquired new warrants to acquire 100,000 shares of Common Stock. Includes 247,059 shares subject to warrants exercisable within 60 days.</w:t>
      </w:r>
    </w:p>
    <w:p>
      <w:pPr>
        <w:spacing w:after="0" w:line="2" w:lineRule="exact"/>
        <w:rPr>
          <w:rFonts w:ascii="Arial" w:cs="Arial" w:eastAsia="Arial" w:hAnsi="Arial"/>
          <w:sz w:val="16"/>
          <w:szCs w:val="16"/>
          <w:color w:val="auto"/>
        </w:rPr>
      </w:pPr>
    </w:p>
    <w:p>
      <w:pPr>
        <w:ind w:left="460" w:right="48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received a Schedule 13G dated February 12, 2003 stating that Oppenheimer Funds, Inc. was the beneficial owner of the number of shares of Common Stock set forth opposite its name in the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Management</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certain information as of July 3, 2003,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1140" w:type="dxa"/>
            <w:vAlign w:val="bottom"/>
          </w:tcPr>
          <w:p>
            <w:pPr>
              <w:spacing w:after="0"/>
              <w:rPr>
                <w:sz w:val="15"/>
                <w:szCs w:val="15"/>
                <w:color w:val="auto"/>
              </w:rPr>
            </w:pPr>
          </w:p>
        </w:tc>
        <w:tc>
          <w:tcPr>
            <w:tcW w:w="19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30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4,480,072(2)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80" w:type="dxa"/>
            <w:vAlign w:val="bottom"/>
            <w:gridSpan w:val="3"/>
          </w:tcPr>
          <w:p>
            <w:pPr>
              <w:jc w:val="right"/>
              <w:ind w:right="1040"/>
              <w:spacing w:after="0"/>
              <w:rPr>
                <w:sz w:val="20"/>
                <w:szCs w:val="20"/>
                <w:color w:val="auto"/>
              </w:rPr>
            </w:pPr>
            <w:r>
              <w:rPr>
                <w:rFonts w:ascii="Arial" w:cs="Arial" w:eastAsia="Arial" w:hAnsi="Arial"/>
                <w:sz w:val="18"/>
                <w:szCs w:val="18"/>
                <w:color w:val="auto"/>
              </w:rPr>
              <w:t>636,640(3)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30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225,533(4)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 Chief Operating Officer and Treasurer</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Stephen Gatsik(5)</w:t>
            </w:r>
          </w:p>
        </w:tc>
        <w:tc>
          <w:tcPr>
            <w:tcW w:w="1140" w:type="dxa"/>
            <w:vAlign w:val="bottom"/>
          </w:tcPr>
          <w:p>
            <w:pPr>
              <w:spacing w:after="0"/>
              <w:rPr>
                <w:sz w:val="18"/>
                <w:szCs w:val="18"/>
                <w:color w:val="auto"/>
              </w:rPr>
            </w:pPr>
          </w:p>
        </w:tc>
        <w:tc>
          <w:tcPr>
            <w:tcW w:w="194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Former President of the Casual Male division</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N. Batts(6)</w:t>
            </w:r>
          </w:p>
        </w:tc>
        <w:tc>
          <w:tcPr>
            <w:tcW w:w="1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80" w:type="dxa"/>
            <w:vAlign w:val="bottom"/>
            <w:gridSpan w:val="2"/>
            <w:shd w:val="clear" w:color="auto" w:fill="CCEEFF"/>
          </w:tcPr>
          <w:p>
            <w:pPr>
              <w:ind w:left="200"/>
              <w:spacing w:after="0" w:line="224" w:lineRule="exact"/>
              <w:rPr>
                <w:sz w:val="20"/>
                <w:szCs w:val="20"/>
                <w:color w:val="auto"/>
              </w:rPr>
            </w:pPr>
            <w:r>
              <w:rPr>
                <w:rFonts w:ascii="Arial" w:cs="Arial" w:eastAsia="Arial" w:hAnsi="Arial"/>
                <w:sz w:val="18"/>
                <w:szCs w:val="18"/>
                <w:color w:val="auto"/>
              </w:rPr>
              <w:t>Former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w:t>
            </w:r>
          </w:p>
        </w:tc>
        <w:tc>
          <w:tcPr>
            <w:tcW w:w="1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Alan S. Bernikow, Director</w:t>
            </w:r>
          </w:p>
        </w:tc>
        <w:tc>
          <w:tcPr>
            <w:tcW w:w="3080" w:type="dxa"/>
            <w:vAlign w:val="bottom"/>
            <w:gridSpan w:val="3"/>
          </w:tcPr>
          <w:p>
            <w:pPr>
              <w:jc w:val="right"/>
              <w:ind w:right="1040"/>
              <w:spacing w:after="0"/>
              <w:rPr>
                <w:sz w:val="20"/>
                <w:szCs w:val="20"/>
                <w:color w:val="auto"/>
              </w:rPr>
            </w:pPr>
            <w:r>
              <w:rPr>
                <w:rFonts w:ascii="Arial" w:cs="Arial" w:eastAsia="Arial" w:hAnsi="Arial"/>
                <w:sz w:val="18"/>
                <w:szCs w:val="18"/>
                <w:color w:val="auto"/>
              </w:rPr>
              <w:t>5,000(7)</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 Director</w:t>
            </w:r>
          </w:p>
        </w:tc>
        <w:tc>
          <w:tcPr>
            <w:tcW w:w="308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103,945(8)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Stephen M. Duff, Director</w:t>
            </w:r>
          </w:p>
        </w:tc>
        <w:tc>
          <w:tcPr>
            <w:tcW w:w="3080" w:type="dxa"/>
            <w:vAlign w:val="bottom"/>
            <w:gridSpan w:val="3"/>
          </w:tcPr>
          <w:p>
            <w:pPr>
              <w:jc w:val="right"/>
              <w:ind w:right="1040"/>
              <w:spacing w:after="0"/>
              <w:rPr>
                <w:sz w:val="20"/>
                <w:szCs w:val="20"/>
                <w:color w:val="auto"/>
              </w:rPr>
            </w:pPr>
            <w:r>
              <w:rPr>
                <w:rFonts w:ascii="Arial" w:cs="Arial" w:eastAsia="Arial" w:hAnsi="Arial"/>
                <w:sz w:val="18"/>
                <w:szCs w:val="18"/>
                <w:color w:val="auto"/>
              </w:rPr>
              <w:t>33,266(9)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Husic, Director</w:t>
            </w:r>
          </w:p>
        </w:tc>
        <w:tc>
          <w:tcPr>
            <w:tcW w:w="30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1,635,860(10)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Joseph Pennacchio, Director</w:t>
            </w:r>
          </w:p>
        </w:tc>
        <w:tc>
          <w:tcPr>
            <w:tcW w:w="3080" w:type="dxa"/>
            <w:vAlign w:val="bottom"/>
            <w:gridSpan w:val="3"/>
          </w:tcPr>
          <w:p>
            <w:pPr>
              <w:jc w:val="right"/>
              <w:ind w:right="1040"/>
              <w:spacing w:after="0"/>
              <w:rPr>
                <w:sz w:val="20"/>
                <w:szCs w:val="20"/>
                <w:color w:val="auto"/>
              </w:rPr>
            </w:pPr>
            <w:r>
              <w:rPr>
                <w:rFonts w:ascii="Arial" w:cs="Arial" w:eastAsia="Arial" w:hAnsi="Arial"/>
                <w:sz w:val="18"/>
                <w:szCs w:val="18"/>
                <w:color w:val="auto"/>
              </w:rPr>
              <w:t>145,307(9)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30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141,828(11)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(11 persons)</w:t>
            </w:r>
          </w:p>
        </w:tc>
        <w:tc>
          <w:tcPr>
            <w:tcW w:w="3080" w:type="dxa"/>
            <w:vAlign w:val="bottom"/>
            <w:gridSpan w:val="3"/>
          </w:tcPr>
          <w:p>
            <w:pPr>
              <w:jc w:val="right"/>
              <w:ind w:right="960"/>
              <w:spacing w:after="0"/>
              <w:rPr>
                <w:sz w:val="20"/>
                <w:szCs w:val="20"/>
                <w:color w:val="auto"/>
              </w:rPr>
            </w:pPr>
            <w:r>
              <w:rPr>
                <w:rFonts w:ascii="Arial" w:cs="Arial" w:eastAsia="Arial" w:hAnsi="Arial"/>
                <w:sz w:val="18"/>
                <w:szCs w:val="18"/>
                <w:color w:val="auto"/>
              </w:rPr>
              <w:t>7,407,451(12)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60" w:right="60" w:hanging="552"/>
        <w:spacing w:after="0" w:line="281"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or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35,898,435 shares of Common Stock outstanding as of July 1, 2003, plus securities deemed to be outstanding with respect to any individual stockholder pursuant to Rule 13d-3(d)(1) under the Exchange Act as described above.</w:t>
      </w:r>
    </w:p>
    <w:p>
      <w:pPr>
        <w:spacing w:after="0" w:line="4" w:lineRule="exact"/>
        <w:rPr>
          <w:rFonts w:ascii="Arial" w:cs="Arial" w:eastAsia="Arial" w:hAnsi="Arial"/>
          <w:sz w:val="16"/>
          <w:szCs w:val="16"/>
          <w:color w:val="auto"/>
        </w:rPr>
      </w:pPr>
    </w:p>
    <w:p>
      <w:pPr>
        <w:ind w:left="560" w:right="240" w:hanging="552"/>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4,103,973 shares owned of record by JMI, of which Mr. Holtzman is the Chairman, President and Chief Executive Officer and indirectly, with his wife, the primary shareholder, and includes 207,059 shares subject to warrants exercisable within 60 days and 376,099 shares owned individually, which includes 363,334 shares subject to stock options exercisable within 60 days.</w:t>
      </w:r>
    </w:p>
    <w:p>
      <w:pPr>
        <w:spacing w:after="0" w:line="1"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408,334 shares subject to stock options exercisable within 60 days.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148,333 shares subject to stock options exercisable within 60 days.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Gatsik’s employment with the Company terminated on May 2, 2003.</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Batts’ employment with the Company terminated on October 25, 2002.</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55,000 shares subject to stock options exercisable within 60 days.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20,000 shares subject to stock options exercisable within 60 days.</w:t>
      </w:r>
    </w:p>
    <w:p>
      <w:pPr>
        <w:spacing w:after="0" w:line="9" w:lineRule="exact"/>
        <w:rPr>
          <w:rFonts w:ascii="Arial" w:cs="Arial" w:eastAsia="Arial" w:hAnsi="Arial"/>
          <w:sz w:val="18"/>
          <w:szCs w:val="18"/>
          <w:color w:val="auto"/>
        </w:rPr>
      </w:pPr>
    </w:p>
    <w:p>
      <w:pPr>
        <w:ind w:left="560" w:right="840" w:hanging="552"/>
        <w:spacing w:after="0" w:line="261"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Amendment No. 3 to Schedule 13G jointly filed with the Securities and Exchange Commission on June 6, 2003 by (a) Husic Capital Management, a California limited partnership and registered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left="672"/>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adviser with discretionary authority to buy, sell and vote 1,630,860 shares of Common Stock for its investment advisory clients (the “Investment Adviser”), (b) Frank J. Husic and Co., a California corporation and sole general partner of the Investment Adviser (the “General Partner”), and (c) Mr. Husic, the sole shareholder of the General Partner. Such shares are indirectly beneficially owned by Mr. Husic, based on the relationship of Mr. Husic to the Investment Adviser and the General Partner, and Mr. Husic has sole voting and dispositive power with respect to such shares. Includes 5,000 shares subject to stock options exercisable within 60 days.</w:t>
      </w:r>
    </w:p>
    <w:p>
      <w:pPr>
        <w:spacing w:after="0" w:line="2" w:lineRule="exact"/>
        <w:rPr>
          <w:sz w:val="20"/>
          <w:szCs w:val="20"/>
          <w:color w:val="auto"/>
        </w:rPr>
      </w:pPr>
    </w:p>
    <w:p>
      <w:pPr>
        <w:ind w:left="552" w:hanging="552"/>
        <w:spacing w:after="0"/>
        <w:tabs>
          <w:tab w:leader="none" w:pos="5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85,000 shares subject to stock options exercisable within 60 days.</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1,360,393 shares subject to stock options and warrants exercisable within 60 days.</w:t>
      </w:r>
    </w:p>
    <w:p>
      <w:pPr>
        <w:spacing w:after="0" w:line="15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12"/>
          </w:cols>
          <w:pgMar w:left="248" w:top="28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Board of Directors, in accordance with the By-Laws of the Company, as amended (the “By-Laws”), has set the number of members of the Company’s Board of Directors at eight. At the Annual Meeting, eight nominees, each of whom currently serves as a member of the Board of Directors of the Company, are to be elected to serve on the Board until the 2004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Alan S. Bernikow, Jesse Choper, Stephen M. Duff, Frank J. Husic, Joseph Pennacchio and George T. Porter, Jr.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unanimously recommends that you vote FOR the election of the eight individuals named below as directors of the Company.</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13, 2003 and the year in which each became a director of the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74"/>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540" w:type="dxa"/>
            <w:vAlign w:val="bottom"/>
          </w:tcPr>
          <w:p>
            <w:pPr>
              <w:spacing w:after="0"/>
              <w:rPr>
                <w:sz w:val="15"/>
                <w:szCs w:val="15"/>
                <w:color w:val="auto"/>
              </w:rPr>
            </w:pPr>
          </w:p>
        </w:tc>
        <w:tc>
          <w:tcPr>
            <w:tcW w:w="316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Chairman of the Board and Director(2)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President, Chief Executive Officer and Director</w:t>
            </w:r>
          </w:p>
        </w:tc>
        <w:tc>
          <w:tcPr>
            <w:tcW w:w="4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67</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Director(4), (5)</w:t>
            </w: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Duff</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Director(2), (4)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Frank J. Husic</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Director(6)</w:t>
            </w:r>
          </w:p>
        </w:tc>
        <w:tc>
          <w:tcPr>
            <w:tcW w:w="480" w:type="dxa"/>
            <w:vAlign w:val="bottom"/>
          </w:tcPr>
          <w:p>
            <w:pPr>
              <w:jc w:val="right"/>
              <w:spacing w:after="0"/>
              <w:rPr>
                <w:sz w:val="20"/>
                <w:szCs w:val="20"/>
                <w:color w:val="auto"/>
              </w:rPr>
            </w:pPr>
            <w:r>
              <w:rPr>
                <w:rFonts w:ascii="Arial" w:cs="Arial" w:eastAsia="Arial" w:hAnsi="Arial"/>
                <w:sz w:val="18"/>
                <w:szCs w:val="18"/>
                <w:color w:val="auto"/>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Pennacchio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5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Director(4), (5)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5700" w:type="dxa"/>
            <w:vAlign w:val="bottom"/>
            <w:gridSpan w:val="3"/>
          </w:tcPr>
          <w:p>
            <w:pPr>
              <w:ind w:left="340"/>
              <w:spacing w:after="0"/>
              <w:rPr>
                <w:sz w:val="20"/>
                <w:szCs w:val="20"/>
                <w:color w:val="auto"/>
              </w:rPr>
            </w:pPr>
            <w:r>
              <w:rPr>
                <w:rFonts w:ascii="Arial" w:cs="Arial" w:eastAsia="Arial" w:hAnsi="Arial"/>
                <w:sz w:val="18"/>
                <w:szCs w:val="18"/>
                <w:color w:val="auto"/>
              </w:rPr>
              <w:t>Director(5)</w:t>
            </w:r>
          </w:p>
        </w:tc>
        <w:tc>
          <w:tcPr>
            <w:tcW w:w="48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Alan Cohen, who had been a director of the Company since May 2, 2000, resigned his position effective January 10, 2003. Jeremiah P. Murphy, Jr., who had been a director of the Company since October 1999, resigned his position effective June 18, 2003.</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Investor Relations Committee, which was formed by the Board of Directors on July 1,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Bernikow was appointed a director of the Company as of June 30,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member of the Compensation Committee. Mr. Porter became a member of the Compensation Committee on April 30,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Husic was appointed a director of the Company as of June 30, 2003.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Seymour Holtzman </w:t>
      </w:r>
      <w:r>
        <w:rPr>
          <w:rFonts w:ascii="Arial" w:cs="Arial" w:eastAsia="Arial" w:hAnsi="Arial"/>
          <w:sz w:val="18"/>
          <w:szCs w:val="18"/>
          <w:color w:val="auto"/>
        </w:rPr>
        <w:t>has been a director of the Company since April 7, 2000 and Chairman of the Board since April 11, 2000. On May 25, 2001,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involved in the nationwide distribution of watches. During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Chairman of the Board of MM Companies, Inc. (OTCBB: “MMCO”) and Co-Chairman of the Board of Liquid Audio, Inc. (OTCBB: “LQID”). Mr. Holtzman is a well-known shareholder activist who specializes in the banking industry and the retail industry.</w:t>
      </w:r>
    </w:p>
    <w:p>
      <w:pPr>
        <w:spacing w:after="0" w:line="102"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almost 30 years.</w:t>
      </w:r>
    </w:p>
    <w:p>
      <w:pPr>
        <w:spacing w:after="0" w:line="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of the Company since June 30,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partner affairs and litigation matters. Mr. Bernikow joined Touche Ross, the predecessor firm of Deloitte &amp; Touche LLP, in 1977, priort to which Mr. Bernikow was the National Administrative Partner in Charge for the accounting firm of J.K. Lasser &amp; Company. Mr. Bernikow is a member of the Board of Directors for the United Jewish Appeal—Federation of Jewish Philanthropies of New York, Inc.; a member of the Board of Directors of the FOJP Service Corporation; a member of the Executive Committee and Board of Directors for the United Jewish Communities —Federations of North America; a member of the Board of Directors and the Chairman of the Audit Committee for the Jewish Communal Fund; Chairman of the Board of The Heart Institute of Staten Island; and a member of the Board of Directors of Saint Vincent Catholic Medical Centers.</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of the Company since October 8, 1999. Mr. Choper is the Earl Warren Professor of Public Law at the University of California at</w:t>
      </w:r>
      <w:r>
        <w:rPr>
          <w:rFonts w:ascii="Arial" w:cs="Arial" w:eastAsia="Arial" w:hAnsi="Arial"/>
          <w:sz w:val="18"/>
          <w:szCs w:val="18"/>
          <w:i w:val="1"/>
          <w:iCs w:val="1"/>
          <w:color w:val="auto"/>
        </w:rPr>
        <w:t xml:space="preserve"> </w:t>
      </w:r>
      <w:r>
        <w:rPr>
          <w:rFonts w:ascii="Arial" w:cs="Arial" w:eastAsia="Arial" w:hAnsi="Arial"/>
          <w:sz w:val="18"/>
          <w:szCs w:val="18"/>
          <w:color w:val="auto"/>
        </w:rPr>
        <w:t>Berkeley School of Law, where he has taught since 1965. From 1960 to 1961, Professor Choper was a law clerk for Supreme Court Chief Justice Earl Warren. Mr. Choper is also on the Board of Directors of MM Companies, Inc and Liquid Audio, Inc.</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Stephen M. Duff </w:t>
      </w:r>
      <w:r>
        <w:rPr>
          <w:rFonts w:ascii="Arial" w:cs="Arial" w:eastAsia="Arial" w:hAnsi="Arial"/>
          <w:sz w:val="16"/>
          <w:szCs w:val="16"/>
          <w:color w:val="auto"/>
        </w:rPr>
        <w:t>has been a director of the Company since May 14, 2002. Mr. Duff has been the Chief Investment Officer of The Clark Estates, Inc.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2002. Prior to that, he was a Senior Investment Manager of The Clark Estates, Inc. from 1995 until December 2002. From 1990 to 1995, Mr. Duff was an analyst and Portfolio Manager at the Portfolio Group, an asset management subsidiary of The Chemical Banking Corporation. Mr. Duff is also on the Board of Directors of EasyLink Services Corporation and The Clara Welch Thanksgiving Home, a not-for-profit elderly care facility in Cooperstown, New York.</w:t>
      </w:r>
    </w:p>
    <w:p>
      <w:pPr>
        <w:spacing w:after="0" w:line="99" w:lineRule="exact"/>
        <w:rPr>
          <w:sz w:val="20"/>
          <w:szCs w:val="20"/>
          <w:color w:val="auto"/>
        </w:rPr>
      </w:pPr>
    </w:p>
    <w:p>
      <w:pPr>
        <w:jc w:val="both"/>
        <w:ind w:right="500"/>
        <w:spacing w:after="0" w:line="370" w:lineRule="auto"/>
        <w:rPr>
          <w:sz w:val="20"/>
          <w:szCs w:val="20"/>
          <w:color w:val="auto"/>
        </w:rPr>
      </w:pPr>
      <w:r>
        <w:rPr>
          <w:rFonts w:ascii="Arial" w:cs="Arial" w:eastAsia="Arial" w:hAnsi="Arial"/>
          <w:sz w:val="15"/>
          <w:szCs w:val="15"/>
          <w:i w:val="1"/>
          <w:iCs w:val="1"/>
          <w:color w:val="auto"/>
        </w:rPr>
        <w:t xml:space="preserve">Frank J. Husic </w:t>
      </w:r>
      <w:r>
        <w:rPr>
          <w:rFonts w:ascii="Arial" w:cs="Arial" w:eastAsia="Arial" w:hAnsi="Arial"/>
          <w:sz w:val="15"/>
          <w:szCs w:val="15"/>
          <w:color w:val="auto"/>
        </w:rPr>
        <w:t>has been a director of the Company since June 30, 2003. Mr. Husic is the Managing Partner and Chief Investment Officer of Husic Capital</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a company he formed in June 1986. From 1978 to 1986, Mr. Husic was Senior Vice President and Director of Alliance Capital Management.</w:t>
      </w:r>
    </w:p>
    <w:p>
      <w:pPr>
        <w:spacing w:after="0" w:line="4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Joseph Pennacchio </w:t>
      </w:r>
      <w:r>
        <w:rPr>
          <w:rFonts w:ascii="Arial" w:cs="Arial" w:eastAsia="Arial" w:hAnsi="Arial"/>
          <w:sz w:val="16"/>
          <w:szCs w:val="16"/>
          <w:color w:val="auto"/>
        </w:rPr>
        <w:t>has been a director of the Company since October 8, 1999. Mr. Pennacchio has been Chief Executive Officer of Aurafin LLC, a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Dennis R. Hernreich</w:t>
      </w:r>
      <w:r>
        <w:rPr>
          <w:rFonts w:ascii="Arial" w:cs="Arial" w:eastAsia="Arial" w:hAnsi="Arial"/>
          <w:sz w:val="16"/>
          <w:szCs w:val="16"/>
          <w:color w:val="auto"/>
        </w:rPr>
        <w:t>, 47, has been the Executive Vice President, Chief Operating Officer and Chief Financial Officer of the Company since September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that, Mr. Hernreich served as the Senior Vice President, Chief Financial Officer and Treasurer since joining the Company on September 5, 2000. Before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Board of Directors met eight times during the Company’s fiscal year ended February 1, 2003 (“fiscal 2003”). Messrs. Holtzman, Choper, Duff, Levin, Pennacchio and Porter each attended at least 75 percent of the meetings of the Board. Mr. Murphy, who resigned from the Board on June 18, 2003, also attended at least 75 percent of the meetings of the Board. During the time he served as a director, Alan Cohen, who resigned from the Board on January 10, 2003, attended less than 75 percent of the meetings of the Board in fiscal 2003. Mr. Cohen excused himself from three Board meetings held during fiscal 2003 due to his involvement as an advisor to Casual Male Corp. and the Company’s acquisition of substantially all of the assets of Casual Male Corp. and certain of its subsidiaries on May 14, 2003. Because Messrs. Bernikow and Husic were appointed directors of the Company after February 1, 2003, they did not attend any meetings in fiscal 2003.</w:t>
      </w:r>
    </w:p>
    <w:p>
      <w:pPr>
        <w:spacing w:after="0" w:line="13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Board of Directors is responsible for reviewing the nominations of individuals for election to the Board of Directors by stockholders of the Company. Any stockholder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Company’s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Board of Directors has a standing Audit Committee and Compensation Committee, each of which is comprised of independent non-employee directors. All members attended at least 75 percent of the meetings of the committees on which they served during fiscal 2003. On July 1, 2003, the Board also formed an Investor Relations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operates under a written charter adopted by the Board of Directors and the Audit Committee. This written charter was revised as of June 29, 2003 to comply with the Sarbanes-Oxley Act of 2002 and rule changes by the Securities and Exchange Commission and the Nasdaq Stock Market. A copy of the Charter of the Audit Committee is included as Appendix A to this Proxy Statement.</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Audit Committee assists the Board of Directors in fulfilling its oversight responsibilities relating to the quality and integrity of the accounting, auditing and reporting practices of the Company.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meets at a minimum quarterly with management and the Company’s independent auditors to review matters relating to the Company’s financial reporting, the adequacy of internal accounting controls and the scope and results of audit work. During fiscal 2003, the Audit Committee met six times. The present members of the Audit Committee are Messrs. Choper, Duff, and Pennacchio. All members of the Audit Committee are “independent” using the listing standards of the National Association of Securities Dealers. Mr. Murphy was a member of the Audit Committee from his appointment in fiscal 2000 until his resignation in June 2003.</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the functions performed by the Audit Committee, its membership, and the number of meetings held during the fiscal year, is set forth in the “Report of the Audit Committee,” included in this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Compensation Committee meets periodically to review executive and employee compensation and benefits (including stock-based compensation awards under the Company’s 1992 Stock Incentive Plan), supervises benefit plans and makes recommendations regarding compensation, benefits and benefit plans to the Board of Directors. The Compensation Committee met once during fiscal 2003. The present members of the Compensation Committee are Messrs. Pennacchio, Choper and Porter.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Relations Committee</w:t>
      </w:r>
    </w:p>
    <w:p>
      <w:pPr>
        <w:spacing w:after="0" w:line="77"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The Investor Relations Committee was formed by the Board of Directors on July 1, 2003 and consists of two members, Mr. Holtzman and Mr. Duff. The Investor Relations Committee will assist the Company in strengthening its presence in the investment community and provide general guidance on investor-related issues.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Corporate Governance Committee was established to perform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However, over the past two fiscal years, the Corporate Governance Committee did not meet and all of such matters were brought before the Board of Directors. The Board of Directors believes that, in the current regulatory environment, decisions regarding corporate governance should generally be made by the full Board and not a sub-group of the Board. Accordingly, on April 29, 2003, the Board of Directors voted to dissolve the Corporate Governance Committee.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fiscal 2003, non-employee directors of the Company were paid $3,000 plus expenses for each meeting of the Board of Directors which they attended. During fiscal 2003, non-employee directors of the Company were paid, in addition to reimbursement of expenses, for meetings of committees of the Board which they attended as follows: $3,000 for each Compensation Committee meeting and $1,500 for each Audit Committee meeting. Non-employee directors received $500 for certain telephonic board or committee meetings.</w:t>
      </w:r>
    </w:p>
    <w:p>
      <w:pPr>
        <w:spacing w:after="0" w:line="13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fiscal 2003, non-employee directors of the Company were also eligible to participate in the Company’s 1992 Stock Incentive Plan, as amended (the “1992 Plan”).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April 29, 2003, non-employee directors of the Company’s Audit Committee receive $3,000 per meeting as compensation and the Chairman of the Audit Committee receives an additional $10,000 on an annual basis for serving in such capacity. Non-employee directors of the Company’s Investor Relations Committee receive $3,000 per meeting as compensation.</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for any calendar year would enter into an irrevocable agreement with the Company in advance of the beginning of the calendar year. During fiscal 2003, all non-employee directors elected to receive their directors’ fees in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Summary Compensation Table</w:t>
      </w:r>
      <w:r>
        <w:rPr>
          <w:rFonts w:ascii="Arial" w:cs="Arial" w:eastAsia="Arial" w:hAnsi="Arial"/>
          <w:sz w:val="17"/>
          <w:szCs w:val="17"/>
          <w:color w:val="auto"/>
        </w:rPr>
        <w:t>. The following Summary Compensation Table sets forth certain information regarding compensation paid or accrued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Chairman of the Board, Chief Executive Officer and the Chief Financial Officer. The table also includes two former executive officers of the Company, Stephen Gatsik, who resigned as President of the Casual Male division on May 2, 2003, and Ronald N. Batts, who resigned as President of Levi’s</w:t>
      </w:r>
      <w:r>
        <w:rPr>
          <w:rFonts w:ascii="Arial" w:cs="Arial" w:eastAsia="Arial" w:hAnsi="Arial"/>
          <w:sz w:val="21"/>
          <w:szCs w:val="21"/>
          <w:color w:val="auto"/>
          <w:vertAlign w:val="superscript"/>
        </w:rPr>
        <w:t>®</w:t>
      </w:r>
      <w:r>
        <w:rPr>
          <w:rFonts w:ascii="Arial" w:cs="Arial" w:eastAsia="Arial" w:hAnsi="Arial"/>
          <w:sz w:val="17"/>
          <w:szCs w:val="17"/>
          <w:color w:val="auto"/>
        </w:rPr>
        <w:t>, Dockers</w:t>
      </w:r>
      <w:r>
        <w:rPr>
          <w:rFonts w:ascii="Arial" w:cs="Arial" w:eastAsia="Arial" w:hAnsi="Arial"/>
          <w:sz w:val="21"/>
          <w:szCs w:val="21"/>
          <w:color w:val="auto"/>
          <w:vertAlign w:val="superscript"/>
        </w:rPr>
        <w:t>®</w:t>
      </w:r>
      <w:r>
        <w:rPr>
          <w:rFonts w:ascii="Arial" w:cs="Arial" w:eastAsia="Arial" w:hAnsi="Arial"/>
          <w:sz w:val="17"/>
          <w:szCs w:val="17"/>
          <w:color w:val="auto"/>
        </w:rPr>
        <w:t>,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divisions on October 25, 2002 (collectively, the “Named Executive Officers”), for fiscal 2003 and for the fiscal years ended February 2, 2002 (“fiscal 2002”) and February 3, 2001 (“fiscal 2001”).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Annual Compensation</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Compensation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 (at February 1, 2003)</w:t>
            </w:r>
          </w:p>
        </w:tc>
        <w:tc>
          <w:tcPr>
            <w:tcW w:w="17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Bonus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23,539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Chairman of the Board(1)</w:t>
            </w:r>
          </w:p>
        </w:tc>
        <w:tc>
          <w:tcPr>
            <w:tcW w:w="2680" w:type="dxa"/>
            <w:vAlign w:val="bottom"/>
            <w:gridSpan w:val="3"/>
          </w:tcPr>
          <w:p>
            <w:pPr>
              <w:ind w:left="1840"/>
              <w:spacing w:after="0"/>
              <w:rPr>
                <w:sz w:val="20"/>
                <w:szCs w:val="20"/>
                <w:color w:val="auto"/>
              </w:rPr>
            </w:pPr>
            <w:r>
              <w:rPr>
                <w:rFonts w:ascii="Arial" w:cs="Arial" w:eastAsia="Arial" w:hAnsi="Arial"/>
                <w:sz w:val="18"/>
                <w:szCs w:val="18"/>
                <w:color w:val="auto"/>
              </w:rPr>
              <w:t>2002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18,616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 (3)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468,596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270,000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c>
          <w:tcPr>
            <w:tcW w:w="2680" w:type="dxa"/>
            <w:vAlign w:val="bottom"/>
            <w:gridSpan w:val="3"/>
          </w:tcPr>
          <w:p>
            <w:pPr>
              <w:ind w:left="1840"/>
              <w:spacing w:after="0"/>
              <w:rPr>
                <w:sz w:val="20"/>
                <w:szCs w:val="20"/>
                <w:color w:val="auto"/>
              </w:rPr>
            </w:pPr>
            <w:r>
              <w:rPr>
                <w:rFonts w:ascii="Arial" w:cs="Arial" w:eastAsia="Arial" w:hAnsi="Arial"/>
                <w:sz w:val="18"/>
                <w:szCs w:val="18"/>
                <w:color w:val="auto"/>
              </w:rPr>
              <w:t>2002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382,374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311,758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83"/>
        </w:trPr>
        <w:tc>
          <w:tcPr>
            <w:tcW w:w="378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2680" w:type="dxa"/>
            <w:vAlign w:val="bottom"/>
            <w:gridSpan w:val="3"/>
          </w:tcPr>
          <w:p>
            <w:pPr>
              <w:ind w:left="1840"/>
              <w:spacing w:after="0"/>
              <w:rPr>
                <w:sz w:val="20"/>
                <w:szCs w:val="20"/>
                <w:color w:val="auto"/>
              </w:rPr>
            </w:pPr>
            <w:r>
              <w:rPr>
                <w:rFonts w:ascii="Arial" w:cs="Arial" w:eastAsia="Arial" w:hAnsi="Arial"/>
                <w:sz w:val="18"/>
                <w:szCs w:val="18"/>
                <w:color w:val="auto"/>
              </w:rPr>
              <w:t>2003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323,885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230,000</w:t>
            </w:r>
          </w:p>
        </w:tc>
        <w:tc>
          <w:tcPr>
            <w:tcW w:w="840" w:type="dxa"/>
            <w:vAlign w:val="bottom"/>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8,020(2)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Executive Vice President, Chief Financial Officer,</w:t>
            </w: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232,398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 and Treasurer</w:t>
            </w:r>
          </w:p>
        </w:tc>
        <w:tc>
          <w:tcPr>
            <w:tcW w:w="2680" w:type="dxa"/>
            <w:vAlign w:val="bottom"/>
            <w:gridSpan w:val="3"/>
          </w:tcPr>
          <w:p>
            <w:pPr>
              <w:ind w:left="1840"/>
              <w:spacing w:after="0"/>
              <w:rPr>
                <w:sz w:val="20"/>
                <w:szCs w:val="20"/>
                <w:color w:val="auto"/>
              </w:rPr>
            </w:pPr>
            <w:r>
              <w:rPr>
                <w:rFonts w:ascii="Arial" w:cs="Arial" w:eastAsia="Arial" w:hAnsi="Arial"/>
                <w:sz w:val="18"/>
                <w:szCs w:val="18"/>
                <w:color w:val="auto"/>
              </w:rPr>
              <w:t>2001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121,610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6,250</w:t>
            </w:r>
          </w:p>
        </w:tc>
        <w:tc>
          <w:tcPr>
            <w:tcW w:w="840" w:type="dxa"/>
            <w:vAlign w:val="bottom"/>
          </w:tcPr>
          <w:p>
            <w:pPr>
              <w:jc w:val="right"/>
              <w:spacing w:after="0"/>
              <w:rPr>
                <w:sz w:val="20"/>
                <w:szCs w:val="20"/>
                <w:color w:val="auto"/>
              </w:rPr>
            </w:pPr>
            <w:r>
              <w:rPr>
                <w:rFonts w:ascii="Arial" w:cs="Arial" w:eastAsia="Arial" w:hAnsi="Arial"/>
                <w:sz w:val="18"/>
                <w:szCs w:val="18"/>
                <w:color w:val="auto"/>
              </w:rPr>
              <w:t>85,000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85,307(4)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Gatsik(5)</w:t>
            </w: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186,154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President of the Casual Male division</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N. Batts(6)</w:t>
            </w:r>
          </w:p>
        </w:tc>
        <w:tc>
          <w:tcPr>
            <w:tcW w:w="2680" w:type="dxa"/>
            <w:vAlign w:val="bottom"/>
            <w:gridSpan w:val="3"/>
            <w:shd w:val="clear" w:color="auto" w:fill="CCEEFF"/>
          </w:tcPr>
          <w:p>
            <w:pPr>
              <w:ind w:left="184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251,172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Former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w:t>
            </w:r>
          </w:p>
        </w:tc>
        <w:tc>
          <w:tcPr>
            <w:tcW w:w="2680" w:type="dxa"/>
            <w:vAlign w:val="bottom"/>
            <w:gridSpan w:val="3"/>
          </w:tcPr>
          <w:p>
            <w:pPr>
              <w:ind w:left="1840"/>
              <w:spacing w:after="0"/>
              <w:rPr>
                <w:sz w:val="20"/>
                <w:szCs w:val="20"/>
                <w:color w:val="auto"/>
              </w:rPr>
            </w:pPr>
            <w:r>
              <w:rPr>
                <w:rFonts w:ascii="Arial" w:cs="Arial" w:eastAsia="Arial" w:hAnsi="Arial"/>
                <w:sz w:val="18"/>
                <w:szCs w:val="18"/>
                <w:color w:val="auto"/>
              </w:rPr>
              <w:t>2002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86,432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6,000</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w:t>
            </w:r>
          </w:p>
        </w:tc>
        <w:tc>
          <w:tcPr>
            <w:tcW w:w="1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Holtzman was hired by the Company as an executive officer and employee of the Company on May 25, 2001. As compensation for his services, in fiscal 2002, the Company granted to Mr. Holtzman an option to purchase up to 300,000 shares of the Company’s Common Stock. In fiscal 2003, Mr. Holtzman was granted additional options to purchase up to 600,000 shares of the Company’s Common Stock. See “Employment Agreements” for more discussion.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Compensation with respect to fiscal 2003 represents:</w:t>
      </w:r>
    </w:p>
    <w:p>
      <w:pPr>
        <w:spacing w:after="0" w:line="9" w:lineRule="exact"/>
        <w:rPr>
          <w:rFonts w:ascii="Arial" w:cs="Arial" w:eastAsia="Arial" w:hAnsi="Arial"/>
          <w:sz w:val="18"/>
          <w:szCs w:val="18"/>
          <w:color w:val="auto"/>
        </w:rPr>
      </w:pPr>
    </w:p>
    <w:p>
      <w:pPr>
        <w:ind w:left="460" w:right="80"/>
        <w:spacing w:after="0" w:line="261" w:lineRule="auto"/>
        <w:rPr>
          <w:rFonts w:ascii="Arial" w:cs="Arial" w:eastAsia="Arial" w:hAnsi="Arial"/>
          <w:sz w:val="18"/>
          <w:szCs w:val="18"/>
          <w:color w:val="auto"/>
        </w:rPr>
      </w:pPr>
      <w:r>
        <w:rPr>
          <w:rFonts w:ascii="Arial" w:cs="Arial" w:eastAsia="Arial" w:hAnsi="Arial"/>
          <w:sz w:val="18"/>
          <w:szCs w:val="18"/>
          <w:color w:val="auto"/>
        </w:rPr>
        <w:t>(i) payments by the Company of insurance premiums for term life insurance for the benefit of the executive officers (Mr. Holtzman $34, Mr. Levin $3,245, Mr. Hernreich $466, Mr. Gatsik $870 and Mr. Batts $426);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left="560" w:right="480" w:firstLine="3"/>
        <w:spacing w:after="0" w:line="283" w:lineRule="auto"/>
        <w:tabs>
          <w:tab w:leader="none" w:pos="818" w:val="left"/>
        </w:tabs>
        <w:numPr>
          <w:ilvl w:val="2"/>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matching contributions made by the Company for the benefit of each of the following executive officers to the Company’s retirement plan (the “401(k) Plan”) established pursuant to Section 401(k) of the Internal Revenue Code of 1986, as amended (the “Internal Revenue Code”) (Mr. Levin $4,426, Mr. Hernreich $5,131 and Mr. Gatsik $5,500); (iii) car allowances (Mr. Levin $8,360 and Mr. Hernreich $2,423); (iv) reimbursement for relocation costs (Mr. Batts $36,769); and (v) severance payments (Mr. Batts $44,314).</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Compensation with respect to fiscal 2002 represents:</w:t>
      </w:r>
    </w:p>
    <w:p>
      <w:pPr>
        <w:spacing w:after="0" w:line="9" w:lineRule="exact"/>
        <w:rPr>
          <w:rFonts w:ascii="Arial" w:cs="Arial" w:eastAsia="Arial" w:hAnsi="Arial"/>
          <w:sz w:val="18"/>
          <w:szCs w:val="18"/>
          <w:color w:val="auto"/>
        </w:rPr>
      </w:pPr>
    </w:p>
    <w:p>
      <w:pPr>
        <w:ind w:left="460" w:right="40" w:hanging="6"/>
        <w:spacing w:after="0" w:line="250" w:lineRule="auto"/>
        <w:tabs>
          <w:tab w:leader="none" w:pos="6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payments by the Company of insurance premiums for term life insurance for the benefit of the executive officers (Mr. Levin $3,131, Mr. Hernreich $411 and Mr. Batts $124); (ii) matching contributions made by the Company for the benefit of each of the following executive officers to the 401(k) Plan (Mr. Levin $4,482 and Mr. Hernreich $469); (iii) car allowances (Mr. Levin $6,872 and Mr. Hernreich $2,771); and (iv) reimbursement for relocation costs (Mr. Hernreich $3,177 and Mr. Batts $10,279).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Compensation with respect to fiscal 2001 represents: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payments by the Company of insurance premiums for term life insurance for the benefit of the executive officers (Mr. Levin $449 and Mr. Hernreich</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$307); and (iv) reimbursement for relocation costs (Mr. Hernreich $85,000).</w:t>
      </w:r>
    </w:p>
    <w:p>
      <w:pPr>
        <w:spacing w:after="0" w:line="9" w:lineRule="exact"/>
        <w:rPr>
          <w:sz w:val="20"/>
          <w:szCs w:val="20"/>
          <w:color w:val="auto"/>
        </w:rPr>
      </w:pPr>
    </w:p>
    <w:p>
      <w:pPr>
        <w:jc w:val="both"/>
        <w:ind w:left="460" w:right="1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Gatsik joined the Company on May 15, 2002 as a result of the Casual Male acquisition and served as an employee of the Company until May 2, 2003, when his employment with the Company terminated. Compensation paid by Casual Male Corp. to Mr. Gatsik prior to May 15, 2002 is not included in this schedule. In May 2003, Mr. Gatsik received a $70,000 bonus for fiscal 2003.</w:t>
      </w:r>
    </w:p>
    <w:p>
      <w:pPr>
        <w:spacing w:after="0" w:line="1" w:lineRule="exact"/>
        <w:rPr>
          <w:rFonts w:ascii="Arial" w:cs="Arial" w:eastAsia="Arial" w:hAnsi="Arial"/>
          <w:sz w:val="18"/>
          <w:szCs w:val="18"/>
          <w:color w:val="auto"/>
        </w:rPr>
      </w:pPr>
    </w:p>
    <w:p>
      <w:pPr>
        <w:ind w:left="460" w:right="60" w:hanging="452"/>
        <w:spacing w:after="0" w:line="20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Batts joined the Company on October 22, 2001 and most recently served as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 until October 25, 2002.</w:t>
      </w:r>
    </w:p>
    <w:p>
      <w:pPr>
        <w:spacing w:after="0" w:line="13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Option Grants Table</w:t>
      </w:r>
      <w:r>
        <w:rPr>
          <w:rFonts w:ascii="Arial" w:cs="Arial" w:eastAsia="Arial" w:hAnsi="Arial"/>
          <w:sz w:val="18"/>
          <w:szCs w:val="18"/>
          <w:color w:val="auto"/>
        </w:rPr>
        <w:t>. The following Option Grants table sets forth certain information as of February 1, 2003 regarding stock options granted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2003 by the Company to the Named Executive Officers.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2003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w w:val="90"/>
              </w:rPr>
              <w:t>Individual Grants</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Value of Assumed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6"/>
          </w:tcPr>
          <w:p>
            <w:pPr>
              <w:jc w:val="center"/>
              <w:ind w:right="160"/>
              <w:spacing w:after="0" w:line="114" w:lineRule="exact"/>
              <w:rPr>
                <w:sz w:val="20"/>
                <w:szCs w:val="20"/>
                <w:color w:val="auto"/>
              </w:rPr>
            </w:pPr>
            <w:r>
              <w:rPr>
                <w:rFonts w:ascii="Arial" w:cs="Arial" w:eastAsia="Arial" w:hAnsi="Arial"/>
                <w:sz w:val="12"/>
                <w:szCs w:val="12"/>
                <w:b w:val="1"/>
                <w:bCs w:val="1"/>
                <w:color w:val="auto"/>
              </w:rPr>
              <w:t>Annual Rates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Percent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left="543"/>
              <w:spacing w:after="0" w:line="143" w:lineRule="exact"/>
              <w:rPr>
                <w:sz w:val="20"/>
                <w:szCs w:val="20"/>
                <w:color w:val="auto"/>
              </w:rPr>
            </w:pPr>
            <w:r>
              <w:rPr>
                <w:rFonts w:ascii="Arial" w:cs="Arial" w:eastAsia="Arial" w:hAnsi="Arial"/>
                <w:sz w:val="14"/>
                <w:szCs w:val="14"/>
                <w:b w:val="1"/>
                <w:bCs w:val="1"/>
                <w:color w:val="auto"/>
                <w:w w:val="83"/>
              </w:rPr>
              <w:t>Stock Price</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Appreciation for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380" w:type="dxa"/>
            <w:vAlign w:val="bottom"/>
            <w:gridSpan w:val="2"/>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1"/>
              </w:rPr>
              <w:t>Option Term(2)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380" w:type="dxa"/>
            <w:vAlign w:val="bottom"/>
            <w:gridSpan w:val="2"/>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6"/>
                <w:szCs w:val="6"/>
                <w:color w:val="auto"/>
              </w:rPr>
            </w:pPr>
          </w:p>
        </w:tc>
        <w:tc>
          <w:tcPr>
            <w:tcW w:w="5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gridSpan w:val="2"/>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Granted to</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vMerge w:val="restart"/>
          </w:tcPr>
          <w:p>
            <w:pPr>
              <w:jc w:val="center"/>
              <w:ind w:right="17"/>
              <w:spacing w:after="0" w:line="149" w:lineRule="exact"/>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Employees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Options</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 Fiscal</w:t>
            </w:r>
          </w:p>
        </w:tc>
        <w:tc>
          <w:tcPr>
            <w:tcW w:w="2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Granted (1)</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w:t>
            </w:r>
          </w:p>
        </w:tc>
        <w:tc>
          <w:tcPr>
            <w:tcW w:w="500" w:type="dxa"/>
            <w:vAlign w:val="bottom"/>
          </w:tcPr>
          <w:p>
            <w:pPr>
              <w:spacing w:after="0"/>
              <w:rPr>
                <w:sz w:val="15"/>
                <w:szCs w:val="15"/>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5"/>
                <w:szCs w:val="15"/>
                <w:color w:val="auto"/>
              </w:rPr>
            </w:pPr>
          </w:p>
        </w:tc>
        <w:tc>
          <w:tcPr>
            <w:tcW w:w="740" w:type="dxa"/>
            <w:vAlign w:val="bottom"/>
          </w:tcPr>
          <w:p>
            <w:pPr>
              <w:jc w:val="right"/>
              <w:ind w:right="263"/>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576,067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1,459,868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400,000</w:t>
            </w:r>
          </w:p>
        </w:tc>
        <w:tc>
          <w:tcPr>
            <w:tcW w:w="7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3.15</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10/16/12</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792,407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2,008,116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1,368,475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3,467,984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4.58</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5/1/12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216,025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547,451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216,025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Stephen Gatsik</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50,000(3)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4.60</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8/22/12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144,646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366,561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N. Batts</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8/22/12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28,929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options granted in the table become exercisable over a three year period, with one-third vesting on each anniversary from the date of grant.</w:t>
      </w:r>
    </w:p>
    <w:p>
      <w:pPr>
        <w:spacing w:after="0" w:line="38" w:lineRule="exact"/>
        <w:rPr>
          <w:rFonts w:ascii="Arial" w:cs="Arial" w:eastAsia="Arial" w:hAnsi="Arial"/>
          <w:sz w:val="16"/>
          <w:szCs w:val="16"/>
          <w:color w:val="auto"/>
        </w:rPr>
      </w:pPr>
    </w:p>
    <w:p>
      <w:pPr>
        <w:ind w:left="460" w:right="100" w:hanging="452"/>
        <w:spacing w:after="0" w:line="29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Securities and Exchange Commission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 w:name="page13"/>
    <w:bookmarkEnd w:id="12"/>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Gatsik’s employment with the Company terminated on May 2, 2003. Accordingly, the 50,000 options, which were unexercisable, were canceled.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Batts’ employment with the Company terminated on October 25, 2002. Accordingly, the 10,000 options, which were unexercisable, were canceled.</w:t>
      </w:r>
    </w:p>
    <w:p>
      <w:pPr>
        <w:spacing w:after="0" w:line="168"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b w:val="1"/>
          <w:bCs w:val="1"/>
          <w:color w:val="auto"/>
        </w:rPr>
        <w:t>Aggregated Option Exercises and Fiscal Year-End Option Value Table</w:t>
      </w:r>
      <w:r>
        <w:rPr>
          <w:rFonts w:ascii="Arial" w:cs="Arial" w:eastAsia="Arial" w:hAnsi="Arial"/>
          <w:sz w:val="16"/>
          <w:szCs w:val="16"/>
          <w:color w:val="auto"/>
        </w:rPr>
        <w:t>. The following table sets forth information for the Named Executive Officers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exercise of stock options during the fiscal year ended February 1, 2003 and the year-end value of unexercised options.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Aggregated Option Exercises in Fiscal 2003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Options at Fiscal Year-End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at Fiscal Year-End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 of Shares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Value of Shares(1)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40" w:type="dxa"/>
            <w:vAlign w:val="bottom"/>
          </w:tcPr>
          <w:p>
            <w:pPr>
              <w:spacing w:after="0"/>
              <w:rPr>
                <w:sz w:val="3"/>
                <w:szCs w:val="3"/>
                <w:color w:val="auto"/>
              </w:rPr>
            </w:pPr>
          </w:p>
        </w:tc>
        <w:tc>
          <w:tcPr>
            <w:tcW w:w="1260" w:type="dxa"/>
            <w:vAlign w:val="bottom"/>
            <w:gridSpan w:val="2"/>
            <w:vMerge w:val="restart"/>
          </w:tcPr>
          <w:p>
            <w:pPr>
              <w:jc w:val="right"/>
              <w:ind w:right="760"/>
              <w:spacing w:after="0" w:line="149" w:lineRule="exact"/>
              <w:rPr>
                <w:sz w:val="20"/>
                <w:szCs w:val="20"/>
                <w:color w:val="auto"/>
              </w:rPr>
            </w:pPr>
            <w:r>
              <w:rPr>
                <w:rFonts w:ascii="Arial" w:cs="Arial" w:eastAsia="Arial" w:hAnsi="Arial"/>
                <w:sz w:val="14"/>
                <w:szCs w:val="14"/>
                <w:b w:val="1"/>
                <w:bCs w:val="1"/>
                <w:color w:val="auto"/>
              </w:rPr>
              <w:t>Value</w:t>
            </w:r>
          </w:p>
        </w:tc>
        <w:tc>
          <w:tcPr>
            <w:tcW w:w="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54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Realized ($)</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5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58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Seymour Holtzman(2)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241,667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258,333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420,500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64,350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Stephen Gatsik(3)</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Batts(4)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31, 2003, of $3.29 per share, and the exercise price of the respective options.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including options held in the name of Jewelcor Management,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Gatsik’s employment with the Company terminated on May 2, 2003. Accordingly, his options, which were unexercisable, were canceled on that date.</w:t>
      </w:r>
    </w:p>
    <w:p>
      <w:pPr>
        <w:spacing w:after="0" w:line="32" w:lineRule="exact"/>
        <w:rPr>
          <w:rFonts w:ascii="Arial" w:cs="Arial" w:eastAsia="Arial" w:hAnsi="Arial"/>
          <w:sz w:val="16"/>
          <w:szCs w:val="16"/>
          <w:color w:val="auto"/>
        </w:rPr>
      </w:pPr>
    </w:p>
    <w:p>
      <w:pPr>
        <w:ind w:left="460" w:right="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Batts’ employment with the Company terminated on October 25, 2002. Accordingly, all unexercised options were canceled on that date and exercisable options expired 30 days from October 25,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Supplemental Plan</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part of the Casual Male acquisition, the Company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4"/>
                <w:szCs w:val="14"/>
                <w:b w:val="1"/>
                <w:bCs w:val="1"/>
                <w:color w:val="auto"/>
                <w:w w:val="88"/>
              </w:rPr>
              <w:t>Representative Years of Service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4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w:t>
            </w:r>
          </w:p>
        </w:tc>
        <w:tc>
          <w:tcPr>
            <w:tcW w:w="1500" w:type="dxa"/>
            <w:vAlign w:val="bottom"/>
            <w:gridSpan w:val="4"/>
          </w:tcPr>
          <w:p>
            <w:pPr>
              <w:ind w:left="640"/>
              <w:spacing w:after="0"/>
              <w:rPr>
                <w:sz w:val="20"/>
                <w:szCs w:val="20"/>
                <w:color w:val="auto"/>
              </w:rPr>
            </w:pPr>
            <w:r>
              <w:rPr>
                <w:rFonts w:ascii="Arial" w:cs="Arial" w:eastAsia="Arial" w:hAnsi="Arial"/>
                <w:sz w:val="14"/>
                <w:szCs w:val="14"/>
                <w:b w:val="1"/>
                <w:bCs w:val="1"/>
                <w:color w:val="auto"/>
                <w:w w:val="89"/>
              </w:rPr>
              <w:t>30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58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$ 9,953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580" w:type="dxa"/>
            <w:vAlign w:val="bottom"/>
          </w:tcPr>
          <w:p>
            <w:pPr>
              <w:spacing w:after="0"/>
              <w:rPr>
                <w:sz w:val="18"/>
                <w:szCs w:val="18"/>
                <w:color w:val="auto"/>
              </w:rPr>
            </w:pPr>
          </w:p>
        </w:tc>
        <w:tc>
          <w:tcPr>
            <w:tcW w:w="5040" w:type="dxa"/>
            <w:vAlign w:val="bottom"/>
            <w:gridSpan w:val="3"/>
          </w:tcPr>
          <w:p>
            <w:pPr>
              <w:jc w:val="right"/>
              <w:ind w:right="80"/>
              <w:spacing w:after="0"/>
              <w:rPr>
                <w:sz w:val="20"/>
                <w:szCs w:val="20"/>
                <w:color w:val="auto"/>
              </w:rPr>
            </w:pPr>
            <w:r>
              <w:rPr>
                <w:rFonts w:ascii="Arial" w:cs="Arial" w:eastAsia="Arial" w:hAnsi="Arial"/>
                <w:sz w:val="18"/>
                <w:szCs w:val="18"/>
                <w:color w:val="auto"/>
              </w:rPr>
              <w:t>11,977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58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580" w:type="dxa"/>
            <w:vAlign w:val="bottom"/>
          </w:tcPr>
          <w:p>
            <w:pPr>
              <w:spacing w:after="0"/>
              <w:rPr>
                <w:sz w:val="18"/>
                <w:szCs w:val="18"/>
                <w:color w:val="auto"/>
              </w:rPr>
            </w:pPr>
          </w:p>
        </w:tc>
        <w:tc>
          <w:tcPr>
            <w:tcW w:w="5040" w:type="dxa"/>
            <w:vAlign w:val="bottom"/>
            <w:gridSpan w:val="3"/>
          </w:tcPr>
          <w:p>
            <w:pPr>
              <w:jc w:val="right"/>
              <w:ind w:right="80"/>
              <w:spacing w:after="0"/>
              <w:rPr>
                <w:sz w:val="20"/>
                <w:szCs w:val="20"/>
                <w:color w:val="auto"/>
              </w:rPr>
            </w:pPr>
            <w:r>
              <w:rPr>
                <w:rFonts w:ascii="Arial" w:cs="Arial" w:eastAsia="Arial" w:hAnsi="Arial"/>
                <w:sz w:val="18"/>
                <w:szCs w:val="18"/>
                <w:color w:val="auto"/>
              </w:rPr>
              <w:t>25,977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58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580" w:type="dxa"/>
            <w:vAlign w:val="bottom"/>
          </w:tcPr>
          <w:p>
            <w:pPr>
              <w:spacing w:after="0"/>
              <w:rPr>
                <w:sz w:val="18"/>
                <w:szCs w:val="18"/>
                <w:color w:val="auto"/>
              </w:rPr>
            </w:pPr>
          </w:p>
        </w:tc>
        <w:tc>
          <w:tcPr>
            <w:tcW w:w="5040" w:type="dxa"/>
            <w:vAlign w:val="bottom"/>
            <w:gridSpan w:val="3"/>
          </w:tcPr>
          <w:p>
            <w:pPr>
              <w:jc w:val="right"/>
              <w:ind w:right="80"/>
              <w:spacing w:after="0"/>
              <w:rPr>
                <w:sz w:val="20"/>
                <w:szCs w:val="20"/>
                <w:color w:val="auto"/>
              </w:rPr>
            </w:pPr>
            <w:r>
              <w:rPr>
                <w:rFonts w:ascii="Arial" w:cs="Arial" w:eastAsia="Arial" w:hAnsi="Arial"/>
                <w:sz w:val="18"/>
                <w:szCs w:val="18"/>
                <w:color w:val="auto"/>
              </w:rPr>
              <w:t>35,402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58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Retirement and Supplemental Plans is $267,326.</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440"/>
          </w:cols>
          <w:pgMar w:left="240" w:top="280" w:right="219" w:bottom="1440" w:gutter="0" w:footer="0" w:header="0"/>
        </w:sectPr>
      </w:pPr>
    </w:p>
    <w:bookmarkStart w:id="13" w:name="page14"/>
    <w:bookmarkEnd w:id="13"/>
    <w:p>
      <w:pPr>
        <w:ind w:right="8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Casual Male Corp.’s Board of Directors voted to cease all benefit accruals under its Supplemental Plan.</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February 1, 2003, none of the Named Executive Officers of the Company was a participant in either the Pension Plan or Supplemental Plan, and therefore such officers are not entitled to any benefits from these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has a 401(k) plan for which all eligible employees of the Company may participate. In May 2002, as part of the Casual Male acquisition, the Company assumed the assets and liabilities of Casual Male Corp.’s two 401(k) plans. On January 1, 2003, all three 401(k) plans were merged into one 401(k) defined contribution plan (the “401(k) Plan”). The 401(k) Plan permits each participant to defer up to 15 percent of such participant’s annual salary up to a maximum annual amount ($11,000 in calendar year 2003, $11,000 in calendar year 2002 and $10,000 in calendar year 2001). The Board of Directors of the Company may determine, from fiscal year to fiscal year, whether and to what extent the Company will contribute to the 401(k) Plan by matching contributions made to such plan by eligible employees. During fiscal 2003, the matching contribution by the Company continued to be 50 percent of contributions by eligible employees up to a maximum of six percent of salary.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fiscal 2001, the Company obtained a key man life insurance policy in the amount of $2,000,000 on the life of Mr. Levin. In fiscal 2002, the Company obtained a key man life insurance policy in the amount of $2,000,000 on the life of Mr. Hernreich.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entered into an employment agreement, effective as of March 31, 2000, as amended, with David A. Levin for a two-year term ending April 10, 2002. Mr. Levin’s Employment Agreement was amended on April 10, 2001 to extend the term of the Agreement to April 2004. Mr. Levin’s Employment Agreement was further amended on January 30, 2003 to redefine the initial term of employment as beginning on April 10, 2000 for a three-year term ending on April 10, 2003. The agreement automatically renews each year on its anniversary for additional one-year periods, unless either party notifies the other at least ninety days prior to such anniversary date that it will not renew such agreement. Accordingly, on April 10, 2003, the most recent anniversary date, Mr. Levin’s employment with the Company was extended for an additional one-year period, thereby extending the agreement to April 10, 2006.</w:t>
      </w:r>
    </w:p>
    <w:p>
      <w:pPr>
        <w:spacing w:after="0" w:line="107"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As of August 14, 2000, the Company entered into an employment agreement with Dennis R. Hernreich for a one-year term ending September 1, 2001. Mr. Hernreich’s Employment Agreement was amended on April 25, 2001 to extend the term of the Agreement to September 4, 2002. On January 30, 2003, the agreement was further amended to redefine the initial term of employment as beginning on September 4, 2000 for a three-year term</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4" w:name="page15"/>
    <w:bookmarkEnd w:id="14"/>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ending on September 4, 2003. The agreement automatically renews each year on its anniversary for additional one year periods, unless either party notifies the other at least ninety days prior to such anniversary date that it will not renew such agreement. Accordingly as of September 4, 2002, the most recent anniversary date, Mr. Hernreich’s employment agreement with the Company was extended for an additional one-year period, thereby extending the agreement to September 4, 2005.</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employment agreements with Messrs. Levin and Hernreich (together, the “Employment Agreements”) require each executive officer to devote substantially all of his time and attention to the business of the Company as necessary to fulfill his respective duties. Each of the Employment Agreements provides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and Hernreich are employed by the Company, the Company will provide each executive an automobile allowance in the amount of $600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Employment Agreement for Mr. Hernreich also provided for reimbursement of expenses associated with his relocation to the Boston area. In accordance with his agreement, Mr. Hernreich was entitled to receive a total amount of $85,000 for relocation costs, which he received, less applicable taxes, in fiscal 2001. In addition, Mr. Hernreich was entitled to receive reimbursement for reasonable expenses associated with his temporary living arrangements.</w:t>
      </w:r>
    </w:p>
    <w:p>
      <w:pPr>
        <w:spacing w:after="0" w:line="9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Mr. Levin is entitled to receive an annual bonus of up to 50% and Mr. Hernreich is entitled to receive an annual bonus of up to 45% of their respective annual base salaries depending on the performance of the Company. Mr. Levin is entitled to receive an additional annual bonus of 10% if the Company meets its annual projections for its fiscal budget plan, as approved by the Board of Directors. The Compensation Committee of the Board of Directors shall determine, in its sole discretion, the amount of the annual bonus to be paid to each of the executive officers, plus the amount of any special bonus. In fiscal 2003, Messrs. Levin and Hernreich were paid bonuses of $270,000 and $230,000, respectively.</w:t>
      </w:r>
    </w:p>
    <w:p>
      <w:pPr>
        <w:spacing w:after="0" w:line="10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July 1, 2003, the Compensation Committee increased the annual base salaries of Mr. Levin and Mr. Hernreich by 5% to $525,000 and $393,750, respectively. In addition, on July 1, 2003, the Compensation Committee approved a $125,000 bonus for Mr. Levin and a $93,750 bonus for Mr. Hernreich, of which 50% became payable immediately. The remaining 50% is contingent upon the Company’s Casual Male business achieving certain performance targets for the fourth quarter of fiscal 2004. On July 1, 2003, the Compensation Committee also granted to each of Mr. Levin and Mr. Hernreich options to purchase 75,000 shares of the Company’s Common Stock. These options are scheduled to vest on the sixth anniversary of the date of grant but will accelerate and become exercisable over a three-year period, with one-third vesting on each of the first, second and third anniversaries of the date of grant, if the Casual Male business achieves certain performance targets for the fourth quarter of fiscal 2004.</w:t>
      </w:r>
    </w:p>
    <w:p>
      <w:pPr>
        <w:spacing w:after="0" w:line="1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officer is terminated without justifiable cause within one year after a Change of Control of the Company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 w:name="page16"/>
    <w:bookmarkEnd w:id="1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below) has occurred, he shall receive a lump sum payment in an amount equal to the greater of (1) the base salary for the remaining term of the related Employment Agreement or (2) the current base salary for one year.</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August 19, 2002, the Company had entered into an employment agreement with Stephen Gatsik for a one-year term ending on August 19, 2003. Pursuant to that agreement, Mr. Gatsik was entitled to receive an annual salary of $350,000 and a minimum bonus of $70,000. This employment agreement was in effect through May 2, 2003, the date Mr. Gatsik’s employment with the Company was terminated. Pursuant to his employment agreement, Mr. Gatsik will receive severance payments, over a six-month period, in an aggregate amount equal to the aggregate amount of the payments he would have been entitled to receive as salary for such period.</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2001, Seymour Holtzman, who was serving as the Company’s non-employee Chairman of the Board, was hired by the Company as an executive officer of the Company. In connection with his hiring, the Board awarded Mr. Holtzman an option to purchase an aggregate of 300,000 shares of the Company’s Common Stock at an exercise price of $3.88 per share, equal to the closing price of the Common Stock on the date of his hiring. On May 1, 2002, Mr. Holtzman was granted options to acquire 200,000 shares of Common Stock at an exercise price of $4.58 per share, and on October 16, 2002, Mr. Holtzman was granted options to purchase an additional 400,000 shares of the Company’s Common Stock at an exercise price of $3.15 per share, which exercise prices were equal to the respective closing prices of the Common Stock on those dates. These options represent the principal portion of Mr. Holtzman’s compensation as an employee of the Company. Mr. Holtzman received $23,539 in cash compensation as an employee during fiscal 2003. Mr. Holtzman is otherwise subject to an employment arrangement on terms substantially similar to those of the Employment Agreements described above. On July 1, 2003, the Compensation Committee granted to Mr. Holtzman options to purchase 200,000 shares of Common Stock. The options have an exercise price of $5.01 per share and vest over two years from the date of grant. The proposed amendment to increase the number of shares annually subject to individual grants under the 1992 Stock Incentive Plan is expected to be applicable to grants during the fiscal year in which the amendment is approved, so as to permit such options to be included under such plan, including the grant to Mr. Holtzman.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83"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On October 25, 2002, the Company and Ronald N. Batts, who at the time was the Company’s President of Levi’s</w:t>
      </w:r>
      <w:r>
        <w:rPr>
          <w:rFonts w:ascii="Arial" w:cs="Arial" w:eastAsia="Arial" w:hAnsi="Arial"/>
          <w:sz w:val="22"/>
          <w:szCs w:val="22"/>
          <w:color w:val="auto"/>
          <w:vertAlign w:val="superscript"/>
        </w:rPr>
        <w:t>®</w:t>
      </w:r>
      <w:r>
        <w:rPr>
          <w:rFonts w:ascii="Arial" w:cs="Arial" w:eastAsia="Arial" w:hAnsi="Arial"/>
          <w:sz w:val="18"/>
          <w:szCs w:val="18"/>
          <w:color w:val="auto"/>
        </w:rPr>
        <w:t>, Dockers</w:t>
      </w:r>
      <w:r>
        <w:rPr>
          <w:rFonts w:ascii="Arial" w:cs="Arial" w:eastAsia="Arial" w:hAnsi="Arial"/>
          <w:sz w:val="22"/>
          <w:szCs w:val="22"/>
          <w:color w:val="auto"/>
          <w:vertAlign w:val="superscript"/>
        </w:rPr>
        <w:t>®</w:t>
      </w:r>
      <w:r>
        <w:rPr>
          <w:rFonts w:ascii="Arial" w:cs="Arial" w:eastAsia="Arial" w:hAnsi="Arial"/>
          <w:sz w:val="18"/>
          <w:szCs w:val="18"/>
          <w:color w:val="auto"/>
        </w:rPr>
        <w:t>,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divisions, entered into a Separation Agreement whereby the Company agreed to pay Mr. Batts his monthly salary per his employment agreement, or approximately $10,578 per month, for a period of eight months and an additional $2,083 per month for the eight months as partial payment of his guaranteed bonus that he was entitled to under his employment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Jewelcor Management, Inc.</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its strategic initiatives and for other related consulting services as may be agreed upon between JMI and the Company. Seymour Holtzman, who became the Company’s Chairman of the Board of Directors on April 11, 2000, is a beneficial holder of approximately 12% of the outstanding Common Stock of the Company (principally held by JMI). He is also the President and Chief Executive Officer, and indirectly, with his wife, the primary shareholder of JMI.</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the twelve-month consulting period beginning on April 28, 2001, the Company paid to JMI an annual compensation of $240,000. This compensation was paid to JMI on May 25, 2001 through the issuance of 61,856 non-forfeitable and fully vested shares of Common Stock.</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April 29, 2002, the Board of Directors renewed the consulting agreement with JMI for an additional one-year term commencing April 29, 2002 and ending on April 28, 2003. As payment for services rendered under this agreement, the Company issued to JMI 60,659 non-forfeitable and fully vested shares of Common Stock. The fair value of those shares on April 29, 2002, the date of issuance, was $276,000 or $4.55 per share. The agreement also includes a significant disincentive for non-performance, which would require JMI to pay to the Company a penalty equal to 150% of any unearned consulting services.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April 28, 2003, the Board of Directors approved the extension of the consulting agreement with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such anniversary date that it will not renew such agreement. The Company issued to JMI 70,769 non-forfeitable and fully vested shares of Common Stock as payment for services to be rendered under this agreement through April 28, 2004, and makes certain expense reimbursement payments to JMI in cash. The fair value of the issued shares as of April 28, 2003 was $276,000, or $3.90 per share.</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 and Board of Directors increased the annual compensation to JMI, effective May 1, 2003, by $50,000, to $326,000. The increase of $50,000 for fiscal 2004 was paid to JMI through the issuance of 12,820 non-forfeitable and fully vested shares of Common Stock. In addition, on July 1, 2003, the Compensation Committee and Board of Directors approved a $150,000 bonus to JMI, payable in cash.</w:t>
      </w:r>
    </w:p>
    <w:p>
      <w:pPr>
        <w:spacing w:after="0" w:line="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Mr. Jeffrey Unger, who is currently associated with JMI, was appointed by the Board of Directors on April 30, 2003 as the Company’s Vice President of Investor Relations. After a transition period during which Mr. Unger will wind down his responsibilities with JMI, he will devote his full time to his new position with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Debt Issuances—Jewelcor Management, Inc. and Clark Partners I, L.P</w:t>
      </w:r>
    </w:p>
    <w:p>
      <w:pPr>
        <w:spacing w:after="0" w:line="7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May 2002, the Company issued $24.5 million of 12% senior subordinated notes due 2007 through private placements. Approximately $5.8 million of such notes are held by JMI, and another $11.3 million of such notes are held by Clark Partners I, L.P. Stephen Duff, a director of the Company, is the Treasurer of Ninth Floor Corporation, the general partner of Clark Partners I, L.P., and he is also the Chief Investment Officer of The Clark Estates, Inc. Together with these notes, the Company also issued, through such private placements, detachable warrants to acquire 1,715,000 shares of Common Stock at an exercise price of $0.01 per share and additional warrants to acquire 1,176,471 shares of Common Stock at an exercise price of $8.50 per share. JMI received warrants to purchase 402,500 shares of Common Stock at an exercise price of $0.01 per share and warrants to purchase 147,059 shares of Common Stock at an exercise price of $8.50 per share. Clark Partners I, L.P. received warrants to purchase 787,500 shares of Common Stock at an exercise price of $0.01 per share and warrants to purchase 147,059 shares of Common Stock at an exercise price of $8.50. Both JMI and Clark Partners I, L.P. exercised their $0.01 per share warrants in August 2002.</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2003, the Company issued through private placements $7.0 million principal amount of 12% senior subordinated notes due 2010 to certain existing investors in the Company, including $1.5 million of such notes to JMI, $250,000 of such notes to Marc Holtzman (a son of Seymour Holtzman) and $2.5 million of such notes to each of Clark Partners I, L.P. and Baron Asset Fund, an affiliate of Baron Capital Group, Inc. Together with these notes, issued net of any commission for an aggregate price equal to 96.5% of the principal amount, the Company also issued, through such private placements, detachable warrants to purchase 280,000 shares of Common Stock at an exercise price of $4.76 per share, the average of the closing prices of the Common Stock on the Nasdaq National Market for the period of 30 trading days ending July 1, 2003. JMI received warrants to purchase 60,000 shares of Common Stock, Marc Holtzman received warrants to purchase 10,000 shares of Common Stock, and each of Clark Partners I, L.P. and Baron Asset Fund received warrants to purchase 100,000 shares of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Arrangements</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the Company’s Common Stock.</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For fiscal 2003, the members of the Compensation Committee were Messrs. Pennacchio and Choper. Persons serving on the Compensation Committee had no relationships with the Company in fiscal 2003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Securities and Exchange Commission. The Reporting Persons are required to furnish the Company with copies of all Section 16(a) reports they file. Based solely upon a review of Forms 3 and 4 and amendments thereto furnished to the Company during fiscal 2003 and Forms 5 and amendments thereto furnished to the Company with respect to fiscal 2003, the Company believes that the current Reporting Persons complied with all applicable Section 16(a) reporting requirements and that all required reports were filed in a timely manner.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adopted a Code of Ethics which applies to the Company’s Directors, Chief Executive Officer, Chief Financial Officer as well as the Company’s other senior financial officers. The full text of the Code of Ethics can be found under Corporate Governance on the Investor Relations page of the Company’s corporate web site, which is at www.cmrginc.com.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Decisions concerning the compensation of the Company’s executive officers generally are made by the two-member Compensation Committee of the Board of Directors. Each member of the Compensation Committee is a non-employee director of the Company. This Compensation Committee Report summarizes the Company’s executive officer compensation practices and policies for fiscal year 2003. For fiscal 2003, the Compensation Committee consisted of two members, Joseph Pennacchio and Jesse Choper.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83"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policies with respect to each of these elements, as well as the bases for determining the compensation of the Company’s executives,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Annual Component: Base Salary and Annual Incentive Bonus</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w:t>
      </w:r>
    </w:p>
    <w:p>
      <w:pPr>
        <w:spacing w:after="0" w:line="1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fiscal 2003, as a result of the Casual Male acquisition and its impact on the size of the Company, the Compensation Committee amended both Messrs. Levin’s and Hernreich’s employment agreements by which Mr. Levin’s annual compensation was increased to $500,000 and Mr. Hernreich’s annual compensation was increased to $375,000. The Company entered into an employment agreement with Mr. Gatsik during fiscal 2003, which provided Mr. Gatsik with an annual base salary of $350,000. All employment agreements contain an opportunity for an annual incentive bonus, that is based on the Company’s financial performance. Also during fiscal 2003, as compensation for his services under his employment agreement, Mr. Holtzman was granted options to purchase 600,000 shares of the Company’s Common Stock at exercise prices equal to the closing prices of the Common Stock on the respective grant dates. These options represent the principal portion of Mr. Holtzman’s compensation as an employee of the Company. Mr. Holtzman received $23,539 in cash compensation as an employee in fiscal 2003.</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Effective July 1, 2003, the Compensation Committee increased the annual base salaries of Mr. Levin and Mr. Hernreich to $525,000 and $393,750, respectively. In addition, on July 1, 2003, the Compensation Committee approved a $125,000 bonus for Mr. Levin and a $93,750 bonus for Mr. Hernreich. The first 50% of such bonuses was paid to Mr. Levin and Mr. Hernreich on July 1, 2003. The remaining 50% is contingent upon the Company’s Casual Male business achieving a minimum 2% comparable store sales increase for the fourth quarter of fiscal 2004 as compared to the fourth quarter of fiscal 2003.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Long-Term Component: Stock Options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07" w:lineRule="exact"/>
        <w:rPr>
          <w:sz w:val="20"/>
          <w:szCs w:val="20"/>
          <w:color w:val="auto"/>
        </w:rPr>
      </w:pPr>
    </w:p>
    <w:p>
      <w:pPr>
        <w:ind w:right="700"/>
        <w:spacing w:after="0" w:line="306" w:lineRule="auto"/>
        <w:rPr>
          <w:sz w:val="20"/>
          <w:szCs w:val="20"/>
          <w:color w:val="auto"/>
        </w:rPr>
      </w:pPr>
      <w:r>
        <w:rPr>
          <w:rFonts w:ascii="Arial" w:cs="Arial" w:eastAsia="Arial" w:hAnsi="Arial"/>
          <w:sz w:val="16"/>
          <w:szCs w:val="16"/>
          <w:color w:val="auto"/>
        </w:rPr>
        <w:t>During fiscal 2003, in connection with the Casual Male acquisition, Messrs. Holtzman, Levin and Hernreich received options to purchase shares of the Company’s Common Stock of 200,000 options, 75,000 options and 75,000 options, respectively. In addition, in November 2002, Mr. Holtzman received additional options to purchase up to 400,000 shares of the Company’s Common Stock, as his principal compensation for fiscal 2003.</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July 1, 2003, the Compensation Committee also granted to both Mr. Levin and Mr. Hernreich options to purchase 75,000 shares of the Company’s Common Stock. These options, which have an exercise price of $5.01 per share, are scheduled to vest on the sixth anniversary of the date of grant but will accelerate and become exercisable over a three-year period, with one-third on each of the first, second and third of anniversaries of the date of grant, if the Casual Male business achieves certain performance targets for the fourth quarter of fiscal 2004.</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July 1, 2003, the Compensation Committee granted to Mr. Holtzman options to purchase 200,000 shares of Common Stock. The options have an exercise price of $5.01 per share and vest over two years from the date of grant.</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Securities and Exchange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Joseph Pennacchio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following Performance Graph compares the Company’s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the Company’s Common Stock (CMRG) and each of the indices is calculated assuming that $100 was invested on January 31, 1998.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73025</wp:posOffset>
            </wp:positionV>
            <wp:extent cx="5085715" cy="3078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571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ectPr>
          <w:pgSz w:w="11900" w:h="16838" w:orient="portrait"/>
          <w:cols w:equalWidth="0" w:num="1">
            <w:col w:w="11420"/>
          </w:cols>
          <w:pgMar w:left="240" w:top="274" w:right="2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83185</wp:posOffset>
            </wp:positionV>
            <wp:extent cx="428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3086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Years Ending</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Jan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60325</wp:posOffset>
            </wp:positionV>
            <wp:extent cx="3086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83185</wp:posOffset>
            </wp:positionV>
            <wp:extent cx="308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83185</wp:posOffset>
            </wp:positionV>
            <wp:extent cx="308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6">
            <w:col w:w="6440" w:space="720"/>
            <w:col w:w="380" w:space="540"/>
            <w:col w:w="380" w:space="320"/>
            <w:col w:w="780" w:space="380"/>
            <w:col w:w="380" w:space="560"/>
            <w:col w:w="540"/>
          </w:cols>
          <w:pgMar w:left="240" w:top="274"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2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28.57</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(46.67)</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32.14</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16.12</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(8.48)</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(18.56)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INDEX</w:t>
            </w:r>
          </w:p>
        </w:tc>
        <w:tc>
          <w:tcPr>
            <w:tcW w:w="2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62.73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(72.84)</w:t>
            </w:r>
          </w:p>
        </w:tc>
        <w:tc>
          <w:tcPr>
            <w:tcW w:w="0" w:type="dxa"/>
            <w:vAlign w:val="bottom"/>
          </w:tcPr>
          <w:p>
            <w:pPr>
              <w:spacing w:after="0"/>
              <w:rPr>
                <w:sz w:val="1"/>
                <w:szCs w:val="1"/>
                <w:color w:val="auto"/>
              </w:rPr>
            </w:pPr>
          </w:p>
        </w:tc>
      </w:tr>
      <w:tr>
        <w:trPr>
          <w:trHeight w:val="363"/>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23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Base</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2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7"/>
              </w:rPr>
              <w:t>Jan 98</w:t>
            </w:r>
          </w:p>
        </w:tc>
        <w:tc>
          <w:tcPr>
            <w:tcW w:w="3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 99</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Jan 00</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Jan 01</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Jan 02</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Jan 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128.57</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68.57</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102.86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182.86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132.14</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153.44</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140.43</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114.37</w:t>
            </w:r>
          </w:p>
        </w:tc>
        <w:tc>
          <w:tcPr>
            <w:tcW w:w="4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INDEX</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162.73</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160.05</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165.59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172.43</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40" w:type="dxa"/>
            <w:vAlign w:val="bottom"/>
          </w:tcPr>
          <w:p>
            <w:pPr>
              <w:jc w:val="right"/>
              <w:ind w:right="392"/>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1" w:name="page22"/>
    <w:bookmarkEnd w:id="21"/>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PROPOSAL TO AMEND THE CASUAL MALE RETAIL GROUP, INC.</w:t>
      </w:r>
    </w:p>
    <w:p>
      <w:pPr>
        <w:spacing w:after="0" w:line="21" w:lineRule="exact"/>
        <w:rPr>
          <w:sz w:val="20"/>
          <w:szCs w:val="20"/>
          <w:color w:val="auto"/>
        </w:rPr>
      </w:pPr>
    </w:p>
    <w:p>
      <w:pPr>
        <w:jc w:val="center"/>
        <w:ind w:left="280" w:right="2320"/>
        <w:spacing w:after="0" w:line="252" w:lineRule="auto"/>
        <w:rPr>
          <w:sz w:val="20"/>
          <w:szCs w:val="20"/>
          <w:color w:val="auto"/>
        </w:rPr>
      </w:pPr>
      <w:r>
        <w:rPr>
          <w:rFonts w:ascii="Arial" w:cs="Arial" w:eastAsia="Arial" w:hAnsi="Arial"/>
          <w:sz w:val="18"/>
          <w:szCs w:val="18"/>
          <w:b w:val="1"/>
          <w:bCs w:val="1"/>
          <w:color w:val="auto"/>
        </w:rPr>
        <w:t>1992 STOCK INCENTIVE PLAN TO INCREASE THE NUMBER OF SHARES AVAILABLE FOR ISSUANCE THEREUNDER, TO ALLOW THE COMPANY TO GRANT OPTIONS WITH RESPECT TO UP TO 500,000 SHARES OF COMMON STOCK TO ANY INDIVIDUAL PARTICIPANT DURING ANY FISCAL YEAR, TO AMEND THE DEFINITION OF FAIR MARKET VALUE, AND TO AMEND THE REQUIREMENTS FOR PARTICIPATION IN THE PLAN</w:t>
      </w:r>
    </w:p>
    <w:p>
      <w:pPr>
        <w:spacing w:after="0" w:line="3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Currently, 4,430,000 shares of the Company’s Common Stock are authorized for issuance under the Casual Male Retail Group, Inc. 1992 Stock Incentive Plan (the “1992 Plan”). The Compensation Committee of the Board of Directors and the full Board have approved an amendment to the 1992 Plan which, if approved by the Company’s stockholders, would increase the number of shares of Common Stock authorized for issuance thereunder by 2,500,000 shares, to 6,930,000 shares.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under the current terms of the 1992 Plan, no individual participant may be granted options covering more than 270,000 shares of the Company’s Common Stock in any fiscal year, regardless of the exercise price of such options. The Compensation Committee and the full Board have approved an amendment to the 1992 Plan which, if approved by the Company’s stockholders, would apply a maximum of 500,000 shares (which the Company would expect to apply to all grants during the fiscal year in which the amendment is approved, whether granted before or after such approval) to option grants under the 1992 Plan to any individual participant in any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amended, the last sentence of Section 3(a) of the 1992 Plan would read in its entirety as follows:</w:t>
      </w:r>
    </w:p>
    <w:p>
      <w:pPr>
        <w:spacing w:after="0" w:line="77"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“No individual participant in the Plan may, during any fiscal year of the Company (including all options granted during fiscal 2004), be granted one or more Stock Options the sum of which cover more than 500,000 shares of Stock (such amount being subject to adjustment in accordance with Section 3(b) hereof).”</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Compensation Committee and the full Board have also approved an amendment to the 1992 Plan which, if approved by the Company’s stockholders, would give authority to the Compensation Committee to determine the “Fair Market Value” of the Company’s Common Stock for purposes of reference under the 1992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amended, the definition of “Fair Market Value” in the 1992 Plan would read in its entirety as follows:</w:t>
      </w:r>
    </w:p>
    <w:p>
      <w:pPr>
        <w:spacing w:after="0" w:line="7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“‘Fair Market Value’ means the fair market value of Stock as determined by the Committee or under procedures established by the Committee. Unless otherwise determined by the Committee, Fair Market Value, on any given date, shall be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1992 Plan presently restricts participation to officers and other employees and, to a limited extent, non-employee directors. The Compensation Committee and the full Board believe it is appropriate in light of, among other things, the range of the individuals who may make substantial contributions to the Company and its performance to provide for participation by any director and by any other person who provides substantial services to the Company or its subsidiaries and who is designated eligible by the Committee, as well as any persons who have been offered employment under certain circumstances. As amended, Section 4 of the 1992 Plan would read in its entirety as follows:</w:t>
      </w:r>
    </w:p>
    <w:p>
      <w:pPr>
        <w:spacing w:after="0" w:line="12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Eligibility.</w:t>
      </w:r>
    </w:p>
    <w:p>
      <w:pPr>
        <w:spacing w:after="0" w:line="7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Participants in the Plan will be such full or part-time officers and other employees of the Company or any of its Subsidiaries, such Non-Employee Directors and such other persons who are responsible for or contribute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 w:name="page23"/>
    <w:bookmarkEnd w:id="22"/>
    <w:p>
      <w:pPr>
        <w:ind w:left="46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management, growth or profitability of, or who provide substantial services to, the Company and/or its Subsidiaries and who are selected from time to time by the Committee, in its sole discretion, and any person who has been offered employment by the Company or a Subsidiary, provided that such prospective employee may not receive any payment or exercise any right to an Award until such person has commenced employment with the Company or a Subsidiary.</w:t>
      </w:r>
    </w:p>
    <w:p>
      <w:pPr>
        <w:spacing w:after="0" w:line="13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An employee who is employed primarily to render services within the jurisdiction of a labor union and whose compensation, hours of work, or condition of employment are determined by collective bargaining with such union shall not be an Eligible Employee for purposes of the Plan unless the applicable collective bargaining agreement expressly provides that such employee shall be eligible to participate in the Plan, in which event, however, such employee shall be entitled to participate in the Plan only to the extent and on the terms and conditions specified in such collective bargaining agreement.”</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1992 Plan is administered by the non-employee director members of the Compensation Committee or any other committee of not less than two non-employee directors performing similar functions, as appointed by the Company’s Board of Directors from time to time (the “Committee”), and permits the granting to officers and key employees, at the discretion of such Committee, of a variety of stock incentive awards based on the Common Stock of the Company. Awards under the 1992 Plan include stock options (both incentive options and non-qualified options), grants of conditioned stock, grants of stock contingent upon the attainment of performance goals, and unrestricted grants of stock. Non-employee directors are also eligible to participate in the 1992 Plan on a limited basis.</w:t>
      </w:r>
    </w:p>
    <w:p>
      <w:pPr>
        <w:spacing w:after="0" w:line="10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the 1992 Plan was last amended, the Company has completed the Casual Male acquisition, which increased the Company’s operations by more than 450%, from 100 retail stores to 555 retail stores, and has increased the number of shares of Common Stock outstanding by more than 120%. In addition, among other things, since the 1992 Plan was originally adopted, the Company’s Common Stock has been subject to two successive three-for-two stock splits, and the maximum number of shares subject to option grants in any fiscal year under the 1992 Plan has been increased only once, in August 2001. Moreover, the per share price of the Company’s Common Stock, as adjusted for such splits, was substantially higher at the time the 1992 Plan was adopted. As of July 1, 2003, there are only 1,328,000 shares remaining available for grant. Under the circumstances, and with a view to recruiting, retaining and incentivizing valuable personnel, the Board believes it is appropriate to increase the number of shares authorized for issuance under the 1992 Plan to 6,930,000 and increase the maximum number of shares granted to any individual during any fiscal year to 500,000 shares. The 1992 Plan will continue to require that the option exercise price be not less than 100% of Fair Market Value on the date of grant.</w:t>
      </w:r>
    </w:p>
    <w:p>
      <w:pPr>
        <w:spacing w:after="0" w:line="10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to being required by the terms of the 1992 Plan, stockholder approval of the amendment will permit compensation resulting from options granted thereunder to constitute qualified “performance-based compensation” under Section 162(m) of the Internal Revenue Code.</w:t>
      </w:r>
    </w:p>
    <w:p>
      <w:pPr>
        <w:spacing w:after="0" w:line="7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Approval of the amendments to the 1992 Plan requires the affirmative vote of a majority of the shares of Common Stock present in person or represented by proxy at the Annual Meeting and entitled to vote thereon.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unanimously recommends that you vote FOR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 to the 1992 Plan.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the 1992 Plan</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following description of certain features of the 1992 Plan is intended to be a summary only. The summary is qualified in its entirety by the full text of the 1992 Plan. The Company will furnish without charge a copy of the 1992 Plan to any stockholder of the Company upon receipt from any such person of an oral, written or e-mail request for the Plan. Such request should be sent to the Company at Casual Male Retail Group, Inc., 555 Turnpike Street, Canton, Massachusetts 02021, or made by telephone to the Secretary of the Company, Dennis R. Hernreich, at (781) 828-9300 or by e-mail at dhernreich@cmal.com.</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Plan Administration; Eligibility</w:t>
      </w:r>
      <w:r>
        <w:rPr>
          <w:rFonts w:ascii="Arial" w:cs="Arial" w:eastAsia="Arial" w:hAnsi="Arial"/>
          <w:sz w:val="18"/>
          <w:szCs w:val="18"/>
          <w:color w:val="auto"/>
        </w:rPr>
        <w:t>. The 1992 Plan is administered by the Committee. All members of the Committee must be “disinterested persons” as that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defined under the rules promulgated by the Commission.</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has full power to select, from among the employees eligible for awards, the individuals to whom awards will be granted, to make any combination of awards to participants, and to determine the specific terms of each award, subject to the provisions of the 1992 Plan. Persons eligible to participate in the 1992 Plan will be those employees of the Company and its subsidiaries who are responsible for or contribute to the management, growth or profitability of the Company and its subsidiaries, as selected from time to time by the Committee. Non-employee directors are also eligible to participate in the 1992 Plan on a limited basis.</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Shares Issuable Under the 1992 Plan</w:t>
      </w:r>
      <w:r>
        <w:rPr>
          <w:rFonts w:ascii="Arial" w:cs="Arial" w:eastAsia="Arial" w:hAnsi="Arial"/>
          <w:sz w:val="18"/>
          <w:szCs w:val="18"/>
          <w:color w:val="auto"/>
        </w:rPr>
        <w:t>. Currently, the maximum number of shares of Common Stock authorized for issuance under the 1992 Plan is 4,430,000,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an aggregate of 3,102,000 shares have been issued or reserved for issuance pursuant to options granted through July 1, 2003 and only 1,328,000 shares remain reserved for options that may be granted after July 1, 2003. The 1992 Plan currently provides that no individual participant may, during any fiscal year of the Company, be granted options covering more than 270,000 shares of Common Stock. As proposed to be amended, the 1992 Plan would increase the maximum number of shares of Common Stock authorized for issuance to 6,930,000 shares and would increase the limitation for any individual grant during any fiscal year to 500,000 shares of Common Stock.</w:t>
      </w:r>
    </w:p>
    <w:p>
      <w:pPr>
        <w:spacing w:after="0" w:line="1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Stock Options for Employees</w:t>
      </w:r>
      <w:r>
        <w:rPr>
          <w:rFonts w:ascii="Arial" w:cs="Arial" w:eastAsia="Arial" w:hAnsi="Arial"/>
          <w:sz w:val="18"/>
          <w:szCs w:val="18"/>
          <w:color w:val="auto"/>
        </w:rPr>
        <w:t>. The 1992 Plan permits the granting of (i) options to purchase Common Stock intended to qualify as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Options”) under Section 422 of the Internal Revenue Code, and (ii) options that do not so qualify (“Non-Qualified Options”). The option exercise price of each option shall be determined by the Committee but shall not be less than 100% of the Fair Market Value of a share of Common Stock on the date of grant as determined by the Committee.</w:t>
      </w:r>
    </w:p>
    <w:p>
      <w:pPr>
        <w:spacing w:after="0" w:line="13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term of each option shall be fixed by the Committee and may not exceed 10 years from date of grant in the case of an Incentive Option. The Committee shall determine at what time or times each option may be exercised and, subject to the provisions of the 1992 Plan, the period of time, if any, after death, disability or termination of employment during which options may be exercised. Options may be made exercisable in installments, and the exercisability of options may be accelerated by the Committee. In general, no stock option may be exercisable until at least six months after the date of grant.</w:t>
      </w:r>
    </w:p>
    <w:p>
      <w:pPr>
        <w:spacing w:after="0" w:line="9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the discretion of the Committee, options granted under the 1992 Plan may include a so-called “reload” feature pursuant to which an optionee exercising an option by delivery of shares of Common Stock may be automatically granted an additional option to purchase that number of shares equal to the number delivered to exercise the original option.</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To qualify as Incentive Options, options must meet additional federal tax requirements, including limits on the value of shares subject to Incentive Options which first become exercisable in any one year, and a shorter term and higher minimum exercise price in the case of certain large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 for Non-Employee Directors</w:t>
      </w:r>
      <w:r>
        <w:rPr>
          <w:rFonts w:ascii="Arial" w:cs="Arial" w:eastAsia="Arial" w:hAnsi="Arial"/>
          <w:sz w:val="16"/>
          <w:szCs w:val="16"/>
          <w:color w:val="auto"/>
        </w:rPr>
        <w:t>. Under the 1992 Plan, all directors of the Company who are not employees of the Company and who are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elected to the Board of Directors on or after the approval of the 1992 Plan by the stockholders will automatically be granted at such election a Non-Qualified Option to purchase 15,000 shares of Common Stock. Upon re-election of any non-employee director on or after the date of approval of the 1992 Plan by the stockholders, such non-employee director will automatically be granted a Non-Qualified Option to purchase an additional 15,000 shares of Common Stock. The exercise price per share of each option will be equal to the Fair Market Value of the shares of Common Stock on the date the option is granted. In general, options granted to non-employee directors become exercisable in three equal annual installments commencing with the date of grant.</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Conditioned Stock</w:t>
      </w:r>
      <w:r>
        <w:rPr>
          <w:rFonts w:ascii="Arial" w:cs="Arial" w:eastAsia="Arial" w:hAnsi="Arial"/>
          <w:sz w:val="18"/>
          <w:szCs w:val="18"/>
          <w:color w:val="auto"/>
        </w:rPr>
        <w:t>. The Committee may also award shares of Common Stock to officers and key employees, subject to such conditions and restrictions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determine (“Conditioned Stock”). These conditions and restrictions may include the achievement of certain performance objectives and/or continued employment with the Company through a specified restricted period. The purchase price, if any, of shares of Conditioned Stock shall be determined by the Committee.</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 participant who holds shares of Conditioned Stock terminates employment for any reason (including death) prior to the achievement of certain performance objectives and/or prior to the end of the restricted period applicable to such Conditioned Stock, the Company shall have the right to repurchase the shares or to require their forfeiture in exchange for the amount, if any, which the participant paid for them. Prior to the fulfillment of the applicable conditions, the participant will have all rights of a stockholder with respect to the shares of Conditioned Stock, including voting and dividend rights, subject only to the conditions and restrictions set forth in the 1992 Plan or in his Conditioned Stock award.</w:t>
      </w:r>
    </w:p>
    <w:p>
      <w:pPr>
        <w:spacing w:after="0" w:line="1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Unrestricted Stock</w:t>
      </w:r>
      <w:r>
        <w:rPr>
          <w:rFonts w:ascii="Arial" w:cs="Arial" w:eastAsia="Arial" w:hAnsi="Arial"/>
          <w:sz w:val="16"/>
          <w:szCs w:val="16"/>
          <w:color w:val="auto"/>
        </w:rPr>
        <w:t>. The Committee may also grant shares (at no cost or for a purchase price determined by the Committee) which are free from any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1992 Plan (“Unrestricted Stock”). Unrestricted Stock may be issued to employees in recognition of past services or other valid consideration, and may be issued in lieu of cash bonuses to be paid to employees pursuant to other bonus plans of the Company. Non-employee directors of the Company may elect to receive all or a portion of their directors’ fees, on a current or deferred basis, in shares of Unrestricted Stock by entering into an irrevocable agreement with the Company at least six months in advance of the beginning of a calendar year. Employees, with the permission of the Committee, may make similar irrevocable elections to receive a portion of their compensation in Unrestricted Stock.</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The Committee may also grant performance share awards to employees, each such award entitling the recipient to receive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upon the achievement of individual or Company performance goals and such other conditions as the Committee shall determine (“Performance Share Awards”). Except as otherwise determined by the Committee, rights under a Performance Share Award not yet earned will terminate upon a participant’s termination of employment.</w:t>
      </w:r>
    </w:p>
    <w:p>
      <w:pPr>
        <w:spacing w:after="0" w:line="13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Deferrals; Nature of Company’s Obligations Under the 1992 Plan</w:t>
      </w:r>
      <w:r>
        <w:rPr>
          <w:rFonts w:ascii="Arial" w:cs="Arial" w:eastAsia="Arial" w:hAnsi="Arial"/>
          <w:sz w:val="16"/>
          <w:szCs w:val="16"/>
          <w:color w:val="auto"/>
        </w:rPr>
        <w:t>. The Committee may require or may permit participants to make elections to defer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under the 1992 Plan. The Committee may also provide for the accrual of interest or dividends on benefits deferred under the 1992 Plan on such terms as the Committee may determine. Unless the Committee expressly determines otherwise, participants in the 1992 Plan will have no rights greater than those of a general creditor of the Company. The Committee may authorize the creation of trusts and other arrangements to meet the Company’s obligations under the 1992 Plan, provided that such trusts and arrangements are consistent with the foregoing sentence.</w:t>
      </w:r>
    </w:p>
    <w:p>
      <w:pPr>
        <w:spacing w:after="0" w:line="10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Adjustments for Stock Dividends, Mergers, Etc</w:t>
      </w:r>
      <w:r>
        <w:rPr>
          <w:rFonts w:ascii="Arial" w:cs="Arial" w:eastAsia="Arial" w:hAnsi="Arial"/>
          <w:sz w:val="16"/>
          <w:szCs w:val="16"/>
          <w:color w:val="auto"/>
        </w:rPr>
        <w:t>. The Committee shall make appropriate adjustments in connection with outstanding awards to reflect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stock splits and similar events. In the event of a merger, liquidation or similar event, the Committee in its discretion may provide for substitution or adjustments or may (subject to the provisions described below under “Change of Control Provisions”) accelerate or, upon payment or other consideration for the vested portion of any award as the Committee deems equitable in the circumstances, terminate such awards.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Amendments and Termination</w:t>
      </w:r>
      <w:r>
        <w:rPr>
          <w:rFonts w:ascii="Arial" w:cs="Arial" w:eastAsia="Arial" w:hAnsi="Arial"/>
          <w:sz w:val="16"/>
          <w:szCs w:val="16"/>
          <w:color w:val="auto"/>
        </w:rPr>
        <w:t>. The Board of Directors may at any time amend or discontinue the 1992 Plan and the Committee may at any time amend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 outstanding awards (or provide substitute awards at the same or a reduced exercise or purchase price) for the purpose of satisfying changes in the law or for any other lawful purpose. However, no such action shall be taken which adversely affects any rights under outstanding awards without the holder’s consent. Moreover, no such amendment, unless approved by the stockholders of the Company, shall be effective if (i) such amendment would cause the 1992 Plan to fail to satisfy any then applicable incentive stock option rules under federal tax law or (ii) such approval is otherwise required by law or regulation or under the Nasdaq rules. Currently, the incentive stock option regulations would require stockholder approval for an increase in the maximum number of shares issuable pursuant to Incentive Options under the 1992 Plan or a modification in eligibility requirements under the 1992 Plan.</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The 1992 Plan provides that in the event of a “Change of Control” (as defined in the 1992 Plan) of the Company, all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shall automatically become fully exercisable, subject to the limitations on exercisability applicable to Incentive Options. Restrictions and conditions on awards of Conditioned Stock shall automatically be deemed waived. In addition, at any time prior to or after a Change of Control, the Committee may accelerate awards and waive conditions and restrictions on any awards to the extent it may determine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Under the U.S. Internal Revenue Code</w:t>
      </w:r>
    </w:p>
    <w:p>
      <w:pPr>
        <w:spacing w:after="0" w:line="83"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The following is a summary of the principal federal income tax consequences of transactions under the 1992 Plan. It does not describe all federal tax consequences under the 1992 Plan, nor does it describe state or local tax consequences.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Incentive Options</w:t>
      </w:r>
      <w:r>
        <w:rPr>
          <w:rFonts w:ascii="Arial" w:cs="Arial" w:eastAsia="Arial" w:hAnsi="Arial"/>
          <w:sz w:val="16"/>
          <w:szCs w:val="16"/>
          <w:color w:val="auto"/>
        </w:rPr>
        <w:t>. No taxable income is realized by an optionee upon the grant or exercise of an Incentive Option. If shares issued to an optionee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of an Incentive Option are not sold or transferred within two years from the date of grant or within one year after the date of exercise, then (a) upon sale of such shares, any amount realized in excess of the option price (the amount paid for the shares) will be taxed to the optionee as a long-term capital gain and any loss sustained will be a long-term capital loss, and (b) there will be no deduction for the Company for Federal income tax purposes. The exercise of an Incentive Option will give rise to an item of tax preference that may result in alternative minimum tax liability for the optionee.</w:t>
      </w:r>
    </w:p>
    <w:p>
      <w:pPr>
        <w:spacing w:after="0" w:line="10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If shares of Common Stock acquired upon the exercise of an Incentive Option are disposed of prior to the expiration of the two-year and one-year holding periods described above, generally (a) the optionee will realize ordinary income in the year of disposition in an amount equal to the excess (if any) of the fair market value of the shares at exercise (or, if less, the amount realized on a sale of such shares) over the option price thereof, and (b) the Company will be entitled to deduct such amount. Special rules will apply where all or a portion of the exercise price of the Incentive Option is paid by tendering shares of Common Stock.</w:t>
      </w:r>
    </w:p>
    <w:p>
      <w:pPr>
        <w:spacing w:after="0" w:line="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w:t>
      </w:r>
    </w:p>
    <w:p>
      <w:pPr>
        <w:spacing w:after="0" w:line="12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Non-Qualified Options</w:t>
      </w:r>
      <w:r>
        <w:rPr>
          <w:rFonts w:ascii="Arial" w:cs="Arial" w:eastAsia="Arial" w:hAnsi="Arial"/>
          <w:sz w:val="16"/>
          <w:szCs w:val="16"/>
          <w:color w:val="auto"/>
        </w:rPr>
        <w:t>. With respect to Non-Qualified Options under the 1992 Plan, no income is realized by the optionee at the time the option is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 at exercise, ordinary income is realized by the optionee in an amount equal to the difference between the option price and the fair market value of the shares on the date of exercise, and the Company receives a tax deduction for the same amount, and (b) at disposition, appreciation or depreciation after the date of exercise is treated as either short-term or long-term capital gain or loss depending on how long the shares have been held.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right="2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Conditioned Stock</w:t>
      </w:r>
      <w:r>
        <w:rPr>
          <w:rFonts w:ascii="Arial" w:cs="Arial" w:eastAsia="Arial" w:hAnsi="Arial"/>
          <w:sz w:val="16"/>
          <w:szCs w:val="16"/>
          <w:color w:val="auto"/>
        </w:rPr>
        <w:t>. A recipient of Conditioned Stock generally will be subject to tax at ordinary income rates on the fair market value of the stock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stock is no longer subject to forfeiture, minus any amount paid for such stock. However, a recipient who so elects under Section 83(b) of the Code, within 30 days of the date of issuance of the Conditioned Stock, will realize ordinary income on the date of issuance equal to the fair market value of the shares of Conditioned Stock at that time (measured as if the shares were unrestricted and could be sold immediately), minus any amount paid for such stock. If the shares subject to such election are forfeited, the recipient will not he entitled to any deduction, refund or loss for tax purposes with respect to the forfeited shares. The Company generally will receive a tax deduction equal to the amount includable as ordinary income to the recipient.</w:t>
      </w:r>
    </w:p>
    <w:p>
      <w:pPr>
        <w:spacing w:after="0" w:line="10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Unrestricted Stock</w:t>
      </w:r>
      <w:r>
        <w:rPr>
          <w:rFonts w:ascii="Arial" w:cs="Arial" w:eastAsia="Arial" w:hAnsi="Arial"/>
          <w:sz w:val="18"/>
          <w:szCs w:val="18"/>
          <w:color w:val="auto"/>
        </w:rPr>
        <w:t>. The recipient of Unrestricted Stock will generally be subject to tax at ordinary income rates on the fair market value of such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the date that such Unrestricted Stock is issued to the participant. The Company generally will be entitled to a deduction equal to the amount treated as compensation that is taxable as ordinary income to the recipient.</w:t>
      </w:r>
    </w:p>
    <w:p>
      <w:pPr>
        <w:spacing w:after="0" w:line="12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Performance Shares</w:t>
      </w:r>
      <w:r>
        <w:rPr>
          <w:rFonts w:ascii="Arial" w:cs="Arial" w:eastAsia="Arial" w:hAnsi="Arial"/>
          <w:sz w:val="18"/>
          <w:szCs w:val="18"/>
          <w:color w:val="auto"/>
        </w:rPr>
        <w:t>. The recipient of a Performance Share Award will generally be subject to tax at ordinary income rates on the fair market value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issued under the award, and the Company will generally be entitled to a deduction equal to the amount of ordinary income realized by the recipient.</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Dividends paid on Common Stock (including Conditioned Stock) will be taxed at ordinary income rates to the recipients. Generally,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entitled to any deduction for dividends, except in the case of dividends paid on Conditioned Stock with respect to which no Section 83(b) election has been filed.</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Payment In Respect of a Change of Control</w:t>
      </w:r>
      <w:r>
        <w:rPr>
          <w:rFonts w:ascii="Arial" w:cs="Arial" w:eastAsia="Arial" w:hAnsi="Arial"/>
          <w:sz w:val="18"/>
          <w:szCs w:val="18"/>
          <w:color w:val="auto"/>
        </w:rPr>
        <w:t>. The 1992 Plan provides for acceleration or payment of awards and related shares in the event of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1992 Plan. Such acceleration or payment may cause the consideration involved to be treated in whole or in part as “parachute payments” under the Code. Any such “parachute payments” may be non-deductible to the Company in whole or in part, and the recipient may be subject to a 20% excise tax on all or part of such payments.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ratification by the stockholders of the Company, the Board of Directors has appointed Ernst &amp; Young LLP as independent auditors for the Company for the fiscal year ending January 31, 2004. Ernst &amp; Young LLP has served as the Company’s auditors since October 2000. If stockholders fail to ratify the appointment of such auditors, the Board of Directors will reconsider the selection.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Ernst &amp; Young LLP billed the Company an aggregate of $794,000 and $158,350 in fees for fiscal years 2003 and 2002, respectively, for professional services rendered in connection with the audits of the Company’s financial statements for the fiscal years ended February 1, 2003 and February 2, 2002 included in the Company’s Annual Reports on Form 10-K, the reviews of the financial statements included in each of the Company’s Quarterly Reports on Form 10-Q and filing of SEC registration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Ernst &amp; Young LLP billed the Company an aggregate of $428,000 and $35,000 in fees in fiscal years 2003 and 2002, respectively, for assurance and related services, including services related to acquisition due diligence and benefit plan audits.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Ernst &amp; Young LLP billed the Company an aggregate of $482,000 and $147,060 in fees in fiscal years 2003 and 2002, respectively,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 The increase in tax service fees paid to Ernst &amp; Young LLP in fiscal 2003 reflects the Company’s decision in fiscal 2003 to use Ernst &amp; Young LLP for the majority of the Company’s tax needs.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Ernst &amp; Young LLP billed the Company an aggregate of $64,000 and $3,900 in fees in fiscal years 2003 and 2002, respectively, for other services rendered to the Company and its affiliates. Ernst &amp; Young LLP did not provide any internal audit services to the Company during fiscal years 2003 and 2002.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the Company’s independent auditor. Pursuant to this policy, the Audit Committee will consider annually and, if appropriate, approve the provision of audit services (including audit review and attest services) by its independent auditor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ind w:right="3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regular meeting or to the Chairman of the Audit Committee in time sensitive cases. The Audit Committee will regularly review summary reports detailing all services (and related fees and expenses) being provided to the Company by the independent auditor.</w:t>
      </w:r>
    </w:p>
    <w:p>
      <w:pPr>
        <w:spacing w:after="0"/>
        <w:rPr>
          <w:sz w:val="20"/>
          <w:szCs w:val="20"/>
          <w:color w:val="auto"/>
        </w:rPr>
      </w:pPr>
      <w:r>
        <w:rPr>
          <w:rFonts w:ascii="Arial" w:cs="Arial" w:eastAsia="Arial" w:hAnsi="Arial"/>
          <w:sz w:val="18"/>
          <w:szCs w:val="18"/>
          <w:color w:val="auto"/>
        </w:rPr>
        <w:t>All of the services provided under Audit-Related Fees, Tax Fees and All Other Fees were approved by the Audit Committee.</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112" w:lineRule="exact"/>
        <w:rPr>
          <w:sz w:val="20"/>
          <w:szCs w:val="20"/>
          <w:color w:val="auto"/>
        </w:rPr>
      </w:pPr>
    </w:p>
    <w:p>
      <w:pPr>
        <w:jc w:val="center"/>
        <w:ind w:left="300" w:right="120"/>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independent auditors of the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Audit Committee reviewed with Ernst &amp; Young LLP, the Company’s independent auditors, who are responsible for expressing an opinion on the conformity of the Company’s audited financial statements for the fiscal year ended February 1, 2003 with generally accepted accounting principles, their judgments as to the quality, not just the acceptability, of the Company’s accounting principles and the matters required to be discussed by Statement on Auditing Standards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3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 xml:space="preserve">The Audit Committee received the written disclosures and letter from Ernst &amp; Young LLP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discussed with Ernst &amp; Young LLP its independence from management and the Company.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considered whether non-audit services provided during fiscal 2003 was compatible with maintaining auditor independence.</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Audit Committee discussed with the Company’s independent auditors the overall scope and plans for their audit. The Audit Committee meets with the independent auditors, with and without management present, to discuss the results of their examinations, their evaluations of the Company’s internal controls, and the overall quality of the Company’s financial reporting. The Audit Committee held six meetings during the fiscal year ended February 1, 2003.</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financial statements be included in the Annual Report on Form 10-K for the fiscal year ended February 1, 2003 for filing with the Commission. The Audit Committee and the Board have also recommended, subject to ratification by the Company’s stockholders, the appointment of Ernst &amp; Young LLP as the Company’s independent auditors.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Stephen M. Duff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Joseph Pennacchio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Jeremiah P. Murphy, Jr. (resigned effective June 18, 2003)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files annual, quarterly and special reports, proxy statements and other information with the Securities and Exchange Commission under the Securities Exchange Act of 1934, as amended. You may read and copy these reports and other information filed by the Company at the Public Reference Section of the SEC, 450 Fifth Street, N.W., Room 1024, Washington, D.C. 20549, at prescribed rates. You may obtain information on the operation of the Public Reference Room by calling the SEC at 1-800-SEC-0330.</w:t>
      </w:r>
    </w:p>
    <w:p>
      <w:pPr>
        <w:spacing w:after="0" w:line="13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SEC also maintains an Internet world wide web site that contains reports, proxy statements and other information about issuers, like the Company, who file electronically with the SEC through the Electronic Data Gathering, Analysis and Retrieval (EDGAR) system. The address of this site is http://www.sec.gov.</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Access to this information as well as other information on the Company is also available on the Company’s website at http://www.cmrginc.com and clicking on “Investor Relations.”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555 Turnpike Street, Canton Massachusetts 02021. The Company will send you a copy of the Proxy Statement promptly after it receives your written or oral request.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Under the rules of the Securities and Exchange Commission, in order for any shareholder proposal to be included in the Company’s proxy statement and proxy card for presentation at the 2004 Annual Meeting of Stockholders, the proposal must be received by the Secretary of the Company at the Company’s principal executive offices by March 3, 2004 (120 days before the anniversary of the date this Proxy Statement is being mailed to the Company’s stockholders).</w:t>
      </w:r>
    </w:p>
    <w:p>
      <w:pPr>
        <w:spacing w:after="0" w:line="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75 days nor more than 120 days prior to the anniversary date of the immediately preceding Annual Meeting (the “Anniversary Date”). To bring an item of business before the 2004 Annual Meeting, a stockholder must deliver the requisite notice of such item to the Secretary of the Company not before April 9, 2004 or after May 24, 2004. In the event the Annual Meeting is scheduled to be held on a date more than thirty days before the Anniversary Date or more than 60 days after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Anniversary Date, however, a stockholder’s notice will be timely if delivered to, or mailed to and received by, the Company not later than the close of business on the later of (a) the 75th day prior to the scheduled date of such Annual Meeting or (b) the 15th day following the day on which public announcement of the date of such Annual Meeting is first made by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At the last Annual Meeting of Stockholders, which was held on August 8, 2002, the stockholders of the Company voted to approve the change of the Company’s state of incorporation from Delaware to Nevada through a reincorporation merger. The principal reason for reincorporation to Nevada was that the franchise tax and related fees that the Company pays as a Delaware corporation are significantly higher than the comparable fees for a Nevada corporation. The merger agreement presented to the stockholders provided that the reincorporation to Nevada could be deferred or abandoned by the Company’s Board of Directors if, among other things, the Company was unable to obtain material third-party consents. As of June 13, 2003, the Company had not received all material third-party consents and therefore had not finalized its reincorporation in Nevada. The Company expects to proceed with the intention to reincorporate in Nevada, once all material third-party consents are obtained. If the Company is unable to obtain these consents in a reasonable time frame, the Company’s Board of Directors has the right to abandon the proposed reincorporation merger.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 of the Audit Committee (the “Committee”) is to:</w:t>
      </w:r>
    </w:p>
    <w:p>
      <w:pPr>
        <w:spacing w:after="0" w:line="77" w:lineRule="exact"/>
        <w:rPr>
          <w:sz w:val="20"/>
          <w:szCs w:val="20"/>
          <w:color w:val="auto"/>
        </w:rPr>
      </w:pPr>
    </w:p>
    <w:p>
      <w:pPr>
        <w:ind w:left="780" w:hanging="326"/>
        <w:spacing w:after="0"/>
        <w:tabs>
          <w:tab w:leader="none" w:pos="7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assist the Board of Directors in fulfilling its oversight responsibilities to the shareholders, potential shareholders and the investment community;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supervise and monitor the soundness of the Casual Male Retail Group, Inc. (the “Company”) audit and its relationship with its independent auditors;</w:t>
      </w:r>
    </w:p>
    <w:p>
      <w:pPr>
        <w:spacing w:after="0" w:line="126" w:lineRule="exact"/>
        <w:rPr>
          <w:rFonts w:ascii="Arial" w:cs="Arial" w:eastAsia="Arial" w:hAnsi="Arial"/>
          <w:sz w:val="16"/>
          <w:szCs w:val="16"/>
          <w:color w:val="auto"/>
        </w:rPr>
      </w:pPr>
    </w:p>
    <w:p>
      <w:pPr>
        <w:ind w:left="780" w:hanging="326"/>
        <w:spacing w:after="0" w:line="268" w:lineRule="auto"/>
        <w:tabs>
          <w:tab w:leader="none" w:pos="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promote and further the integrity of the Company’s financial statements and the independence and performance of the Company’s external independent auditor;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provide the Board of Directors (the “Board”), the independent auditors and the internal auditors direct, unfiltered access to each other on a regular basis.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Composition</w:t>
      </w:r>
    </w:p>
    <w:p>
      <w:pPr>
        <w:spacing w:after="0" w:line="82" w:lineRule="exact"/>
        <w:rPr>
          <w:rFonts w:ascii="Arial" w:cs="Arial" w:eastAsia="Arial" w:hAnsi="Arial"/>
          <w:sz w:val="18"/>
          <w:szCs w:val="18"/>
          <w:color w:val="auto"/>
        </w:rPr>
      </w:pPr>
    </w:p>
    <w:p>
      <w:pPr>
        <w:ind w:left="720" w:hanging="361"/>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Number</w:t>
      </w:r>
      <w:r>
        <w:rPr>
          <w:rFonts w:ascii="Arial" w:cs="Arial" w:eastAsia="Arial" w:hAnsi="Arial"/>
          <w:sz w:val="18"/>
          <w:szCs w:val="18"/>
          <w:color w:val="auto"/>
        </w:rPr>
        <w:t>.   The Committee shall consist of at least three members of the Board.</w:t>
      </w:r>
    </w:p>
    <w:p>
      <w:pPr>
        <w:spacing w:after="0" w:line="157" w:lineRule="exact"/>
        <w:rPr>
          <w:rFonts w:ascii="Arial" w:cs="Arial" w:eastAsia="Arial" w:hAnsi="Arial"/>
          <w:sz w:val="18"/>
          <w:szCs w:val="18"/>
          <w:color w:val="auto"/>
        </w:rPr>
      </w:pPr>
    </w:p>
    <w:p>
      <w:pPr>
        <w:ind w:right="160" w:firstLine="359"/>
        <w:spacing w:after="0" w:line="332" w:lineRule="auto"/>
        <w:tabs>
          <w:tab w:leader="none" w:pos="702"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Independence</w:t>
      </w:r>
      <w:r>
        <w:rPr>
          <w:rFonts w:ascii="Arial" w:cs="Arial" w:eastAsia="Arial" w:hAnsi="Arial"/>
          <w:sz w:val="16"/>
          <w:szCs w:val="16"/>
          <w:color w:val="auto"/>
        </w:rPr>
        <w:t>. Except as otherwise permitted by the Sarbanes-Oxley Act of 2002 (the “Act”) and the rules of Securities and Exchange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 and The Nasdaq Stock Market (“Nasdaq”), each member of the Committee shall be “independent” as defined by such Act and rules.</w:t>
      </w:r>
    </w:p>
    <w:p>
      <w:pPr>
        <w:spacing w:after="0" w:line="71" w:lineRule="exact"/>
        <w:rPr>
          <w:rFonts w:ascii="Arial" w:cs="Arial" w:eastAsia="Arial" w:hAnsi="Arial"/>
          <w:sz w:val="16"/>
          <w:szCs w:val="16"/>
          <w:color w:val="auto"/>
        </w:rPr>
      </w:pPr>
    </w:p>
    <w:p>
      <w:pPr>
        <w:ind w:right="20" w:firstLine="359"/>
        <w:spacing w:after="0" w:line="255" w:lineRule="auto"/>
        <w:tabs>
          <w:tab w:leader="none" w:pos="70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Financial Literacy</w:t>
      </w:r>
      <w:r>
        <w:rPr>
          <w:rFonts w:ascii="Arial" w:cs="Arial" w:eastAsia="Arial" w:hAnsi="Arial"/>
          <w:sz w:val="18"/>
          <w:szCs w:val="18"/>
          <w:color w:val="auto"/>
        </w:rPr>
        <w:t>. Each member of the Committee shall be able to read and understand fundamental financial statements, including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income statement and cash flow statement at the time of his or her appointment to the Committee. To the extent required by the Act and the rules of the SEC and Nasdaq, at least one member of the Committee shall be a “audit committee financial expert” as defined by the Act and SEC rules and have the level of enhanced financial literacy required by Nasdaq rules. All members of the Committee shall participate in continuing education programs as set forth in the rules developed by the Nasdaq Listing and Hearings Review Council.</w:t>
      </w:r>
    </w:p>
    <w:p>
      <w:pPr>
        <w:spacing w:after="0" w:line="129" w:lineRule="exact"/>
        <w:rPr>
          <w:rFonts w:ascii="Arial" w:cs="Arial" w:eastAsia="Arial" w:hAnsi="Arial"/>
          <w:sz w:val="18"/>
          <w:szCs w:val="18"/>
          <w:color w:val="auto"/>
        </w:rPr>
      </w:pPr>
    </w:p>
    <w:p>
      <w:pPr>
        <w:ind w:left="720" w:hanging="361"/>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Chair</w:t>
      </w:r>
      <w:r>
        <w:rPr>
          <w:rFonts w:ascii="Arial" w:cs="Arial" w:eastAsia="Arial" w:hAnsi="Arial"/>
          <w:sz w:val="18"/>
          <w:szCs w:val="18"/>
          <w:color w:val="auto"/>
        </w:rPr>
        <w:t>.   The Board shall designate one member of the Committee to be Chairperson of the Committee.</w:t>
      </w:r>
    </w:p>
    <w:p>
      <w:pPr>
        <w:spacing w:after="0" w:line="157" w:lineRule="exact"/>
        <w:rPr>
          <w:rFonts w:ascii="Arial" w:cs="Arial" w:eastAsia="Arial" w:hAnsi="Arial"/>
          <w:sz w:val="18"/>
          <w:szCs w:val="18"/>
          <w:color w:val="auto"/>
        </w:rPr>
      </w:pPr>
    </w:p>
    <w:p>
      <w:pPr>
        <w:ind w:right="480" w:firstLine="359"/>
        <w:spacing w:after="0" w:line="268" w:lineRule="auto"/>
        <w:tabs>
          <w:tab w:leader="none" w:pos="70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The compensation of Committee members shall be as determined by the Board. No member of the Committee may receive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from the Company other than for services as a director.</w:t>
      </w:r>
    </w:p>
    <w:p>
      <w:pPr>
        <w:spacing w:after="0" w:line="118" w:lineRule="exact"/>
        <w:rPr>
          <w:rFonts w:ascii="Arial" w:cs="Arial" w:eastAsia="Arial" w:hAnsi="Arial"/>
          <w:sz w:val="18"/>
          <w:szCs w:val="18"/>
          <w:color w:val="auto"/>
        </w:rPr>
      </w:pPr>
    </w:p>
    <w:p>
      <w:pPr>
        <w:ind w:right="160" w:firstLine="359"/>
        <w:spacing w:after="0" w:line="268" w:lineRule="auto"/>
        <w:tabs>
          <w:tab w:leader="none" w:pos="70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Selection and Removal</w:t>
      </w:r>
      <w:r>
        <w:rPr>
          <w:rFonts w:ascii="Arial" w:cs="Arial" w:eastAsia="Arial" w:hAnsi="Arial"/>
          <w:sz w:val="18"/>
          <w:szCs w:val="18"/>
          <w:color w:val="auto"/>
        </w:rPr>
        <w:t>. Members of the Committee shall be appointed by the Board. The Board may remove members of the Committee from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with or without cause.</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Authority and Responsibilities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Committee shall discharge its responsibilities, and shall assess the information provided by the Company’s management and the independent auditor, in accordance with its business judgment. The authority and responsibilities set forth in this Charter do not reflect or create any duty or obligation of the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Oversight of Independent Auditors</w:t>
      </w:r>
    </w:p>
    <w:p>
      <w:pPr>
        <w:spacing w:after="0" w:line="83" w:lineRule="exact"/>
        <w:rPr>
          <w:sz w:val="20"/>
          <w:szCs w:val="20"/>
          <w:color w:val="auto"/>
        </w:rPr>
      </w:pPr>
    </w:p>
    <w:p>
      <w:pPr>
        <w:ind w:firstLine="359"/>
        <w:spacing w:after="0" w:line="294" w:lineRule="auto"/>
        <w:tabs>
          <w:tab w:leader="none" w:pos="70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Selection</w:t>
      </w:r>
      <w:r>
        <w:rPr>
          <w:rFonts w:ascii="Arial" w:cs="Arial" w:eastAsia="Arial" w:hAnsi="Arial"/>
          <w:sz w:val="16"/>
          <w:szCs w:val="16"/>
          <w:color w:val="auto"/>
        </w:rPr>
        <w:t>. The Committee shall be solely and directly responsible for appointing, determining the scope of, evaluating and, when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terminating the relationship with the independent auditor. The Committee shall decide, in accordance with the Act and SEC rules, the extent to which independent public accountants other than the principal auditor are to be used and understand the rationale for using them. The Committee shall direct the principal auditor and secondary accountants to coordinate their work and shall direct the principal auditor to perform an appropriate review of the secondary accountants’ work. The Committee may, in its discretion, seek stockholder ratification of any independent auditor it appoints.</w:t>
      </w:r>
    </w:p>
    <w:p>
      <w:pPr>
        <w:spacing w:after="0" w:line="102" w:lineRule="exact"/>
        <w:rPr>
          <w:rFonts w:ascii="Arial" w:cs="Arial" w:eastAsia="Arial" w:hAnsi="Arial"/>
          <w:sz w:val="16"/>
          <w:szCs w:val="16"/>
          <w:color w:val="auto"/>
        </w:rPr>
      </w:pPr>
    </w:p>
    <w:p>
      <w:pPr>
        <w:ind w:right="240" w:firstLine="359"/>
        <w:spacing w:after="0" w:line="255" w:lineRule="auto"/>
        <w:tabs>
          <w:tab w:leader="none" w:pos="70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Independence</w:t>
      </w:r>
      <w:r>
        <w:rPr>
          <w:rFonts w:ascii="Arial" w:cs="Arial" w:eastAsia="Arial" w:hAnsi="Arial"/>
          <w:sz w:val="18"/>
          <w:szCs w:val="18"/>
          <w:color w:val="auto"/>
        </w:rPr>
        <w:t>. The Committee shall take appropriate action to oversee the independence of the independent auditor.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the Committee shall periodically obtain and review a formal written statement from the independent auditor describing all relationships between the independent auditor and the Company, including the disclosures required by Independence Standards Board, Standard No. 1. The Committee shall actively engage in dialogue with the independent auditor concerning any disclosed relationships or services that might impact the objectivity and independence of the auditor.</w:t>
      </w:r>
    </w:p>
    <w:p>
      <w:pPr>
        <w:spacing w:after="0" w:line="129" w:lineRule="exact"/>
        <w:rPr>
          <w:rFonts w:ascii="Arial" w:cs="Arial" w:eastAsia="Arial" w:hAnsi="Arial"/>
          <w:sz w:val="18"/>
          <w:szCs w:val="18"/>
          <w:color w:val="auto"/>
        </w:rPr>
      </w:pPr>
    </w:p>
    <w:p>
      <w:pPr>
        <w:ind w:right="300" w:firstLine="359"/>
        <w:spacing w:after="0" w:line="370" w:lineRule="auto"/>
        <w:tabs>
          <w:tab w:leader="none" w:pos="702"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Compensation</w:t>
      </w:r>
      <w:r>
        <w:rPr>
          <w:rFonts w:ascii="Arial" w:cs="Arial" w:eastAsia="Arial" w:hAnsi="Arial"/>
          <w:sz w:val="15"/>
          <w:szCs w:val="15"/>
          <w:color w:val="auto"/>
        </w:rPr>
        <w:t>. The Committee shall have sole and direct responsibility for setting the compensation of the independent auditor. The Committee is</w:t>
      </w:r>
      <w:r>
        <w:rPr>
          <w:rFonts w:ascii="Arial" w:cs="Arial" w:eastAsia="Arial" w:hAnsi="Arial"/>
          <w:sz w:val="15"/>
          <w:szCs w:val="15"/>
          <w:i w:val="1"/>
          <w:iCs w:val="1"/>
          <w:color w:val="auto"/>
        </w:rPr>
        <w:t xml:space="preserve"> </w:t>
      </w:r>
      <w:r>
        <w:rPr>
          <w:rFonts w:ascii="Arial" w:cs="Arial" w:eastAsia="Arial" w:hAnsi="Arial"/>
          <w:sz w:val="15"/>
          <w:szCs w:val="15"/>
          <w:color w:val="auto"/>
        </w:rPr>
        <w:t>empowered, without further action by the Board, to cause the Company to pay the compensation of the independent auditor as established by the Committee.</w:t>
      </w:r>
    </w:p>
    <w:p>
      <w:pPr>
        <w:spacing w:after="0" w:line="48" w:lineRule="exact"/>
        <w:rPr>
          <w:rFonts w:ascii="Arial" w:cs="Arial" w:eastAsia="Arial" w:hAnsi="Arial"/>
          <w:sz w:val="15"/>
          <w:szCs w:val="15"/>
          <w:color w:val="auto"/>
        </w:rPr>
      </w:pPr>
    </w:p>
    <w:p>
      <w:pPr>
        <w:ind w:right="40" w:firstLine="359"/>
        <w:spacing w:after="0" w:line="291" w:lineRule="auto"/>
        <w:tabs>
          <w:tab w:leader="none" w:pos="70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Pre-Approval and Disclosure of Services</w:t>
      </w:r>
      <w:r>
        <w:rPr>
          <w:rFonts w:ascii="Arial" w:cs="Arial" w:eastAsia="Arial" w:hAnsi="Arial"/>
          <w:sz w:val="16"/>
          <w:szCs w:val="16"/>
          <w:color w:val="auto"/>
        </w:rPr>
        <w:t>. The Committee shall pre-approve all audit services and permitted non-audit services (other than de minimis</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non-audit services as defined and permitted by the Act and SEC rules) in accordance with the Company’s Audit and Non-Audit Services Pre-Approval Policy. The Committee shall cause the Company to disclose in its periodic SEC reports the approval by the Committee of any non-audit services to be performed by the independent auditor. The Committee shall further cause the Company to disclose the Company’s Audit and Non-Audit Services Pre-Approval Policy in the Company’s annual report and proxy statement, and, to the extent required by the Act and the rules of the SEC and Nasdaq, the Audit fees, Audited-Related fees, Tax fees and All Other fees, as defined by the SEC, paid to the Company’s independent auditor in the annual report or proxy statement.</w:t>
      </w:r>
    </w:p>
    <w:p>
      <w:pPr>
        <w:spacing w:after="0" w:line="106" w:lineRule="exact"/>
        <w:rPr>
          <w:rFonts w:ascii="Arial" w:cs="Arial" w:eastAsia="Arial" w:hAnsi="Arial"/>
          <w:sz w:val="16"/>
          <w:szCs w:val="16"/>
          <w:color w:val="auto"/>
        </w:rPr>
      </w:pPr>
    </w:p>
    <w:p>
      <w:pPr>
        <w:ind w:right="120" w:firstLine="359"/>
        <w:spacing w:after="0" w:line="298" w:lineRule="auto"/>
        <w:tabs>
          <w:tab w:leader="none" w:pos="70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Oversight</w:t>
      </w:r>
      <w:r>
        <w:rPr>
          <w:rFonts w:ascii="Arial" w:cs="Arial" w:eastAsia="Arial" w:hAnsi="Arial"/>
          <w:sz w:val="16"/>
          <w:szCs w:val="16"/>
          <w:color w:val="auto"/>
        </w:rPr>
        <w:t>. The independent auditor shall report directly to the Committee and the Committee shall have sole and direct responsibility for overseeing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independent auditor for purposes of all work it performs for the Company, including resolution of disagreements between Company management and the independent auditor regarding financial reporting. In connection with its oversight role, the Committee shall from time to time, as appropriate, obtain and review the reports required to be made by the independent auditor pursuant to the Act or otherwise regarding:</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103" w:lineRule="exact"/>
        <w:rPr>
          <w:rFonts w:ascii="Arial" w:cs="Arial" w:eastAsia="Arial" w:hAnsi="Arial"/>
          <w:sz w:val="18"/>
          <w:szCs w:val="18"/>
          <w:color w:val="auto"/>
        </w:rPr>
      </w:pPr>
    </w:p>
    <w:p>
      <w:pPr>
        <w:ind w:left="780" w:right="160" w:hanging="326"/>
        <w:spacing w:after="0" w:line="325" w:lineRule="auto"/>
        <w:tabs>
          <w:tab w:leader="none" w:pos="7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alternative treatments of financial information within generally accepted accounting principles that have been discussed with Company management, ramifications of the use of such alternative disclosures and treatments, and the treatment preferred by the independent auditor; and</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 such as any “management letter” or schedule of “unadjusted differences.”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shall authorize appropriate changes to be made pursuant to its review and report such changes to the Board.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of Audited Financial Statements</w:t>
      </w:r>
    </w:p>
    <w:p>
      <w:pPr>
        <w:spacing w:after="0" w:line="8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Discussion of Audited Financial Statements</w:t>
      </w:r>
      <w:r>
        <w:rPr>
          <w:rFonts w:ascii="Arial" w:cs="Arial" w:eastAsia="Arial" w:hAnsi="Arial"/>
          <w:sz w:val="16"/>
          <w:szCs w:val="16"/>
          <w:color w:val="auto"/>
        </w:rPr>
        <w:t>. The Committee shall review and discuss with the Company’s management and independent auditor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audited financial statements, including the matters about which Statement on Auditing Standards No. 61 (Codification of Statements on Auditing Standards, AU §380) requires discussion and the financial statements and disclosures under Management’s Discussion and Analysis of Financial Condition and Results of Operations to be included in the Company’s Annual Report on Form 10-K (or the annual report to shareholders if distributed prior to the filing of Form 10-K), including their judgment about the quality, not just the acceptability, of accounting principles, the reasonableness of significant judgments, and the clarity of the disclosures in the financial statements.</w:t>
      </w:r>
    </w:p>
    <w:p>
      <w:pPr>
        <w:spacing w:after="0" w:line="107" w:lineRule="exact"/>
        <w:rPr>
          <w:sz w:val="20"/>
          <w:szCs w:val="20"/>
          <w:color w:val="auto"/>
        </w:rPr>
      </w:pPr>
    </w:p>
    <w:p>
      <w:pPr>
        <w:ind w:right="740" w:firstLine="359"/>
        <w:spacing w:after="0" w:line="332" w:lineRule="auto"/>
        <w:tabs>
          <w:tab w:leader="none" w:pos="702"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Recommendation to Board Regarding Financial Statements</w:t>
      </w:r>
      <w:r>
        <w:rPr>
          <w:rFonts w:ascii="Arial" w:cs="Arial" w:eastAsia="Arial" w:hAnsi="Arial"/>
          <w:sz w:val="16"/>
          <w:szCs w:val="16"/>
          <w:color w:val="auto"/>
        </w:rPr>
        <w:t>. The Committee shall consider whether it will recommend to the Board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audited financial statements be included in the Company’s Annual Report and any other report to the SEC or stockholders.</w:t>
      </w:r>
    </w:p>
    <w:p>
      <w:pPr>
        <w:spacing w:after="0" w:line="71" w:lineRule="exact"/>
        <w:rPr>
          <w:rFonts w:ascii="Arial" w:cs="Arial" w:eastAsia="Arial" w:hAnsi="Arial"/>
          <w:sz w:val="16"/>
          <w:szCs w:val="16"/>
          <w:color w:val="auto"/>
        </w:rPr>
      </w:pPr>
    </w:p>
    <w:p>
      <w:pPr>
        <w:ind w:right="60" w:firstLine="359"/>
        <w:spacing w:after="0" w:line="259"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Committee Report</w:t>
      </w:r>
      <w:r>
        <w:rPr>
          <w:rFonts w:ascii="Arial" w:cs="Arial" w:eastAsia="Arial" w:hAnsi="Arial"/>
          <w:sz w:val="18"/>
          <w:szCs w:val="18"/>
          <w:color w:val="auto"/>
        </w:rPr>
        <w:t>. The Committee shall review all proxy statements and prepare the report described in Item 306 of Regulation S-K for inclusion</w:t>
      </w:r>
      <w:r>
        <w:rPr>
          <w:rFonts w:ascii="Arial" w:cs="Arial" w:eastAsia="Arial" w:hAnsi="Arial"/>
          <w:sz w:val="18"/>
          <w:szCs w:val="18"/>
          <w:i w:val="1"/>
          <w:iCs w:val="1"/>
          <w:color w:val="auto"/>
        </w:rPr>
        <w:t xml:space="preserve"> </w:t>
      </w:r>
      <w:r>
        <w:rPr>
          <w:rFonts w:ascii="Arial" w:cs="Arial" w:eastAsia="Arial" w:hAnsi="Arial"/>
          <w:sz w:val="18"/>
          <w:szCs w:val="18"/>
          <w:color w:val="auto"/>
        </w:rPr>
        <w:t>where necessary in a proxy statement of the Company relating to an annual meeting of security holders at which directors are to be elected (or special meeting or written consents in lieu of such meeting).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Review of Other Financial Disclosures</w:t>
      </w:r>
    </w:p>
    <w:p>
      <w:pPr>
        <w:spacing w:after="0" w:line="83"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Independent Auditor Review of Interim Financial Statements</w:t>
      </w:r>
      <w:r>
        <w:rPr>
          <w:rFonts w:ascii="Arial" w:cs="Arial" w:eastAsia="Arial" w:hAnsi="Arial"/>
          <w:sz w:val="16"/>
          <w:szCs w:val="16"/>
          <w:color w:val="auto"/>
        </w:rPr>
        <w:t>. The Committee shall direct the independent auditor to use its best efforts to perform all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Committee and the Chief Financial Officer any matters identified in connection with the auditor’s review of interim financial information which are required to be discussed by Statement on Auditing Standards Nos. 61, 71 and 90. The committee shall review the interim financial statements and disclosures under Management’s Discussion and Analysis of Financial Condition and Results of Operations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Committee shall direct management to advise the Committee in the event that the Company proposes to disclose interim financial information prior to completion of the independent auditor’s review of interim financial information. In any event, the Committee shall review the consistency and adequacy of all interim financial disclosures prior to any public disclosure.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Additional Review</w:t>
      </w:r>
    </w:p>
    <w:p>
      <w:pPr>
        <w:spacing w:after="0" w:line="83"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color w:val="auto"/>
        </w:rPr>
        <w:t>Following completion of any audit or review of financial statements and prior to any public disclosure, the Committee shall review earnings releases, unusual transactions and accounting estimates, post-audit or post-review matters such as any differences between the planned and actual scope of the audit or review and recent and prospective opinions of the Accounting Principles Board and their impact upon the Company’s accounting and financial statements.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Controls</w:t>
      </w:r>
    </w:p>
    <w:p>
      <w:pPr>
        <w:spacing w:after="0" w:line="83" w:lineRule="exact"/>
        <w:rPr>
          <w:sz w:val="20"/>
          <w:szCs w:val="20"/>
          <w:color w:val="auto"/>
        </w:rPr>
      </w:pPr>
    </w:p>
    <w:p>
      <w:pPr>
        <w:ind w:right="80" w:firstLine="359"/>
        <w:spacing w:after="0" w:line="255" w:lineRule="auto"/>
        <w:tabs>
          <w:tab w:leader="none" w:pos="65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Oversight</w:t>
      </w:r>
      <w:r>
        <w:rPr>
          <w:rFonts w:ascii="Arial" w:cs="Arial" w:eastAsia="Arial" w:hAnsi="Arial"/>
          <w:sz w:val="18"/>
          <w:szCs w:val="18"/>
          <w:color w:val="auto"/>
        </w:rPr>
        <w:t>. The Committee shall coordinate the Company’s policy, oversight and review of internal accounting controls, disclosure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management information systems. The Committee shall conduct an annual review of the adequacy of such controls and the staff that implements them and shall direct the Vice President, Internal Auditing, or persons performing similar functions, to take action as the Committee deems prudent. The Committee shall receive and review the reports of management, the certifications of the CEO and CFO and the independent auditor’s attestation under the Act and SEC rules.</w:t>
      </w:r>
    </w:p>
    <w:p>
      <w:pPr>
        <w:spacing w:after="0" w:line="129" w:lineRule="exact"/>
        <w:rPr>
          <w:rFonts w:ascii="Arial" w:cs="Arial" w:eastAsia="Arial" w:hAnsi="Arial"/>
          <w:sz w:val="18"/>
          <w:szCs w:val="18"/>
          <w:color w:val="auto"/>
        </w:rPr>
      </w:pPr>
    </w:p>
    <w:p>
      <w:pPr>
        <w:ind w:right="580" w:firstLine="359"/>
        <w:spacing w:after="0" w:line="268" w:lineRule="auto"/>
        <w:tabs>
          <w:tab w:leader="none" w:pos="65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Procedures for Complaints</w:t>
      </w:r>
      <w:r>
        <w:rPr>
          <w:rFonts w:ascii="Arial" w:cs="Arial" w:eastAsia="Arial" w:hAnsi="Arial"/>
          <w:sz w:val="18"/>
          <w:szCs w:val="18"/>
          <w:color w:val="auto"/>
        </w:rPr>
        <w:t>. The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and (ii) the confidential, anonymous submission by employees of the Company of concerns regarding questionable accounting or auditing matters.</w:t>
      </w:r>
    </w:p>
    <w:p>
      <w:pPr>
        <w:spacing w:after="0" w:line="181" w:lineRule="exact"/>
        <w:rPr>
          <w:sz w:val="20"/>
          <w:szCs w:val="20"/>
          <w:color w:val="auto"/>
        </w:rPr>
      </w:pPr>
    </w:p>
    <w:p>
      <w:pPr>
        <w:ind w:firstLine="359"/>
        <w:spacing w:after="0" w:line="259" w:lineRule="auto"/>
        <w:tabs>
          <w:tab w:leader="none" w:pos="65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Investigations</w:t>
      </w:r>
      <w:r>
        <w:rPr>
          <w:rFonts w:ascii="Arial" w:cs="Arial" w:eastAsia="Arial" w:hAnsi="Arial"/>
          <w:sz w:val="18"/>
          <w:szCs w:val="18"/>
          <w:color w:val="auto"/>
        </w:rPr>
        <w:t>. The Committee shall have the authority to conduct or authorize special audits and investigations into any matters within the scope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responsibilities as it shall deem appropriate, including the authority to request any officer, employee or advisor of the Company to meet with the Committee or any advisors engaged by the Committee.</w:t>
      </w:r>
    </w:p>
    <w:p>
      <w:pPr>
        <w:spacing w:after="0" w:line="126" w:lineRule="exact"/>
        <w:rPr>
          <w:rFonts w:ascii="Arial" w:cs="Arial" w:eastAsia="Arial" w:hAnsi="Arial"/>
          <w:sz w:val="18"/>
          <w:szCs w:val="18"/>
          <w:color w:val="auto"/>
        </w:rPr>
      </w:pPr>
    </w:p>
    <w:p>
      <w:pPr>
        <w:ind w:right="480" w:firstLine="359"/>
        <w:spacing w:after="0" w:line="268" w:lineRule="auto"/>
        <w:tabs>
          <w:tab w:leader="none" w:pos="65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Related-Party Transactions</w:t>
      </w:r>
      <w:r>
        <w:rPr>
          <w:rFonts w:ascii="Arial" w:cs="Arial" w:eastAsia="Arial" w:hAnsi="Arial"/>
          <w:sz w:val="18"/>
          <w:szCs w:val="18"/>
          <w:color w:val="auto"/>
        </w:rPr>
        <w:t>. To the extent required by the Act and the rules of the SEC and Nasdaq, the Committee shall review all related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on an ongoing basis and all such transactions must be approved by the Committee.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Additional Authorities and Responsibilities</w:t>
      </w:r>
    </w:p>
    <w:p>
      <w:pPr>
        <w:spacing w:after="0" w:line="83" w:lineRule="exact"/>
        <w:rPr>
          <w:sz w:val="20"/>
          <w:szCs w:val="20"/>
          <w:color w:val="auto"/>
        </w:rPr>
      </w:pPr>
    </w:p>
    <w:p>
      <w:pPr>
        <w:ind w:right="80" w:firstLine="359"/>
        <w:spacing w:after="0" w:line="335" w:lineRule="auto"/>
        <w:tabs>
          <w:tab w:leader="none" w:pos="658" w:val="left"/>
        </w:tabs>
        <w:numPr>
          <w:ilvl w:val="1"/>
          <w:numId w:val="24"/>
        </w:numPr>
        <w:rPr>
          <w:rFonts w:ascii="Arial" w:cs="Arial" w:eastAsia="Arial" w:hAnsi="Arial"/>
          <w:sz w:val="15"/>
          <w:szCs w:val="15"/>
          <w:color w:val="auto"/>
        </w:rPr>
      </w:pPr>
      <w:r>
        <w:rPr>
          <w:rFonts w:ascii="Arial" w:cs="Arial" w:eastAsia="Arial" w:hAnsi="Arial"/>
          <w:sz w:val="15"/>
          <w:szCs w:val="15"/>
          <w:i w:val="1"/>
          <w:iCs w:val="1"/>
          <w:color w:val="auto"/>
        </w:rPr>
        <w:t>Independent Advisors</w:t>
      </w:r>
      <w:r>
        <w:rPr>
          <w:rFonts w:ascii="Arial" w:cs="Arial" w:eastAsia="Arial" w:hAnsi="Arial"/>
          <w:sz w:val="15"/>
          <w:szCs w:val="15"/>
          <w:color w:val="auto"/>
        </w:rPr>
        <w:t>. The Committee shall have the authority to engage and determine funding for such independent legal, accounting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w:t>
      </w:r>
    </w:p>
    <w:p>
      <w:pPr>
        <w:spacing w:after="0" w:line="74" w:lineRule="exact"/>
        <w:rPr>
          <w:rFonts w:ascii="Arial" w:cs="Arial" w:eastAsia="Arial" w:hAnsi="Arial"/>
          <w:sz w:val="15"/>
          <w:szCs w:val="15"/>
          <w:color w:val="auto"/>
        </w:rPr>
      </w:pPr>
    </w:p>
    <w:p>
      <w:pPr>
        <w:ind w:left="660" w:hanging="301"/>
        <w:spacing w:after="0"/>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Additional Authority</w:t>
      </w:r>
      <w:r>
        <w:rPr>
          <w:rFonts w:ascii="Arial" w:cs="Arial" w:eastAsia="Arial" w:hAnsi="Arial"/>
          <w:sz w:val="16"/>
          <w:szCs w:val="16"/>
          <w:color w:val="auto"/>
        </w:rPr>
        <w:t>.  The Committee shall have such other authority and responsibilities as may be delegated from time to time by the Board.</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Procedures and Administration</w:t>
      </w:r>
    </w:p>
    <w:p>
      <w:pPr>
        <w:spacing w:after="0" w:line="82" w:lineRule="exact"/>
        <w:rPr>
          <w:rFonts w:ascii="Arial" w:cs="Arial" w:eastAsia="Arial" w:hAnsi="Arial"/>
          <w:sz w:val="18"/>
          <w:szCs w:val="18"/>
          <w:color w:val="auto"/>
        </w:rPr>
      </w:pPr>
    </w:p>
    <w:p>
      <w:pPr>
        <w:ind w:right="100" w:firstLine="359"/>
        <w:spacing w:after="0" w:line="306" w:lineRule="auto"/>
        <w:tabs>
          <w:tab w:leader="none" w:pos="65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Meetings</w:t>
      </w:r>
      <w:r>
        <w:rPr>
          <w:rFonts w:ascii="Arial" w:cs="Arial" w:eastAsia="Arial" w:hAnsi="Arial"/>
          <w:sz w:val="16"/>
          <w:szCs w:val="16"/>
          <w:color w:val="auto"/>
        </w:rPr>
        <w:t>. The Committee shall meet at least quarterly and as often as it deems necessary in order to perform its responsibilities. The Committee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meet separately with: (i) the independent auditor; (ii) the Company’s management and (iii) the Company’s Vice President, Internal Auditing, or persons performing similar functions. The Committee and any subcommittee shall keep such records of its meetings as it may deem appropriate.</w:t>
      </w:r>
    </w:p>
    <w:p>
      <w:pPr>
        <w:spacing w:after="0" w:line="93" w:lineRule="exact"/>
        <w:rPr>
          <w:rFonts w:ascii="Arial" w:cs="Arial" w:eastAsia="Arial" w:hAnsi="Arial"/>
          <w:sz w:val="16"/>
          <w:szCs w:val="16"/>
          <w:color w:val="auto"/>
        </w:rPr>
      </w:pPr>
    </w:p>
    <w:p>
      <w:pPr>
        <w:ind w:left="660" w:hanging="301"/>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quorum for conducting the business of the Committee shall be a majority of the membership.</w:t>
      </w:r>
    </w:p>
    <w:p>
      <w:pPr>
        <w:spacing w:after="0" w:line="157" w:lineRule="exact"/>
        <w:rPr>
          <w:rFonts w:ascii="Arial" w:cs="Arial" w:eastAsia="Arial" w:hAnsi="Arial"/>
          <w:sz w:val="18"/>
          <w:szCs w:val="18"/>
          <w:color w:val="auto"/>
        </w:rPr>
      </w:pPr>
    </w:p>
    <w:p>
      <w:pPr>
        <w:ind w:right="100" w:firstLine="359"/>
        <w:spacing w:after="0" w:line="259" w:lineRule="auto"/>
        <w:tabs>
          <w:tab w:leader="none" w:pos="658"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Subcommittees</w:t>
      </w:r>
      <w:r>
        <w:rPr>
          <w:rFonts w:ascii="Arial" w:cs="Arial" w:eastAsia="Arial" w:hAnsi="Arial"/>
          <w:sz w:val="18"/>
          <w:szCs w:val="18"/>
          <w:color w:val="auto"/>
        </w:rPr>
        <w:t>. The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reported to the full Committee at its next scheduled meeting.</w:t>
      </w:r>
    </w:p>
    <w:p>
      <w:pPr>
        <w:spacing w:after="0" w:line="126" w:lineRule="exact"/>
        <w:rPr>
          <w:rFonts w:ascii="Arial" w:cs="Arial" w:eastAsia="Arial" w:hAnsi="Arial"/>
          <w:sz w:val="18"/>
          <w:szCs w:val="18"/>
          <w:color w:val="auto"/>
        </w:rPr>
      </w:pPr>
    </w:p>
    <w:p>
      <w:pPr>
        <w:ind w:left="660" w:hanging="301"/>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Reports to the Board</w:t>
      </w:r>
      <w:r>
        <w:rPr>
          <w:rFonts w:ascii="Arial" w:cs="Arial" w:eastAsia="Arial" w:hAnsi="Arial"/>
          <w:sz w:val="18"/>
          <w:szCs w:val="18"/>
          <w:color w:val="auto"/>
        </w:rPr>
        <w:t>.  The Committee shall regularly report a summary of its actions and the results of its reviews to the Board.</w:t>
      </w:r>
    </w:p>
    <w:p>
      <w:pPr>
        <w:spacing w:after="0" w:line="157" w:lineRule="exact"/>
        <w:rPr>
          <w:rFonts w:ascii="Arial" w:cs="Arial" w:eastAsia="Arial" w:hAnsi="Arial"/>
          <w:sz w:val="18"/>
          <w:szCs w:val="18"/>
          <w:color w:val="auto"/>
        </w:rPr>
      </w:pPr>
    </w:p>
    <w:p>
      <w:pPr>
        <w:ind w:left="660" w:hanging="301"/>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Annually, the Committee shall review and reassess the adequacy of this charter and recommend any proposed changes to the Board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6" w:name="page37"/>
    <w:bookmarkEnd w:id="36"/>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of 2003 Annual Meeting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Thursday, August 7, 2003</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9:00 A.M.</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 Parker Meridien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119 West 56th Street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New York, New York 10022</w:t>
      </w:r>
    </w:p>
    <w:p>
      <w:pPr>
        <w:spacing w:after="0" w:line="1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PROXY</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555 Turnpike Street, Canton, Massachusetts 02021</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Annual Meeting Of Stockholders To Be Held On August 7, 2003</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David A. Levin and Dennis R. Hernreich,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7, 2003, at 9:00 A.M. local time, at the Le Parker Meridien, 119 West 56th Street,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ectPr>
          <w:pgSz w:w="11900" w:h="16838" w:orient="portrait"/>
          <w:cols w:equalWidth="0" w:num="1">
            <w:col w:w="11200"/>
          </w:cols>
          <w:pgMar w:left="240" w:top="280" w:right="45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REVERSE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SIDE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SEE REVERSE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SIDE</w:t>
      </w:r>
    </w:p>
    <w:p>
      <w:pPr>
        <w:spacing w:after="0" w:line="151" w:lineRule="exact"/>
        <w:rPr>
          <w:sz w:val="20"/>
          <w:szCs w:val="20"/>
          <w:color w:val="auto"/>
        </w:rPr>
      </w:pPr>
    </w:p>
    <w:p>
      <w:pPr>
        <w:sectPr>
          <w:pgSz w:w="11900" w:h="16838" w:orient="portrait"/>
          <w:cols w:equalWidth="0" w:num="3">
            <w:col w:w="2740" w:space="720"/>
            <w:col w:w="5540" w:space="720"/>
            <w:col w:w="1480"/>
          </w:cols>
          <w:pgMar w:left="240" w:top="280" w:right="4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DETACH HERE</w:t>
      </w:r>
    </w:p>
    <w:p>
      <w:pPr>
        <w:sectPr>
          <w:pgSz w:w="11900" w:h="16838" w:orient="portrait"/>
          <w:cols w:equalWidth="0" w:num="1">
            <w:col w:w="11200"/>
          </w:cols>
          <w:pgMar w:left="240" w:top="280" w:right="459" w:bottom="1440" w:gutter="0" w:footer="0" w:header="0"/>
          <w:type w:val="continuous"/>
        </w:sectPr>
      </w:pPr>
    </w:p>
    <w:bookmarkStart w:id="38" w:name="page39"/>
    <w:bookmarkEnd w:id="38"/>
    <w:p>
      <w:pPr>
        <w:ind w:left="460" w:hanging="452"/>
        <w:spacing w:after="0"/>
        <w:tabs>
          <w:tab w:leader="none" w:pos="460" w:val="left"/>
        </w:tabs>
        <w:numPr>
          <w:ilvl w:val="0"/>
          <w:numId w:val="26"/>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MARK VOTES AS IN THIS EXAMPLE.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July 11,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Election of Directors:</w:t>
      </w:r>
      <w:r>
        <w:rPr>
          <w:rFonts w:ascii="Arial" w:cs="Arial" w:eastAsia="Arial" w:hAnsi="Arial"/>
          <w:sz w:val="18"/>
          <w:szCs w:val="18"/>
          <w:color w:val="auto"/>
        </w:rPr>
        <w:t xml:space="preserve"> THE BOARD OF DIRECTORS RECOMMENDS A VOTE “FOR” ALL NOMINEES NAMED BELOW.</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Nominees: (1) Seymour Holtzman, (2) David A. Levin, (3) Alan S. Bernikow, (4) Jesse Choper, (5) Stephen M. Duff, (6) Frank J. Husic, (7) Joseph Pennacchio and (8) George T. Porter, Jr.</w:t>
      </w:r>
    </w:p>
    <w:p>
      <w:pPr>
        <w:spacing w:after="0" w:line="86" w:lineRule="exact"/>
        <w:rPr>
          <w:sz w:val="20"/>
          <w:szCs w:val="20"/>
          <w:color w:val="auto"/>
        </w:rPr>
      </w:pPr>
    </w:p>
    <w:p>
      <w:pPr>
        <w:ind w:left="1780"/>
        <w:spacing w:after="0" w:line="207" w:lineRule="exact"/>
        <w:tabs>
          <w:tab w:leader="none" w:pos="7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NOMINEES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WITHHELD FROM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left="3560" w:hanging="199"/>
        <w:spacing w:after="0"/>
        <w:tabs>
          <w:tab w:leader="none" w:pos="3560" w:val="left"/>
        </w:tabs>
        <w:numPr>
          <w:ilvl w:val="1"/>
          <w:numId w:val="27"/>
        </w:numPr>
        <w:rPr>
          <w:rFonts w:ascii="MS PGothic" w:cs="MS PGothic" w:eastAsia="MS PGothic" w:hAnsi="MS PGothic"/>
          <w:sz w:val="18"/>
          <w:szCs w:val="18"/>
          <w:color w:val="auto"/>
        </w:rPr>
      </w:pPr>
      <w:r>
        <w:rPr>
          <w:rFonts w:ascii="Arial" w:cs="Arial" w:eastAsia="Arial" w:hAnsi="Arial"/>
          <w:sz w:val="18"/>
          <w:szCs w:val="18"/>
          <w:color w:val="auto"/>
        </w:rPr>
        <w:t>FOR, except vote withheld from the nominee(s) as noted above.</w:t>
      </w:r>
    </w:p>
    <w:p>
      <w:pPr>
        <w:spacing w:after="0" w:line="151" w:lineRule="exact"/>
        <w:rPr>
          <w:rFonts w:ascii="MS PGothic" w:cs="MS PGothic" w:eastAsia="MS PGothic" w:hAnsi="MS PGothic"/>
          <w:sz w:val="18"/>
          <w:szCs w:val="18"/>
          <w:color w:val="auto"/>
        </w:rPr>
      </w:pPr>
    </w:p>
    <w:p>
      <w:pPr>
        <w:ind w:right="440" w:firstLine="8"/>
        <w:spacing w:after="0" w:line="274"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Amendments to the Casual Male Retail Group, Inc. 1992 Stock Incentive Plan: </w:t>
      </w:r>
      <w:r>
        <w:rPr>
          <w:rFonts w:ascii="Arial" w:cs="Arial" w:eastAsia="Arial" w:hAnsi="Arial"/>
          <w:sz w:val="18"/>
          <w:szCs w:val="18"/>
          <w:color w:val="auto"/>
        </w:rPr>
        <w:t>THE BOARD OF DIRECTORS RECOMMENDS A VOTE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2.</w:t>
      </w:r>
    </w:p>
    <w:p>
      <w:pPr>
        <w:spacing w:after="0" w:line="1" w:lineRule="exact"/>
        <w:rPr>
          <w:sz w:val="20"/>
          <w:szCs w:val="20"/>
          <w:color w:val="auto"/>
        </w:rPr>
      </w:pPr>
    </w:p>
    <w:p>
      <w:pPr>
        <w:ind w:left="1560"/>
        <w:spacing w:after="0" w:line="207" w:lineRule="exact"/>
        <w:tabs>
          <w:tab w:leader="none" w:pos="5220" w:val="left"/>
          <w:tab w:leader="none" w:pos="9100" w:val="left"/>
        </w:tabs>
        <w:rPr>
          <w:sz w:val="20"/>
          <w:szCs w:val="20"/>
          <w:color w:val="auto"/>
        </w:rPr>
      </w:pPr>
      <w:r>
        <w:rPr>
          <w:rFonts w:ascii="Arial" w:cs="Arial" w:eastAsia="Arial" w:hAnsi="Arial"/>
          <w:sz w:val="18"/>
          <w:szCs w:val="18"/>
          <w:color w:val="auto"/>
        </w:rPr>
        <w:t xml:space="preserve">FOR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AGAINST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ABSTAIN </w:t>
      </w:r>
      <w:r>
        <w:rPr>
          <w:rFonts w:ascii="MS PGothic" w:cs="MS PGothic" w:eastAsia="MS PGothic" w:hAnsi="MS PGothic"/>
          <w:sz w:val="16"/>
          <w:szCs w:val="16"/>
          <w:color w:val="auto"/>
        </w:rPr>
        <w:t>☐</w:t>
      </w:r>
    </w:p>
    <w:p>
      <w:pPr>
        <w:spacing w:after="0" w:line="103" w:lineRule="exact"/>
        <w:rPr>
          <w:sz w:val="20"/>
          <w:szCs w:val="20"/>
          <w:color w:val="auto"/>
        </w:rPr>
      </w:pPr>
    </w:p>
    <w:p>
      <w:pPr>
        <w:ind w:right="340" w:firstLine="8"/>
        <w:spacing w:after="0" w:line="275" w:lineRule="auto"/>
        <w:tabs>
          <w:tab w:leader="none" w:pos="176"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appointment of Ernst &amp; Young LLP as independent auditors for the Company: </w:t>
      </w:r>
      <w:r>
        <w:rPr>
          <w:rFonts w:ascii="Arial" w:cs="Arial" w:eastAsia="Arial" w:hAnsi="Arial"/>
          <w:sz w:val="18"/>
          <w:szCs w:val="18"/>
          <w:color w:val="auto"/>
        </w:rPr>
        <w:t>THE BOARD OF DIRECTORS RECOMMENDS A</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PROPOSAL 3.</w:t>
      </w:r>
    </w:p>
    <w:p>
      <w:pPr>
        <w:sectPr>
          <w:pgSz w:w="11900" w:h="16838" w:orient="portrait"/>
          <w:cols w:equalWidth="0" w:num="1">
            <w:col w:w="11360"/>
          </w:cols>
          <w:pgMar w:left="240" w:top="280" w:right="299" w:bottom="1440" w:gutter="0" w:footer="0" w:header="0"/>
        </w:sectPr>
      </w:pPr>
    </w:p>
    <w:p>
      <w:pPr>
        <w:spacing w:after="0" w:line="80" w:lineRule="exact"/>
        <w:rPr>
          <w:sz w:val="20"/>
          <w:szCs w:val="20"/>
          <w:color w:val="auto"/>
        </w:rPr>
      </w:pPr>
    </w:p>
    <w:p>
      <w:pPr>
        <w:ind w:left="1560"/>
        <w:spacing w:after="0" w:line="173" w:lineRule="exact"/>
        <w:rPr>
          <w:sz w:val="20"/>
          <w:szCs w:val="20"/>
          <w:color w:val="auto"/>
        </w:rPr>
      </w:pPr>
      <w:r>
        <w:rPr>
          <w:rFonts w:ascii="Arial" w:cs="Arial" w:eastAsia="Arial" w:hAnsi="Arial"/>
          <w:sz w:val="15"/>
          <w:szCs w:val="15"/>
          <w:color w:val="auto"/>
        </w:rPr>
        <w:t xml:space="preserve">FOR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2180"/>
        <w:spacing w:after="0" w:line="184" w:lineRule="exact"/>
        <w:rPr>
          <w:sz w:val="20"/>
          <w:szCs w:val="20"/>
          <w:color w:val="auto"/>
        </w:rPr>
      </w:pPr>
      <w:r>
        <w:rPr>
          <w:rFonts w:ascii="Arial" w:cs="Arial" w:eastAsia="Arial" w:hAnsi="Arial"/>
          <w:sz w:val="16"/>
          <w:szCs w:val="16"/>
          <w:color w:val="auto"/>
        </w:rPr>
        <w:t xml:space="preserve">AGAINST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ABSTAIN </w:t>
      </w:r>
      <w:r>
        <w:rPr>
          <w:rFonts w:ascii="MS PGothic" w:cs="MS PGothic" w:eastAsia="MS PGothic" w:hAnsi="MS PGothic"/>
          <w:sz w:val="16"/>
          <w:szCs w:val="16"/>
          <w:color w:val="auto"/>
        </w:rPr>
        <w:t>☐</w:t>
      </w:r>
    </w:p>
    <w:p>
      <w:pPr>
        <w:spacing w:after="0" w:line="181" w:lineRule="exact"/>
        <w:rPr>
          <w:sz w:val="20"/>
          <w:szCs w:val="20"/>
          <w:color w:val="auto"/>
        </w:rPr>
      </w:pPr>
    </w:p>
    <w:p>
      <w:pPr>
        <w:sectPr>
          <w:pgSz w:w="11900" w:h="16838" w:orient="portrait"/>
          <w:cols w:equalWidth="0" w:num="3">
            <w:col w:w="4520" w:space="720"/>
            <w:col w:w="3160" w:space="720"/>
            <w:col w:w="2240"/>
          </w:cols>
          <w:pgMar w:left="240" w:top="280" w:right="29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0"/>
          <w:szCs w:val="20"/>
          <w:color w:val="auto"/>
        </w:rPr>
      </w:pPr>
    </w:p>
    <w:p>
      <w:pPr>
        <w:sectPr>
          <w:pgSz w:w="11900" w:h="16838" w:orient="portrait"/>
          <w:cols w:equalWidth="0" w:num="2">
            <w:col w:w="4380" w:space="700"/>
            <w:col w:w="6280"/>
          </w:cols>
          <w:pgMar w:left="240" w:top="280" w:right="2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7" w:lineRule="exact"/>
        <w:rPr>
          <w:sz w:val="20"/>
          <w:szCs w:val="20"/>
          <w:color w:val="auto"/>
        </w:rPr>
      </w:pPr>
    </w:p>
    <w:p>
      <w:pPr>
        <w:sectPr>
          <w:pgSz w:w="11900" w:h="16838" w:orient="portrait"/>
          <w:cols w:equalWidth="0" w:num="2">
            <w:col w:w="4700" w:space="400"/>
            <w:col w:w="6260"/>
          </w:cols>
          <w:pgMar w:left="240" w:top="280" w:right="299" w:bottom="1440" w:gutter="0" w:footer="0" w:header="0"/>
          <w:type w:val="continuous"/>
        </w:sectPr>
      </w:pPr>
    </w:p>
    <w:p>
      <w:pPr>
        <w:ind w:left="5940"/>
        <w:spacing w:after="0"/>
        <w:rPr>
          <w:sz w:val="20"/>
          <w:szCs w:val="20"/>
          <w:color w:val="auto"/>
        </w:rPr>
      </w:pPr>
      <w:r>
        <w:rPr>
          <w:rFonts w:ascii="Arial" w:cs="Arial" w:eastAsia="Arial" w:hAnsi="Arial"/>
          <w:sz w:val="16"/>
          <w:szCs w:val="16"/>
          <w:color w:val="auto"/>
        </w:rPr>
        <w:t>IMPORTANT: Please sign your name or names exactly as printed on this</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proxy and fill in the date next to your signature. If more than one person is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named, each must sign. When signing as attorney, executor, administrator,</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trustee or guardian, give title as such. If the stockholder is a corporation, this</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proxy should be signed by an authorized officer and such officer should state</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his/her title.</w:t>
      </w:r>
    </w:p>
    <w:p>
      <w:pPr>
        <w:spacing w:after="0" w:line="151" w:lineRule="exact"/>
        <w:rPr>
          <w:sz w:val="20"/>
          <w:szCs w:val="20"/>
          <w:color w:val="auto"/>
        </w:rPr>
      </w:pPr>
    </w:p>
    <w:p>
      <w:pPr>
        <w:spacing w:after="0"/>
        <w:tabs>
          <w:tab w:leader="none" w:pos="1980" w:val="left"/>
          <w:tab w:leader="none" w:pos="3640" w:val="left"/>
          <w:tab w:leader="none" w:pos="56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-13970</wp:posOffset>
            </wp:positionV>
            <wp:extent cx="42576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7675" cy="8890"/>
                    </a:xfrm>
                    <a:prstGeom prst="rect">
                      <a:avLst/>
                    </a:prstGeom>
                    <a:noFill/>
                  </pic:spPr>
                </pic:pic>
              </a:graphicData>
            </a:graphic>
          </wp:anchor>
        </w:drawing>
      </w:r>
    </w:p>
    <w:sectPr>
      <w:pgSz w:w="11900" w:h="16838" w:orient="portrait"/>
      <w:cols w:equalWidth="0" w:num="1">
        <w:col w:w="11360"/>
      </w:cols>
      <w:pgMar w:left="240" w:top="28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1">
    <w:nsid w:val="62BBD95A"/>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abstractNum>
  <w:abstractNum w:abstractNumId="12">
    <w:nsid w:val="436C6125"/>
    <w:multiLevelType w:val="hybridMultilevel"/>
    <w:lvl w:ilvl="0">
      <w:lvlJc w:val="left"/>
      <w:lvlText w:val="(%1)"/>
      <w:numFmt w:val="decimal"/>
      <w:start w:val="5"/>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upperLetter"/>
      <w:start w:val="1"/>
    </w:lvl>
  </w:abstractNum>
  <w:abstractNum w:abstractNumId="18">
    <w:nsid w:val="6763845E"/>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9">
    <w:nsid w:val="75A2A8D4"/>
    <w:multiLevelType w:val="hybridMultilevel"/>
    <w:lvl w:ilvl="0">
      <w:lvlJc w:val="left"/>
      <w:lvlText w:val="%1."/>
      <w:numFmt w:val="decimal"/>
      <w:start w:val="1"/>
    </w:lvl>
    <w:lvl w:ilvl="1">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upperLetter"/>
      <w:start w:val="1"/>
    </w:lvl>
    <w:lvl w:ilvl="1">
      <w:lvlJc w:val="left"/>
      <w:lvlText w:val="%2."/>
      <w:numFmt w:val="decimal"/>
      <w:start w:val="1"/>
    </w:lvl>
  </w:abstractNum>
  <w:abstractNum w:abstractNumId="24">
    <w:nsid w:val="189A769B"/>
    <w:multiLevelType w:val="hybridMultilevel"/>
    <w:lvl w:ilvl="0">
      <w:lvlJc w:val="left"/>
      <w:lvlText w:val="%1."/>
      <w:numFmt w:val="upperLetter"/>
      <w:start w:val="4"/>
    </w:lvl>
    <w:lvl w:ilvl="1">
      <w:lvlJc w:val="left"/>
      <w:lvlText w:val="%2."/>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
      <w:numFmt w:val="bullet"/>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2019-12-20T17:00:24Z</dcterms:created>
  <dcterms:modified xsi:type="dcterms:W3CDTF">2019-12-20T17:00:24Z</dcterms:modified>
</cp:coreProperties>
</file>