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124460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144145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4000" w:right="1620" w:hanging="3992"/>
        <w:spacing w:after="0" w:line="392" w:lineRule="auto"/>
        <w:tabs>
          <w:tab w:leader="none" w:pos="58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July 29, 2017</w:t>
      </w:r>
    </w:p>
    <w:p>
      <w:pPr>
        <w:spacing w:after="0" w:line="28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32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137795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3"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spacing w:after="0"/>
              <w:rPr>
                <w:sz w:val="20"/>
                <w:szCs w:val="20"/>
                <w:color w:val="auto"/>
              </w:rPr>
            </w:pPr>
            <w:r>
              <w:rPr>
                <w:rFonts w:ascii="Arial" w:cs="Arial" w:eastAsia="Arial" w:hAnsi="Arial"/>
                <w:sz w:val="18"/>
                <w:szCs w:val="18"/>
                <w:b w:val="1"/>
                <w:bCs w:val="1"/>
                <w:color w:val="auto"/>
              </w:rPr>
              <w:t>04-2623104</w:t>
            </w:r>
          </w:p>
        </w:tc>
      </w:tr>
      <w:tr>
        <w:trPr>
          <w:trHeight w:val="135"/>
        </w:trPr>
        <w:tc>
          <w:tcPr>
            <w:tcW w:w="4180" w:type="dxa"/>
            <w:vAlign w:val="bottom"/>
          </w:tcPr>
          <w:p>
            <w:pPr>
              <w:jc w:val="center"/>
              <w:ind w:right="2023"/>
              <w:spacing w:after="0" w:line="135" w:lineRule="exact"/>
              <w:rPr>
                <w:sz w:val="20"/>
                <w:szCs w:val="20"/>
                <w:color w:val="auto"/>
              </w:rPr>
            </w:pPr>
            <w:r>
              <w:rPr>
                <w:rFonts w:ascii="Arial" w:cs="Arial" w:eastAsia="Arial" w:hAnsi="Arial"/>
                <w:sz w:val="13"/>
                <w:szCs w:val="13"/>
                <w:b w:val="1"/>
                <w:bCs w:val="1"/>
                <w:color w:val="auto"/>
                <w:w w:val="87"/>
              </w:rPr>
              <w:t>( State or other jurisdiction of</w:t>
            </w:r>
          </w:p>
        </w:tc>
        <w:tc>
          <w:tcPr>
            <w:tcW w:w="3060" w:type="dxa"/>
            <w:vAlign w:val="bottom"/>
          </w:tcPr>
          <w:p>
            <w:pPr>
              <w:jc w:val="center"/>
              <w:ind w:left="200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180" w:type="dxa"/>
            <w:vAlign w:val="bottom"/>
          </w:tcPr>
          <w:p>
            <w:pPr>
              <w:jc w:val="center"/>
              <w:ind w:right="2023"/>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3060" w:type="dxa"/>
            <w:vAlign w:val="bottom"/>
          </w:tcPr>
          <w:p>
            <w:pPr>
              <w:jc w:val="center"/>
              <w:ind w:left="200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90"/>
              </w:rPr>
              <w:t>555 Turnpike Street</w:t>
            </w:r>
          </w:p>
        </w:tc>
        <w:tc>
          <w:tcPr>
            <w:tcW w:w="3060" w:type="dxa"/>
            <w:vAlign w:val="bottom"/>
          </w:tcPr>
          <w:p>
            <w:pPr>
              <w:spacing w:after="0"/>
              <w:rPr>
                <w:sz w:val="18"/>
                <w:szCs w:val="18"/>
                <w:color w:val="auto"/>
              </w:rPr>
            </w:pPr>
          </w:p>
        </w:tc>
      </w:tr>
      <w:tr>
        <w:trPr>
          <w:trHeight w:val="216"/>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95"/>
              </w:rPr>
              <w:t>Canton, MA</w:t>
            </w:r>
          </w:p>
        </w:tc>
        <w:tc>
          <w:tcPr>
            <w:tcW w:w="3060" w:type="dxa"/>
            <w:vAlign w:val="bottom"/>
          </w:tcPr>
          <w:p>
            <w:pPr>
              <w:jc w:val="right"/>
              <w:ind w:right="186"/>
              <w:spacing w:after="0"/>
              <w:rPr>
                <w:sz w:val="20"/>
                <w:szCs w:val="20"/>
                <w:color w:val="auto"/>
              </w:rPr>
            </w:pPr>
            <w:r>
              <w:rPr>
                <w:rFonts w:ascii="Arial" w:cs="Arial" w:eastAsia="Arial" w:hAnsi="Arial"/>
                <w:sz w:val="18"/>
                <w:szCs w:val="18"/>
                <w:b w:val="1"/>
                <w:bCs w:val="1"/>
                <w:color w:val="auto"/>
              </w:rPr>
              <w:t>02021</w:t>
            </w:r>
          </w:p>
        </w:tc>
      </w:tr>
      <w:tr>
        <w:trPr>
          <w:trHeight w:val="164"/>
        </w:trPr>
        <w:tc>
          <w:tcPr>
            <w:tcW w:w="4180" w:type="dxa"/>
            <w:vAlign w:val="bottom"/>
          </w:tcPr>
          <w:p>
            <w:pPr>
              <w:jc w:val="center"/>
              <w:ind w:right="202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60" w:type="dxa"/>
            <w:vAlign w:val="bottom"/>
          </w:tcPr>
          <w:p>
            <w:pPr>
              <w:jc w:val="center"/>
              <w:ind w:left="2006"/>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137795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8" w:lineRule="exact"/>
        <w:rPr>
          <w:sz w:val="24"/>
          <w:szCs w:val="24"/>
          <w:color w:val="auto"/>
        </w:rPr>
      </w:pPr>
    </w:p>
    <w:p>
      <w:pPr>
        <w:ind w:right="100" w:firstLine="60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207"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113" w:lineRule="exact"/>
        <w:rPr>
          <w:sz w:val="24"/>
          <w:szCs w:val="24"/>
          <w:color w:val="auto"/>
        </w:rPr>
      </w:pPr>
    </w:p>
    <w:p>
      <w:pPr>
        <w:jc w:val="both"/>
        <w:ind w:right="280" w:firstLine="608"/>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80" w:lineRule="exact"/>
        <w:rPr>
          <w:sz w:val="24"/>
          <w:szCs w:val="24"/>
          <w:color w:val="auto"/>
        </w:rPr>
      </w:pPr>
    </w:p>
    <w:p>
      <w:pPr>
        <w:jc w:val="both"/>
        <w:ind w:right="360" w:firstLine="60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0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ind w:left="16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5060" w:type="dxa"/>
            <w:vAlign w:val="bottom"/>
          </w:tcPr>
          <w:p>
            <w:pPr>
              <w:ind w:left="2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 reporting company)</w:t>
            </w:r>
          </w:p>
        </w:tc>
        <w:tc>
          <w:tcPr>
            <w:tcW w:w="3780" w:type="dxa"/>
            <w:vAlign w:val="bottom"/>
          </w:tcPr>
          <w:p>
            <w:pPr>
              <w:ind w:left="16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50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100" w:lineRule="exact"/>
        <w:rPr>
          <w:sz w:val="24"/>
          <w:szCs w:val="24"/>
          <w:color w:val="auto"/>
        </w:rPr>
      </w:pPr>
    </w:p>
    <w:p>
      <w:pPr>
        <w:ind w:right="80" w:firstLine="60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0" w:lineRule="exact"/>
        <w:rPr>
          <w:sz w:val="24"/>
          <w:szCs w:val="24"/>
          <w:color w:val="auto"/>
        </w:rPr>
      </w:pPr>
    </w:p>
    <w:p>
      <w:pPr>
        <w:ind w:right="2120" w:firstLine="608"/>
        <w:spacing w:after="0" w:line="2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r>
        <w:rPr>
          <w:rFonts w:ascii="Arial" w:cs="Arial" w:eastAsia="Arial" w:hAnsi="Arial"/>
          <w:sz w:val="16"/>
          <w:szCs w:val="16"/>
          <w:color w:val="auto"/>
        </w:rPr>
        <w:t xml:space="preserve"> As of August 15, 2017, the registrant had </w:t>
      </w:r>
      <w:r>
        <w:rPr>
          <w:rFonts w:ascii="Arial" w:cs="Arial" w:eastAsia="Arial" w:hAnsi="Arial"/>
          <w:sz w:val="18"/>
          <w:szCs w:val="18"/>
          <w:color w:val="auto"/>
        </w:rPr>
        <w:t>48,655,223</w:t>
      </w:r>
      <w:r>
        <w:rPr>
          <w:rFonts w:ascii="Arial" w:cs="Arial" w:eastAsia="Arial" w:hAnsi="Arial"/>
          <w:sz w:val="16"/>
          <w:szCs w:val="16"/>
          <w:color w:val="auto"/>
        </w:rPr>
        <w:t xml:space="preserve">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519430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color w:val="auto"/>
              </w:rPr>
              <w:t>July 29, 2017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color w:val="auto"/>
                <w:w w:val="99"/>
              </w:rPr>
              <w:t>January 28, 2017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4"/>
                <w:szCs w:val="14"/>
                <w:color w:val="auto"/>
              </w:rPr>
              <w:t>(Fiscal 2017)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0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0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1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1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134,379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7"/>
              </w:rPr>
              <w:t>Property and equipment, net of accumulated depreciation and amortization</w:t>
            </w:r>
          </w:p>
        </w:tc>
        <w:tc>
          <w:tcPr>
            <w:tcW w:w="1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0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1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1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assets</w:t>
            </w:r>
          </w:p>
        </w:tc>
        <w:tc>
          <w:tcPr>
            <w:tcW w:w="17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260,372</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269,328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1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2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3,758</w:t>
            </w:r>
          </w:p>
        </w:tc>
        <w:tc>
          <w:tcPr>
            <w:tcW w:w="16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6,941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deferred gain on sale-leaseback</w:t>
            </w:r>
          </w:p>
        </w:tc>
        <w:tc>
          <w:tcPr>
            <w:tcW w:w="1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31,767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Borrowings under credit facility</w:t>
            </w:r>
          </w:p>
        </w:tc>
        <w:tc>
          <w:tcPr>
            <w:tcW w:w="1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53,447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liabilities:</w:t>
            </w:r>
          </w:p>
        </w:tc>
        <w:tc>
          <w:tcPr>
            <w:tcW w:w="1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240"/>
              <w:spacing w:after="0"/>
              <w:rPr>
                <w:sz w:val="20"/>
                <w:szCs w:val="20"/>
                <w:color w:val="auto"/>
              </w:rPr>
            </w:pPr>
            <w:r>
              <w:rPr>
                <w:rFonts w:ascii="Arial" w:cs="Arial" w:eastAsia="Arial" w:hAnsi="Arial"/>
                <w:sz w:val="18"/>
                <w:szCs w:val="18"/>
                <w:color w:val="auto"/>
              </w:rPr>
              <w:t>Long-term debt, net of current portion</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rent and lease incentives</w:t>
            </w:r>
          </w:p>
        </w:tc>
        <w:tc>
          <w:tcPr>
            <w:tcW w:w="1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36,805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240"/>
              <w:spacing w:after="0"/>
              <w:rPr>
                <w:sz w:val="20"/>
                <w:szCs w:val="20"/>
                <w:color w:val="auto"/>
              </w:rPr>
            </w:pPr>
            <w:r>
              <w:rPr>
                <w:rFonts w:ascii="Arial" w:cs="Arial" w:eastAsia="Arial" w:hAnsi="Arial"/>
                <w:sz w:val="18"/>
                <w:szCs w:val="18"/>
                <w:color w:val="auto"/>
              </w:rPr>
              <w:t>Deferred gain on sale-leaseback, net of current portion</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 liability</w:t>
            </w:r>
          </w:p>
        </w:tc>
        <w:tc>
          <w:tcPr>
            <w:tcW w:w="1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long-term liabilities</w:t>
            </w:r>
          </w:p>
        </w:tc>
        <w:tc>
          <w:tcPr>
            <w:tcW w:w="1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long-term liabilities</w:t>
            </w:r>
          </w:p>
        </w:tc>
        <w:tc>
          <w:tcPr>
            <w:tcW w:w="1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64,717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0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Stockholders' equity:</w:t>
            </w:r>
          </w:p>
        </w:tc>
        <w:tc>
          <w:tcPr>
            <w:tcW w:w="1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240"/>
              <w:spacing w:after="0"/>
              <w:rPr>
                <w:sz w:val="20"/>
                <w:szCs w:val="20"/>
                <w:color w:val="auto"/>
              </w:rPr>
            </w:pPr>
            <w:r>
              <w:rPr>
                <w:rFonts w:ascii="Arial" w:cs="Arial" w:eastAsia="Arial" w:hAnsi="Arial"/>
                <w:sz w:val="18"/>
                <w:szCs w:val="18"/>
                <w:color w:val="auto"/>
                <w:w w:val="96"/>
              </w:rPr>
              <w:t>Preferred stock, $0.01 par value, 1,000,000 shares authorized, none issued</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89"/>
              </w:rPr>
              <w:t>Common stock, $0.01 par value, 100,000,000 shares authorized, 61,337,634 and</w:t>
            </w:r>
          </w:p>
        </w:tc>
        <w:tc>
          <w:tcPr>
            <w:tcW w:w="200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w w:val="88"/>
              </w:rPr>
              <w:t>61,637,164 shares</w:t>
            </w: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issued at July 29, 2017 and January 28, 2017, respectively</w:t>
            </w:r>
          </w:p>
        </w:tc>
        <w:tc>
          <w:tcPr>
            <w:tcW w:w="1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306,515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304,466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Treasury stock at cost, 12,755,873 and 10,877,439 shares at July 29, 2017 and January 28, 2017,</w:t>
            </w: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respectively</w:t>
            </w:r>
          </w:p>
        </w:tc>
        <w:tc>
          <w:tcPr>
            <w:tcW w:w="1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(92,658)</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(132,363)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(122,567)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1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(5,381)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stockholders' equity</w:t>
            </w:r>
          </w:p>
        </w:tc>
        <w:tc>
          <w:tcPr>
            <w:tcW w:w="17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76,726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260,372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269,328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0" w:type="dxa"/>
            <w:vAlign w:val="bottom"/>
            <w:gridSpan w:val="5"/>
          </w:tcPr>
          <w:p>
            <w:pPr>
              <w:jc w:val="right"/>
              <w:ind w:right="840"/>
              <w:spacing w:after="0"/>
              <w:rPr>
                <w:sz w:val="20"/>
                <w:szCs w:val="20"/>
                <w:color w:val="auto"/>
              </w:rPr>
            </w:pPr>
            <w:r>
              <w:rPr>
                <w:rFonts w:ascii="Arial" w:cs="Arial" w:eastAsia="Arial" w:hAnsi="Arial"/>
                <w:sz w:val="14"/>
                <w:szCs w:val="14"/>
                <w:color w:val="auto"/>
              </w:rPr>
              <w:t>For the Three Months Ended</w:t>
            </w:r>
          </w:p>
        </w:tc>
        <w:tc>
          <w:tcPr>
            <w:tcW w:w="300" w:type="dxa"/>
            <w:vAlign w:val="bottom"/>
          </w:tcPr>
          <w:p>
            <w:pPr>
              <w:spacing w:after="0"/>
              <w:rPr>
                <w:sz w:val="14"/>
                <w:szCs w:val="14"/>
                <w:color w:val="auto"/>
              </w:rPr>
            </w:pPr>
          </w:p>
        </w:tc>
        <w:tc>
          <w:tcPr>
            <w:tcW w:w="2960" w:type="dxa"/>
            <w:vAlign w:val="bottom"/>
            <w:gridSpan w:val="5"/>
          </w:tcPr>
          <w:p>
            <w:pPr>
              <w:jc w:val="right"/>
              <w:ind w:right="88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4"/>
                <w:szCs w:val="14"/>
                <w:color w:val="auto"/>
              </w:rPr>
              <w:t>July 29, 2017</w:t>
            </w:r>
          </w:p>
        </w:tc>
        <w:tc>
          <w:tcPr>
            <w:tcW w:w="18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color w:val="auto"/>
              </w:rPr>
              <w:t>July 30, 2016</w:t>
            </w:r>
          </w:p>
        </w:tc>
        <w:tc>
          <w:tcPr>
            <w:tcW w:w="30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July 29, 2017</w:t>
            </w:r>
          </w:p>
        </w:tc>
        <w:tc>
          <w:tcPr>
            <w:tcW w:w="28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color w:val="auto"/>
              </w:rPr>
              <w:t>July 30, 2016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4"/>
                <w:szCs w:val="14"/>
                <w:color w:val="auto"/>
              </w:rPr>
              <w:t>(Fiscal 2017)</w:t>
            </w:r>
          </w:p>
        </w:tc>
        <w:tc>
          <w:tcPr>
            <w:tcW w:w="18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color w:val="auto"/>
              </w:rPr>
              <w:t>(Fiscal 2016)</w:t>
            </w:r>
          </w:p>
        </w:tc>
        <w:tc>
          <w:tcPr>
            <w:tcW w:w="30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(Fiscal 2017)</w:t>
            </w:r>
          </w:p>
        </w:tc>
        <w:tc>
          <w:tcPr>
            <w:tcW w:w="28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color w:val="auto"/>
              </w:rPr>
              <w:t>(Fiscal 2016)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9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121,125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117,875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228,754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225,766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 including occupancy costs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65,308</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63,032</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124,249</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55,817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54,843</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104,505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49,068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95,236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9,621</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7,527</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17,375</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58,689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53,826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112,611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(2,872)</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(8,106)</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(824)</w:t>
            </w:r>
          </w:p>
        </w:tc>
        <w:tc>
          <w:tcPr>
            <w:tcW w:w="1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(783)</w:t>
            </w:r>
          </w:p>
        </w:tc>
        <w:tc>
          <w:tcPr>
            <w:tcW w:w="3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(1,626)</w:t>
            </w:r>
          </w:p>
        </w:tc>
        <w:tc>
          <w:tcPr>
            <w:tcW w:w="2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20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(3,696)</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(9,732)</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(3,731)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3"/>
                <w:szCs w:val="23"/>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(9,796)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 basic and diluted</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(0.20)</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4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48,556</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49,531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49,146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48,556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49,953</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49,146</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jc w:val="right"/>
              <w:ind w:right="640"/>
              <w:spacing w:after="0"/>
              <w:rPr>
                <w:sz w:val="20"/>
                <w:szCs w:val="20"/>
                <w:color w:val="auto"/>
              </w:rPr>
            </w:pPr>
            <w:r>
              <w:rPr>
                <w:rFonts w:ascii="Arial" w:cs="Arial" w:eastAsia="Arial" w:hAnsi="Arial"/>
                <w:sz w:val="14"/>
                <w:szCs w:val="14"/>
                <w:color w:val="auto"/>
              </w:rPr>
              <w:t>For the Three Months Ended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80" w:type="dxa"/>
            <w:vAlign w:val="bottom"/>
            <w:gridSpan w:val="5"/>
          </w:tcPr>
          <w:p>
            <w:pPr>
              <w:jc w:val="right"/>
              <w:ind w:right="88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color w:val="auto"/>
              </w:rPr>
              <w:t>July 29, 2017</w:t>
            </w:r>
          </w:p>
        </w:tc>
        <w:tc>
          <w:tcPr>
            <w:tcW w:w="120" w:type="dxa"/>
            <w:vAlign w:val="bottom"/>
          </w:tcPr>
          <w:p>
            <w:pPr>
              <w:spacing w:after="0"/>
              <w:rPr>
                <w:sz w:val="15"/>
                <w:szCs w:val="15"/>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color w:val="auto"/>
                <w:w w:val="96"/>
              </w:rPr>
              <w:t>July 30, 2016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July 29, 2017</w:t>
            </w:r>
          </w:p>
        </w:tc>
        <w:tc>
          <w:tcPr>
            <w:tcW w:w="160" w:type="dxa"/>
            <w:vAlign w:val="bottom"/>
          </w:tcPr>
          <w:p>
            <w:pPr>
              <w:spacing w:after="0"/>
              <w:rPr>
                <w:sz w:val="15"/>
                <w:szCs w:val="15"/>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4"/>
                <w:szCs w:val="14"/>
                <w:color w:val="auto"/>
              </w:rPr>
              <w:t>July 30, 2016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color w:val="auto"/>
              </w:rPr>
              <w:t>(Fiscal 2017)</w:t>
            </w:r>
          </w:p>
        </w:tc>
        <w:tc>
          <w:tcPr>
            <w:tcW w:w="12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color w:val="auto"/>
                <w:w w:val="98"/>
              </w:rPr>
              <w:t>(Fiscal 2016)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(Fiscal 2017)</w:t>
            </w:r>
          </w:p>
        </w:tc>
        <w:tc>
          <w:tcPr>
            <w:tcW w:w="160" w:type="dxa"/>
            <w:vAlign w:val="bottom"/>
          </w:tcPr>
          <w:p>
            <w:pPr>
              <w:spacing w:after="0"/>
              <w:rPr>
                <w:sz w:val="14"/>
                <w:szCs w:val="1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5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(3,731)</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before taxes:</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Foreign currency translation</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plans</w:t>
            </w:r>
          </w:p>
        </w:tc>
        <w:tc>
          <w:tcPr>
            <w:tcW w:w="5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80"/>
              <w:spacing w:after="0"/>
              <w:rPr>
                <w:sz w:val="20"/>
                <w:szCs w:val="20"/>
                <w:color w:val="auto"/>
              </w:rPr>
            </w:pPr>
            <w:r>
              <w:rPr>
                <w:rFonts w:ascii="Arial" w:cs="Arial" w:eastAsia="Arial" w:hAnsi="Arial"/>
                <w:sz w:val="18"/>
                <w:szCs w:val="18"/>
                <w:color w:val="auto"/>
              </w:rPr>
              <w:t>Other comprehensive income before taxes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Tax provision related to items of other comprehensive income</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w:t>
            </w: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color w:val="auto"/>
              </w:rPr>
              <w:t>Additional</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color w:val="auto"/>
              </w:rPr>
              <w:t>Common Stock</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Paid-in</w:t>
            </w:r>
          </w:p>
        </w:tc>
        <w:tc>
          <w:tcPr>
            <w:tcW w:w="1740" w:type="dxa"/>
            <w:vAlign w:val="bottom"/>
            <w:gridSpan w:val="5"/>
          </w:tcPr>
          <w:p>
            <w:pPr>
              <w:jc w:val="right"/>
              <w:ind w:right="499"/>
              <w:spacing w:after="0"/>
              <w:rPr>
                <w:sz w:val="20"/>
                <w:szCs w:val="20"/>
                <w:color w:val="auto"/>
              </w:rPr>
            </w:pPr>
            <w:r>
              <w:rPr>
                <w:rFonts w:ascii="Arial" w:cs="Arial" w:eastAsia="Arial" w:hAnsi="Arial"/>
                <w:sz w:val="14"/>
                <w:szCs w:val="14"/>
                <w:color w:val="auto"/>
              </w:rPr>
              <w:t>Treasury Stock</w:t>
            </w:r>
          </w:p>
        </w:tc>
        <w:tc>
          <w:tcPr>
            <w:tcW w:w="900" w:type="dxa"/>
            <w:vAlign w:val="bottom"/>
            <w:gridSpan w:val="3"/>
          </w:tcPr>
          <w:p>
            <w:pPr>
              <w:spacing w:after="0"/>
              <w:rPr>
                <w:sz w:val="20"/>
                <w:szCs w:val="20"/>
                <w:color w:val="auto"/>
              </w:rPr>
            </w:pPr>
            <w:r>
              <w:rPr>
                <w:rFonts w:ascii="Arial" w:cs="Arial" w:eastAsia="Arial" w:hAnsi="Arial"/>
                <w:sz w:val="14"/>
                <w:szCs w:val="14"/>
                <w:color w:val="auto"/>
              </w:rPr>
              <w:t>Accumulated</w:t>
            </w:r>
          </w:p>
        </w:tc>
        <w:tc>
          <w:tcPr>
            <w:tcW w:w="1200" w:type="dxa"/>
            <w:vAlign w:val="bottom"/>
            <w:gridSpan w:val="4"/>
          </w:tcPr>
          <w:p>
            <w:pPr>
              <w:jc w:val="center"/>
              <w:ind w:right="140"/>
              <w:spacing w:after="0"/>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428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color w:val="auto"/>
              </w:rPr>
              <w:t>Amounts</w:t>
            </w: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Capital</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Shares</w:t>
            </w:r>
          </w:p>
        </w:tc>
        <w:tc>
          <w:tcPr>
            <w:tcW w:w="860" w:type="dxa"/>
            <w:vAlign w:val="bottom"/>
            <w:gridSpan w:val="3"/>
          </w:tcPr>
          <w:p>
            <w:pPr>
              <w:jc w:val="right"/>
              <w:ind w:right="239"/>
              <w:spacing w:after="0"/>
              <w:rPr>
                <w:sz w:val="20"/>
                <w:szCs w:val="20"/>
                <w:color w:val="auto"/>
              </w:rPr>
            </w:pPr>
            <w:r>
              <w:rPr>
                <w:rFonts w:ascii="Arial" w:cs="Arial" w:eastAsia="Arial" w:hAnsi="Arial"/>
                <w:sz w:val="14"/>
                <w:szCs w:val="14"/>
                <w:color w:val="auto"/>
              </w:rPr>
              <w:t>Amounts</w:t>
            </w:r>
          </w:p>
        </w:tc>
        <w:tc>
          <w:tcPr>
            <w:tcW w:w="120" w:type="dxa"/>
            <w:vAlign w:val="bottom"/>
          </w:tcPr>
          <w:p>
            <w:pPr>
              <w:spacing w:after="0"/>
              <w:rPr>
                <w:sz w:val="14"/>
                <w:szCs w:val="14"/>
                <w:color w:val="auto"/>
              </w:rPr>
            </w:pPr>
          </w:p>
        </w:tc>
        <w:tc>
          <w:tcPr>
            <w:tcW w:w="780" w:type="dxa"/>
            <w:vAlign w:val="bottom"/>
            <w:gridSpan w:val="2"/>
          </w:tcPr>
          <w:p>
            <w:pPr>
              <w:jc w:val="right"/>
              <w:ind w:right="248"/>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color w:val="auto"/>
                <w:w w:val="92"/>
              </w:rPr>
              <w:t>Income (Loss)</w:t>
            </w:r>
          </w:p>
        </w:tc>
        <w:tc>
          <w:tcPr>
            <w:tcW w:w="12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Total</w:t>
            </w:r>
          </w:p>
        </w:tc>
      </w:tr>
      <w:tr>
        <w:trPr>
          <w:trHeight w:val="156"/>
        </w:trPr>
        <w:tc>
          <w:tcPr>
            <w:tcW w:w="42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January 28, 2017</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61,637</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616</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304,466</w:t>
            </w:r>
          </w:p>
        </w:tc>
        <w:tc>
          <w:tcPr>
            <w:tcW w:w="20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(10,877)</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5"/>
              </w:rPr>
              <w:t>(87,977)</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(122,567)</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(6,018)</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88,520</w:t>
            </w:r>
          </w:p>
        </w:tc>
        <w:tc>
          <w:tcPr>
            <w:tcW w:w="60" w:type="dxa"/>
            <w:vAlign w:val="bottom"/>
            <w:tcBorders>
              <w:top w:val="single" w:sz="8" w:color="CFF0FC"/>
            </w:tcBorders>
            <w:shd w:val="clear" w:color="auto" w:fill="CFF0FC"/>
          </w:tcPr>
          <w:p>
            <w:pPr>
              <w:spacing w:after="0"/>
              <w:rPr>
                <w:sz w:val="13"/>
                <w:szCs w:val="13"/>
                <w:color w:val="auto"/>
              </w:rPr>
            </w:pPr>
          </w:p>
        </w:tc>
      </w:t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Board of Directors compensation</w:t>
            </w:r>
          </w:p>
        </w:tc>
        <w:tc>
          <w:tcPr>
            <w:tcW w:w="640" w:type="dxa"/>
            <w:vAlign w:val="bottom"/>
          </w:tcPr>
          <w:p>
            <w:pPr>
              <w:jc w:val="right"/>
              <w:spacing w:after="0"/>
              <w:rPr>
                <w:sz w:val="20"/>
                <w:szCs w:val="20"/>
                <w:color w:val="auto"/>
              </w:rPr>
            </w:pPr>
            <w:r>
              <w:rPr>
                <w:rFonts w:ascii="Arial" w:cs="Arial" w:eastAsia="Arial" w:hAnsi="Arial"/>
                <w:sz w:val="14"/>
                <w:szCs w:val="14"/>
                <w:color w:val="auto"/>
              </w:rPr>
              <w:t>58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285</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286</w:t>
            </w:r>
          </w:p>
        </w:tc>
        <w:tc>
          <w:tcPr>
            <w:tcW w:w="60" w:type="dxa"/>
            <w:vAlign w:val="bottom"/>
          </w:tcPr>
          <w:p>
            <w:pPr>
              <w:spacing w:after="0"/>
              <w:rPr>
                <w:sz w:val="14"/>
                <w:szCs w:val="14"/>
                <w:color w:val="auto"/>
              </w:rPr>
            </w:pPr>
          </w:p>
        </w:tc>
      </w:tr>
      <w:tr>
        <w:trPr>
          <w:trHeight w:val="162"/>
        </w:trPr>
        <w:tc>
          <w:tcPr>
            <w:tcW w:w="4280" w:type="dxa"/>
            <w:vAlign w:val="bottom"/>
            <w:shd w:val="clear" w:color="auto" w:fill="CFF0FC"/>
          </w:tcPr>
          <w:p>
            <w:pPr>
              <w:spacing w:after="0"/>
              <w:rPr>
                <w:sz w:val="20"/>
                <w:szCs w:val="20"/>
                <w:color w:val="auto"/>
              </w:rPr>
            </w:pPr>
            <w:r>
              <w:rPr>
                <w:rFonts w:ascii="Arial" w:cs="Arial" w:eastAsia="Arial" w:hAnsi="Arial"/>
                <w:sz w:val="14"/>
                <w:szCs w:val="14"/>
                <w:color w:val="auto"/>
              </w:rPr>
              <w:t>Stock compensation expense</w:t>
            </w: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840</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840</w:t>
            </w:r>
          </w:p>
        </w:tc>
        <w:tc>
          <w:tcPr>
            <w:tcW w:w="60" w:type="dxa"/>
            <w:vAlign w:val="bottom"/>
            <w:shd w:val="clear" w:color="auto" w:fill="CFF0FC"/>
          </w:tcPr>
          <w:p>
            <w:pPr>
              <w:spacing w:after="0"/>
              <w:rPr>
                <w:sz w:val="14"/>
                <w:szCs w:val="14"/>
                <w:color w:val="auto"/>
              </w:rPr>
            </w:pPr>
          </w:p>
        </w:tc>
      </w:t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Restricted Stock issued, reclass from liability to equity (Note 3)</w:t>
            </w:r>
          </w:p>
        </w:tc>
        <w:tc>
          <w:tcPr>
            <w:tcW w:w="640" w:type="dxa"/>
            <w:vAlign w:val="bottom"/>
          </w:tcPr>
          <w:p>
            <w:pPr>
              <w:jc w:val="right"/>
              <w:spacing w:after="0"/>
              <w:rPr>
                <w:sz w:val="20"/>
                <w:szCs w:val="20"/>
                <w:color w:val="auto"/>
              </w:rPr>
            </w:pPr>
            <w:r>
              <w:rPr>
                <w:rFonts w:ascii="Arial" w:cs="Arial" w:eastAsia="Arial" w:hAnsi="Arial"/>
                <w:sz w:val="14"/>
                <w:szCs w:val="14"/>
                <w:color w:val="auto"/>
              </w:rPr>
              <w:t>425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916</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920</w:t>
            </w:r>
          </w:p>
        </w:tc>
        <w:tc>
          <w:tcPr>
            <w:tcW w:w="60" w:type="dxa"/>
            <w:vAlign w:val="bottom"/>
          </w:tcPr>
          <w:p>
            <w:pPr>
              <w:spacing w:after="0"/>
              <w:rPr>
                <w:sz w:val="14"/>
                <w:szCs w:val="14"/>
                <w:color w:val="auto"/>
              </w:rPr>
            </w:pPr>
          </w:p>
        </w:tc>
      </w:tr>
      <w:tr>
        <w:trPr>
          <w:trHeight w:val="162"/>
        </w:trPr>
        <w:tc>
          <w:tcPr>
            <w:tcW w:w="4280" w:type="dxa"/>
            <w:vAlign w:val="bottom"/>
            <w:shd w:val="clear" w:color="auto" w:fill="CFF0FC"/>
          </w:tcPr>
          <w:p>
            <w:pPr>
              <w:spacing w:after="0"/>
              <w:rPr>
                <w:sz w:val="20"/>
                <w:szCs w:val="20"/>
                <w:color w:val="auto"/>
              </w:rPr>
            </w:pPr>
            <w:r>
              <w:rPr>
                <w:rFonts w:ascii="Arial" w:cs="Arial" w:eastAsia="Arial" w:hAnsi="Arial"/>
                <w:sz w:val="14"/>
                <w:szCs w:val="14"/>
                <w:color w:val="auto"/>
              </w:rPr>
              <w:t>Cancellations of restricted stock, net of issuances</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(788)</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Deferred stock vested</w:t>
            </w: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62"/>
        </w:trPr>
        <w:tc>
          <w:tcPr>
            <w:tcW w:w="4280" w:type="dxa"/>
            <w:vAlign w:val="bottom"/>
            <w:shd w:val="clear" w:color="auto" w:fill="CFF0FC"/>
          </w:tcPr>
          <w:p>
            <w:pPr>
              <w:spacing w:after="0"/>
              <w:rPr>
                <w:sz w:val="20"/>
                <w:szCs w:val="20"/>
                <w:color w:val="auto"/>
              </w:rPr>
            </w:pPr>
            <w:r>
              <w:rPr>
                <w:rFonts w:ascii="Arial" w:cs="Arial" w:eastAsia="Arial" w:hAnsi="Arial"/>
                <w:sz w:val="14"/>
                <w:szCs w:val="14"/>
                <w:color w:val="auto"/>
              </w:rPr>
              <w:t>Repurchase of common stock</w:t>
            </w: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(1,878)</w:t>
            </w: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39"/>
              <w:spacing w:after="0"/>
              <w:rPr>
                <w:sz w:val="20"/>
                <w:szCs w:val="20"/>
                <w:color w:val="auto"/>
              </w:rPr>
            </w:pPr>
            <w:r>
              <w:rPr>
                <w:rFonts w:ascii="Arial" w:cs="Arial" w:eastAsia="Arial" w:hAnsi="Arial"/>
                <w:sz w:val="14"/>
                <w:szCs w:val="14"/>
                <w:color w:val="auto"/>
              </w:rPr>
              <w:t>(4,681)</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(4,681)</w:t>
            </w:r>
          </w:p>
        </w:tc>
      </w:t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Accumulated other comprehensive income (loss):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Pension plan</w:t>
            </w: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421</w:t>
            </w:r>
          </w:p>
        </w:tc>
        <w:tc>
          <w:tcPr>
            <w:tcW w:w="60" w:type="dxa"/>
            <w:vAlign w:val="bottom"/>
            <w:shd w:val="clear" w:color="auto" w:fill="CFF0FC"/>
          </w:tcPr>
          <w:p>
            <w:pPr>
              <w:spacing w:after="0"/>
              <w:rPr>
                <w:sz w:val="14"/>
                <w:szCs w:val="14"/>
                <w:color w:val="auto"/>
              </w:rPr>
            </w:pPr>
          </w:p>
        </w:tc>
      </w:tr>
      <w:tr>
        <w:trPr>
          <w:trHeight w:val="162"/>
        </w:trPr>
        <w:tc>
          <w:tcPr>
            <w:tcW w:w="4280" w:type="dxa"/>
            <w:vAlign w:val="bottom"/>
          </w:tcPr>
          <w:p>
            <w:pPr>
              <w:ind w:left="260"/>
              <w:spacing w:after="0"/>
              <w:rPr>
                <w:sz w:val="20"/>
                <w:szCs w:val="20"/>
                <w:color w:val="auto"/>
              </w:rPr>
            </w:pPr>
            <w:r>
              <w:rPr>
                <w:rFonts w:ascii="Arial" w:cs="Arial" w:eastAsia="Arial" w:hAnsi="Arial"/>
                <w:sz w:val="14"/>
                <w:szCs w:val="14"/>
                <w:color w:val="auto"/>
              </w:rPr>
              <w:t>Foreign currency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216</w:t>
            </w:r>
          </w:p>
        </w:tc>
        <w:tc>
          <w:tcPr>
            <w:tcW w:w="60" w:type="dxa"/>
            <w:vAlign w:val="bottom"/>
          </w:tcPr>
          <w:p>
            <w:pPr>
              <w:spacing w:after="0"/>
              <w:rPr>
                <w:sz w:val="14"/>
                <w:szCs w:val="14"/>
                <w:color w:val="auto"/>
              </w:rPr>
            </w:pPr>
          </w:p>
        </w:tc>
      </w:tr>
      <w:tr>
        <w:trPr>
          <w:trHeight w:val="162"/>
        </w:trPr>
        <w:tc>
          <w:tcPr>
            <w:tcW w:w="428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(9,796)</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(9,796)</w:t>
            </w:r>
          </w:p>
        </w:tc>
      </w:tr>
      <w:tr>
        <w:trPr>
          <w:trHeight w:val="156"/>
        </w:trPr>
        <w:tc>
          <w:tcPr>
            <w:tcW w:w="4280" w:type="dxa"/>
            <w:vAlign w:val="bottom"/>
          </w:tcPr>
          <w:p>
            <w:pPr>
              <w:spacing w:after="0" w:line="155" w:lineRule="exact"/>
              <w:rPr>
                <w:sz w:val="20"/>
                <w:szCs w:val="20"/>
                <w:color w:val="auto"/>
              </w:rPr>
            </w:pPr>
            <w:r>
              <w:rPr>
                <w:rFonts w:ascii="Arial" w:cs="Arial" w:eastAsia="Arial" w:hAnsi="Arial"/>
                <w:sz w:val="14"/>
                <w:szCs w:val="14"/>
                <w:color w:val="auto"/>
              </w:rPr>
              <w:t>Balance at July 29, 2017</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61,337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613</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306,515</w:t>
            </w:r>
          </w:p>
        </w:tc>
        <w:tc>
          <w:tcPr>
            <w:tcW w:w="2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(12,755)</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(92,658</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(132,363</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(5,381)</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76,726</w:t>
            </w:r>
          </w:p>
        </w:tc>
        <w:tc>
          <w:tcPr>
            <w:tcW w:w="60" w:type="dxa"/>
            <w:vAlign w:val="bottom"/>
          </w:tcPr>
          <w:p>
            <w:pPr>
              <w:spacing w:after="0"/>
              <w:rPr>
                <w:sz w:val="13"/>
                <w:szCs w:val="13"/>
                <w:color w:val="auto"/>
              </w:rPr>
            </w:pPr>
          </w:p>
        </w:tc>
      </w:tr>
      <w:tr>
        <w:trPr>
          <w:trHeight w:val="20"/>
        </w:trPr>
        <w:tc>
          <w:tcPr>
            <w:tcW w:w="4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20" w:type="dxa"/>
            <w:vAlign w:val="bottom"/>
            <w:gridSpan w:val="5"/>
          </w:tcPr>
          <w:p>
            <w:pPr>
              <w:jc w:val="right"/>
              <w:ind w:right="108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4"/>
                <w:szCs w:val="14"/>
                <w:color w:val="auto"/>
              </w:rPr>
              <w:t>July 29, 2017</w:t>
            </w:r>
          </w:p>
        </w:tc>
        <w:tc>
          <w:tcPr>
            <w:tcW w:w="240" w:type="dxa"/>
            <w:vAlign w:val="bottom"/>
          </w:tcPr>
          <w:p>
            <w:pPr>
              <w:spacing w:after="0"/>
              <w:rPr>
                <w:sz w:val="14"/>
                <w:szCs w:val="14"/>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4"/>
                <w:szCs w:val="14"/>
                <w:color w:val="auto"/>
              </w:rPr>
              <w:t>July 30, 2016</w:t>
            </w:r>
          </w:p>
        </w:tc>
        <w:tc>
          <w:tcPr>
            <w:tcW w:w="0" w:type="dxa"/>
            <w:vAlign w:val="bottom"/>
          </w:tcPr>
          <w:p>
            <w:pPr>
              <w:spacing w:after="0"/>
              <w:rPr>
                <w:sz w:val="1"/>
                <w:szCs w:val="1"/>
                <w:color w:val="auto"/>
              </w:rPr>
            </w:pPr>
          </w:p>
        </w:tc>
      </w:tr>
      <w:tr>
        <w:trPr>
          <w:trHeight w:val="167"/>
        </w:trPr>
        <w:tc>
          <w:tcPr>
            <w:tcW w:w="7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4"/>
                <w:szCs w:val="14"/>
                <w:color w:val="auto"/>
              </w:rPr>
              <w:t>(Fiscal 2017)</w:t>
            </w:r>
          </w:p>
        </w:tc>
        <w:tc>
          <w:tcPr>
            <w:tcW w:w="240" w:type="dxa"/>
            <w:vAlign w:val="bottom"/>
          </w:tcPr>
          <w:p>
            <w:pPr>
              <w:spacing w:after="0"/>
              <w:rPr>
                <w:sz w:val="14"/>
                <w:szCs w:val="1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color w:val="auto"/>
              </w:rPr>
              <w:t>(Fiscal 2016)</w:t>
            </w: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(9,796)</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500"/>
              <w:spacing w:after="0"/>
              <w:rPr>
                <w:sz w:val="20"/>
                <w:szCs w:val="20"/>
                <w:color w:val="auto"/>
              </w:rPr>
            </w:pPr>
            <w:r>
              <w:rPr>
                <w:rFonts w:ascii="Arial" w:cs="Arial" w:eastAsia="Arial" w:hAnsi="Arial"/>
                <w:sz w:val="16"/>
                <w:szCs w:val="16"/>
                <w:color w:val="auto"/>
              </w:rPr>
              <w:t>Amortization of deferred gain on sale-leaseback</w:t>
            </w:r>
          </w:p>
        </w:tc>
        <w:tc>
          <w:tcPr>
            <w:tcW w:w="24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(732)</w:t>
            </w: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deferred debt issuance costs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17,375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taxes, net of valuation allowance</w:t>
            </w: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tcPr>
          <w:p>
            <w:pPr>
              <w:ind w:left="500"/>
              <w:spacing w:after="0"/>
              <w:rPr>
                <w:sz w:val="20"/>
                <w:szCs w:val="20"/>
                <w:color w:val="auto"/>
              </w:rPr>
            </w:pPr>
            <w:r>
              <w:rPr>
                <w:rFonts w:ascii="Arial" w:cs="Arial" w:eastAsia="Arial" w:hAnsi="Arial"/>
                <w:sz w:val="16"/>
                <w:szCs w:val="16"/>
                <w:color w:val="auto"/>
              </w:rPr>
              <w:t>Stock compensation expense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840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Board of Directors stock compensation</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1,567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(2,392)</w:t>
            </w: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(1,134)</w:t>
            </w: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3"/>
        </w:trPr>
        <w:tc>
          <w:tcPr>
            <w:tcW w:w="786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rent and lease incentives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500"/>
              <w:spacing w:after="0"/>
              <w:rPr>
                <w:sz w:val="20"/>
                <w:szCs w:val="20"/>
                <w:color w:val="auto"/>
              </w:rPr>
            </w:pPr>
            <w:r>
              <w:rPr>
                <w:rFonts w:ascii="Arial" w:cs="Arial" w:eastAsia="Arial" w:hAnsi="Arial"/>
                <w:sz w:val="16"/>
                <w:szCs w:val="16"/>
                <w:color w:val="auto"/>
              </w:rPr>
              <w:t>Accrued expenses and other liabilities</w:t>
            </w:r>
          </w:p>
        </w:tc>
        <w:tc>
          <w:tcPr>
            <w:tcW w:w="24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(1,214)</w:t>
            </w: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(5,696)</w:t>
            </w:r>
          </w:p>
        </w:tc>
        <w:tc>
          <w:tcPr>
            <w:tcW w:w="0" w:type="dxa"/>
            <w:vAlign w:val="bottom"/>
          </w:tcPr>
          <w:p>
            <w:pPr>
              <w:spacing w:after="0"/>
              <w:rPr>
                <w:sz w:val="1"/>
                <w:szCs w:val="1"/>
                <w:color w:val="auto"/>
              </w:rPr>
            </w:pPr>
          </w:p>
        </w:tc>
      </w:tr>
      <w:tr>
        <w:trPr>
          <w:trHeight w:val="210"/>
        </w:trPr>
        <w:tc>
          <w:tcPr>
            <w:tcW w:w="78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14,349</w:t>
            </w:r>
          </w:p>
        </w:tc>
        <w:tc>
          <w:tcPr>
            <w:tcW w:w="3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19,145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500"/>
              <w:spacing w:after="0"/>
              <w:rPr>
                <w:sz w:val="20"/>
                <w:szCs w:val="20"/>
                <w:color w:val="auto"/>
              </w:rPr>
            </w:pPr>
            <w:r>
              <w:rPr>
                <w:rFonts w:ascii="Arial" w:cs="Arial" w:eastAsia="Arial" w:hAnsi="Arial"/>
                <w:sz w:val="16"/>
                <w:szCs w:val="16"/>
                <w:color w:val="auto"/>
              </w:rPr>
              <w:t>Additions to property and equipment, net</w:t>
            </w:r>
          </w:p>
        </w:tc>
        <w:tc>
          <w:tcPr>
            <w:tcW w:w="24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(13,775)</w:t>
            </w: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(13,841)</w:t>
            </w:r>
          </w:p>
        </w:tc>
        <w:tc>
          <w:tcPr>
            <w:tcW w:w="0" w:type="dxa"/>
            <w:vAlign w:val="bottom"/>
          </w:tcPr>
          <w:p>
            <w:pPr>
              <w:spacing w:after="0"/>
              <w:rPr>
                <w:sz w:val="1"/>
                <w:szCs w:val="1"/>
                <w:color w:val="auto"/>
              </w:rPr>
            </w:pPr>
          </w:p>
        </w:tc>
      </w:tr>
      <w:tr>
        <w:trPr>
          <w:trHeight w:val="20"/>
        </w:trPr>
        <w:tc>
          <w:tcPr>
            <w:tcW w:w="786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Net cash used for investing activities</w:t>
            </w: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(13,775)</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(13,841)</w:t>
            </w:r>
          </w:p>
        </w:tc>
        <w:tc>
          <w:tcPr>
            <w:tcW w:w="0" w:type="dxa"/>
            <w:vAlign w:val="bottom"/>
          </w:tcPr>
          <w:p>
            <w:pPr>
              <w:spacing w:after="0"/>
              <w:rPr>
                <w:sz w:val="1"/>
                <w:szCs w:val="1"/>
                <w:color w:val="auto"/>
              </w:rPr>
            </w:pPr>
          </w:p>
        </w:tc>
      </w:tr>
      <w:tr>
        <w:trPr>
          <w:trHeight w:val="213"/>
        </w:trPr>
        <w:tc>
          <w:tcPr>
            <w:tcW w:w="78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500"/>
              <w:spacing w:after="0"/>
              <w:rPr>
                <w:sz w:val="20"/>
                <w:szCs w:val="20"/>
                <w:color w:val="auto"/>
              </w:rPr>
            </w:pPr>
            <w:r>
              <w:rPr>
                <w:rFonts w:ascii="Arial" w:cs="Arial" w:eastAsia="Arial" w:hAnsi="Arial"/>
                <w:sz w:val="16"/>
                <w:szCs w:val="16"/>
                <w:color w:val="auto"/>
              </w:rPr>
              <w:t>Repurchase of common stock</w:t>
            </w:r>
          </w:p>
        </w:tc>
        <w:tc>
          <w:tcPr>
            <w:tcW w:w="24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(4,681)</w:t>
            </w: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Principal payments on long-term debt</w:t>
            </w: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(4,208)</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(3,840)</w:t>
            </w:r>
          </w:p>
        </w:tc>
        <w:tc>
          <w:tcPr>
            <w:tcW w:w="0" w:type="dxa"/>
            <w:vAlign w:val="bottom"/>
          </w:tcPr>
          <w:p>
            <w:pPr>
              <w:spacing w:after="0"/>
              <w:rPr>
                <w:sz w:val="1"/>
                <w:szCs w:val="1"/>
                <w:color w:val="auto"/>
              </w:rPr>
            </w:pPr>
          </w:p>
        </w:tc>
      </w:tr>
      <w:tr>
        <w:trPr>
          <w:trHeight w:val="213"/>
        </w:trPr>
        <w:tc>
          <w:tcPr>
            <w:tcW w:w="7860" w:type="dxa"/>
            <w:vAlign w:val="bottom"/>
          </w:tcPr>
          <w:p>
            <w:pPr>
              <w:ind w:left="500"/>
              <w:spacing w:after="0"/>
              <w:rPr>
                <w:sz w:val="20"/>
                <w:szCs w:val="20"/>
                <w:color w:val="auto"/>
              </w:rPr>
            </w:pPr>
            <w:r>
              <w:rPr>
                <w:rFonts w:ascii="Arial" w:cs="Arial" w:eastAsia="Arial" w:hAnsi="Arial"/>
                <w:sz w:val="16"/>
                <w:szCs w:val="16"/>
                <w:color w:val="auto"/>
              </w:rPr>
              <w:t>Net borrowings (repayments) under credit facility</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9,290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(870)</w:t>
            </w:r>
          </w:p>
        </w:tc>
        <w:tc>
          <w:tcPr>
            <w:tcW w:w="0" w:type="dxa"/>
            <w:vAlign w:val="bottom"/>
          </w:tcPr>
          <w:p>
            <w:pPr>
              <w:spacing w:after="0"/>
              <w:rPr>
                <w:sz w:val="1"/>
                <w:szCs w:val="1"/>
                <w:color w:val="auto"/>
              </w:rPr>
            </w:pPr>
          </w:p>
        </w:tc>
      </w:tr>
      <w:tr>
        <w:trPr>
          <w:trHeight w:val="20"/>
        </w:trPr>
        <w:tc>
          <w:tcPr>
            <w:tcW w:w="786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Net cash provided by (used for) financing activities</w:t>
            </w: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8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(4,710)</w:t>
            </w:r>
          </w:p>
        </w:tc>
        <w:tc>
          <w:tcPr>
            <w:tcW w:w="0" w:type="dxa"/>
            <w:vAlign w:val="bottom"/>
          </w:tcPr>
          <w:p>
            <w:pPr>
              <w:spacing w:after="0"/>
              <w:rPr>
                <w:sz w:val="1"/>
                <w:szCs w:val="1"/>
                <w:color w:val="auto"/>
              </w:rPr>
            </w:pPr>
          </w:p>
        </w:tc>
      </w:tr>
      <w:tr>
        <w:trPr>
          <w:trHeight w:val="207"/>
        </w:trPr>
        <w:tc>
          <w:tcPr>
            <w:tcW w:w="7860" w:type="dxa"/>
            <w:vAlign w:val="bottom"/>
          </w:tcPr>
          <w:p>
            <w:pPr>
              <w:spacing w:after="0"/>
              <w:rPr>
                <w:sz w:val="20"/>
                <w:szCs w:val="20"/>
                <w:color w:val="auto"/>
              </w:rPr>
            </w:pPr>
            <w:r>
              <w:rPr>
                <w:rFonts w:ascii="Arial" w:cs="Arial" w:eastAsia="Arial" w:hAnsi="Arial"/>
                <w:sz w:val="16"/>
                <w:szCs w:val="16"/>
                <w:color w:val="auto"/>
              </w:rPr>
              <w:t>Net increase in cash and cash equivalents</w:t>
            </w: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975</w:t>
            </w:r>
          </w:p>
        </w:tc>
        <w:tc>
          <w:tcPr>
            <w:tcW w:w="3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Beginning of period</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5,572</w:t>
            </w:r>
          </w:p>
        </w:tc>
        <w:tc>
          <w:tcPr>
            <w:tcW w:w="3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End of period</w:t>
            </w: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6,547</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t>DESTINATION XL GROUP,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the opinion of management of Destination XL Group, Inc., a Delaware corporation (formerly known as Casual Male Retail Group, Inc. and,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28, 2017 included in the Company’s Annual Report on Form 10-K, which was filed with the Securities and Exchange Commission on March 20, 2017.</w:t>
      </w:r>
    </w:p>
    <w:p>
      <w:pPr>
        <w:spacing w:after="0" w:line="1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fiscal year is a 52- or 53- week period ending on the Saturday closest to January 31. Fiscal 2017 is a 53-week period ending on February 3, 2018 and fiscal 2016 was a 52-week period ending on January 28,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17"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principal operating segments: its retail business and its direct business. The Company considers its operating segments to be similar in terms of economic characteristics, production processes and operations, and has therefore aggregated them into a single reporting segment, consistent with its omni-channel business approach. The direct operating segment includes the operating results and assets for LivingXL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ShoesXL</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At July 29, 2017, the “Casual Male” trademark had a carrying value of $0.4 million and is considered a definite-lived asset. The Company is amortizing the remaining carrying value on an accelerated basis, consistent with projected cash flows through fiscal 2018, its estimated remaining useful life.</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Company’s “Rochester” trademark is considered an indefinite-lived intangible asset and has a carrying value of $1.5 million. During the six months ended July 29, 2017, no event or circumstance occurred which would cause a reduction in the fair value of the Company’s reporting units, requiring interim testing of the Company’s “Rochester” trademark.</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ASC Topic 825, Financial Instruments, requires disclosure of the fair value of certain financial instruments. ASC Topic 820, “</w:t>
      </w:r>
      <w:r>
        <w:rPr>
          <w:rFonts w:ascii="Arial" w:cs="Arial" w:eastAsia="Arial" w:hAnsi="Arial"/>
          <w:sz w:val="16"/>
          <w:szCs w:val="16"/>
          <w:i w:val="1"/>
          <w:iCs w:val="1"/>
          <w:color w:val="auto"/>
        </w:rPr>
        <w:t>Fair Value Measurements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w:t>
      </w:r>
      <w:r>
        <w:rPr>
          <w:rFonts w:ascii="Arial" w:cs="Arial" w:eastAsia="Arial" w:hAnsi="Arial"/>
          <w:sz w:val="16"/>
          <w:szCs w:val="16"/>
          <w:color w:val="auto"/>
        </w:rPr>
        <w:t>,” defines fair value, establishes a framework for measuring fair value and enhances disclosures about fair value measurements.</w:t>
      </w:r>
    </w:p>
    <w:p>
      <w:pPr>
        <w:spacing w:after="0" w:line="124"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260" w:right="80"/>
        <w:spacing w:after="0" w:line="342"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7" w:name="page8"/>
    <w:bookmarkEnd w:id="7"/>
    <w:p>
      <w:pPr>
        <w:ind w:right="360"/>
        <w:spacing w:after="0" w:line="277" w:lineRule="auto"/>
        <w:rPr>
          <w:sz w:val="20"/>
          <w:szCs w:val="20"/>
          <w:color w:val="auto"/>
        </w:rPr>
      </w:pPr>
      <w:r>
        <w:rPr>
          <w:rFonts w:ascii="Arial" w:cs="Arial" w:eastAsia="Arial" w:hAnsi="Arial"/>
          <w:sz w:val="18"/>
          <w:szCs w:val="18"/>
          <w:color w:val="auto"/>
        </w:rPr>
        <w:t>The fair value of long-term debt is classified within Level 2 of the valuation hierarchy. At July 29, 2017, the fair value approximated the carrying amount based upon terms available to the Company for borrowings with similar arrangements and remaining maturities.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The fair value of indefinite-lived assets, which consists of the Company’s “Rochester” trademark, is measured on a non-recurring basis in connection with the Company’s annual impairment test. The fair value of the trademark is determined using a projected discounted cash flow analysis based on unobservable inputs and is classified within Level 3 of the valuation hierarchy. See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above.</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expenses and short-term borrowings approximate fair value because of the short maturity of these instruments.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 - (“AOCI”)</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Other comprehensive income (loss) includes amounts related to foreign currency and pension plans and is reported in the Consolidated Statements of Comprehensive Income (Loss). Other comprehensive income and reclassifications from AOCI for the three and six months ended July 29, 2017 and July 30, 2016, respectively, were as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For the three months ended:</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July 29, 2017</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July 30, 2016</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3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5"/>
          </w:tcPr>
          <w:p>
            <w:pPr>
              <w:jc w:val="right"/>
              <w:ind w:right="640"/>
              <w:spacing w:after="0" w:line="151" w:lineRule="exact"/>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Pension</w:t>
            </w: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Foreign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Pension</w:t>
            </w: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Foreign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Balance at beginning of the quarter</w:t>
            </w:r>
          </w:p>
        </w:tc>
        <w:tc>
          <w:tcPr>
            <w:tcW w:w="12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Plans</w:t>
            </w:r>
          </w:p>
        </w:tc>
        <w:tc>
          <w:tcPr>
            <w:tcW w:w="1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Currency</w:t>
            </w:r>
          </w:p>
        </w:tc>
        <w:tc>
          <w:tcPr>
            <w:tcW w:w="18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Plans</w:t>
            </w:r>
          </w:p>
        </w:tc>
        <w:tc>
          <w:tcPr>
            <w:tcW w:w="1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Currency</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5320" w:type="dxa"/>
            <w:vAlign w:val="bottom"/>
            <w:gridSpan w:val="2"/>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(5,022)</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(5,764)</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reclassifications, net of taxes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Amounts reclassified from accumulated other</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 xml:space="preserve">comprehensive income, net of taxes </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(loss) for the period</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Balance at end of quarter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For the six months ended:</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July 29, 2017</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July 30, 2016</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3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5"/>
          </w:tcPr>
          <w:p>
            <w:pPr>
              <w:jc w:val="right"/>
              <w:ind w:right="640"/>
              <w:spacing w:after="0" w:line="151" w:lineRule="exact"/>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Pension</w:t>
            </w: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Foreign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Pension</w:t>
            </w: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Foreign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Balance at beginning of fiscal year</w:t>
            </w:r>
          </w:p>
        </w:tc>
        <w:tc>
          <w:tcPr>
            <w:tcW w:w="12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Plans</w:t>
            </w:r>
          </w:p>
        </w:tc>
        <w:tc>
          <w:tcPr>
            <w:tcW w:w="1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Currency</w:t>
            </w:r>
          </w:p>
        </w:tc>
        <w:tc>
          <w:tcPr>
            <w:tcW w:w="18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Plans</w:t>
            </w:r>
          </w:p>
        </w:tc>
        <w:tc>
          <w:tcPr>
            <w:tcW w:w="1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Currency</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5320" w:type="dxa"/>
            <w:vAlign w:val="bottom"/>
            <w:gridSpan w:val="2"/>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(5,237)</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(6,018)</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(6,113)</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reclassifications, net of taxes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Amounts reclassified from accumulated other</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 xml:space="preserve">comprehensive income, net of taxes </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(loss) for the period</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spacing w:after="0"/>
              <w:rPr>
                <w:sz w:val="19"/>
                <w:szCs w:val="19"/>
                <w:color w:val="auto"/>
              </w:rPr>
            </w:pPr>
          </w:p>
        </w:tc>
        <w:tc>
          <w:tcPr>
            <w:tcW w:w="180" w:type="dxa"/>
            <w:vAlign w:val="bottom"/>
            <w:gridSpan w:val="2"/>
            <w:shd w:val="clear" w:color="auto" w:fill="CFF0FC"/>
          </w:tcPr>
          <w:p>
            <w:pPr>
              <w:spacing w:after="0"/>
              <w:rPr>
                <w:sz w:val="19"/>
                <w:szCs w:val="19"/>
                <w:color w:val="auto"/>
              </w:rPr>
            </w:pPr>
          </w:p>
        </w:tc>
        <w:tc>
          <w:tcPr>
            <w:tcW w:w="760" w:type="dxa"/>
            <w:vAlign w:val="bottom"/>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Balance at end of quarter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60" w:right="220" w:hanging="374"/>
        <w:spacing w:after="0" w:line="259"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the amortization of the unrecognized loss on pension plans which was charged to “Selling, General and Administrative” Expense on the Consolidated Statements of Operations for all periods presented. The amortization of the unrecognized loss, before tax, was $181,000 and $336,000 for the three and six months ended July 29, 2017, respectively, and $200,000 and $352,000 for the three and six months ended July 30, 2016, respectively. There was no tax benefit for either period.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from the Company’s retail business is recorded upon purchase of merchandise by customers, net of an allowance for sales returns. Revenue from the Company’s direct business is recognized at the time a customer order is delivered, net of an allowance for sales returns. Store sales are defined as sales that originate and are fulfilled directly at the store level. E-commerce sales are defined as sales that originate online, including those initiated online at the store level.</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second quarter of fiscal 2017, the Company recorded an impairment charge of $1.7 million for the write-down of property and equipment. The impairment charge related to a store where the carrying value exceeded fair value. The fair value of these assets, based on Level 3 inputs, was determined using estimated discounted cash flows. The impairment charge was included in Depreciation and Amortization on the Consolidated Statement of Operations for the second quarter and first six months of fiscal 2017. There was no material impairment of assets in the second quarter and first six months of fiscal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xml:space="preserve">" which applies to inventory that is measured using first-in, first-out ("FIFO") or average cost. Under the updated guidance, an entity should measure inventory that is within scope at the lower of cost and net realizable value, which is the estimated selling price in the ordinary course of business, less reasonably predictable costs of completion, disposal and transportation. This ASU is effective for annual and interim periods beginning after December 15, 2016, with early adoption permitted. The Company adopted this pronouncement as of January 29, 2017. The adoption of this standard did not have a material impact on the Company’s </w:t>
      </w:r>
      <w:r>
        <w:rPr>
          <w:rFonts w:ascii="Arial" w:cs="Arial" w:eastAsia="Arial" w:hAnsi="Arial"/>
          <w:sz w:val="18"/>
          <w:szCs w:val="18"/>
          <w:color w:val="212121"/>
        </w:rPr>
        <w:t>Consolidated Financial</w:t>
      </w:r>
      <w:r>
        <w:rPr>
          <w:rFonts w:ascii="Arial" w:cs="Arial" w:eastAsia="Arial" w:hAnsi="Arial"/>
          <w:sz w:val="18"/>
          <w:szCs w:val="18"/>
          <w:color w:val="auto"/>
        </w:rPr>
        <w:t xml:space="preserve"> </w:t>
      </w:r>
      <w:r>
        <w:rPr>
          <w:rFonts w:ascii="Arial" w:cs="Arial" w:eastAsia="Arial" w:hAnsi="Arial"/>
          <w:sz w:val="18"/>
          <w:szCs w:val="18"/>
          <w:color w:val="212121"/>
        </w:rPr>
        <w:t>Statements</w:t>
      </w:r>
      <w:r>
        <w:rPr>
          <w:rFonts w:ascii="Arial" w:cs="Arial" w:eastAsia="Arial" w:hAnsi="Arial"/>
          <w:sz w:val="18"/>
          <w:szCs w:val="18"/>
          <w:color w:val="000000"/>
        </w:rPr>
        <w:t>.</w:t>
      </w:r>
    </w:p>
    <w:p>
      <w:pPr>
        <w:spacing w:after="0" w:line="19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March 2016, the FASB issued ASU 2016-09, “</w:t>
      </w:r>
      <w:r>
        <w:rPr>
          <w:rFonts w:ascii="Arial" w:cs="Arial" w:eastAsia="Arial" w:hAnsi="Arial"/>
          <w:sz w:val="16"/>
          <w:szCs w:val="16"/>
          <w:i w:val="1"/>
          <w:iCs w:val="1"/>
          <w:color w:val="auto"/>
        </w:rPr>
        <w:t>Compensation - Stock Compensation (Topic 718) -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which simplifies several aspects of the accounting for share-based payment transactions, including the income tax consequences, classification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awards, and classification on the statement of cash flows. The standard is effective for fiscal years beginning after December 15, 2016, including interim periods within those fiscal years. The Company adopted this standard during the first quarter of fiscal 2017. The adoption of this standard did not have a material impact on the Company’s provision for income taxes or diluted earnings per share. The Company has elected to adopt the guidance related to the presentation of excess tax benefits in its Consolidated Statements of Cash Flows on a prospective transition method. </w:t>
      </w:r>
      <w:r>
        <w:rPr>
          <w:rFonts w:ascii="Arial" w:cs="Arial" w:eastAsia="Arial" w:hAnsi="Arial"/>
          <w:sz w:val="16"/>
          <w:szCs w:val="16"/>
          <w:color w:val="212121"/>
        </w:rPr>
        <w:t>Since there were</w:t>
      </w:r>
      <w:r>
        <w:rPr>
          <w:rFonts w:ascii="Arial" w:cs="Arial" w:eastAsia="Arial" w:hAnsi="Arial"/>
          <w:sz w:val="16"/>
          <w:szCs w:val="16"/>
          <w:color w:val="auto"/>
        </w:rPr>
        <w:t xml:space="preserve"> no excess tax benefits </w:t>
      </w:r>
      <w:r>
        <w:rPr>
          <w:rFonts w:ascii="Arial" w:cs="Arial" w:eastAsia="Arial" w:hAnsi="Arial"/>
          <w:sz w:val="16"/>
          <w:szCs w:val="16"/>
          <w:color w:val="212121"/>
        </w:rPr>
        <w:t xml:space="preserve">for the six months ended July 29, 2017 or July 30, 2016, this election did not result in a change in presentation on the Consolidated Statement of Cash Flows. </w:t>
      </w:r>
      <w:r>
        <w:rPr>
          <w:rFonts w:ascii="Arial" w:cs="Arial" w:eastAsia="Arial" w:hAnsi="Arial"/>
          <w:sz w:val="16"/>
          <w:szCs w:val="16"/>
          <w:color w:val="000000"/>
        </w:rPr>
        <w:t>In addition, the Company has elected to continue to estimate forfeitures at each grant.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supersedes the revenue recognition requirements in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as well as various other sections of the ASC, such as, but not limited to, ASC 340-20, “</w:t>
      </w:r>
      <w:r>
        <w:rPr>
          <w:rFonts w:ascii="Arial" w:cs="Arial" w:eastAsia="Arial" w:hAnsi="Arial"/>
          <w:sz w:val="17"/>
          <w:szCs w:val="17"/>
          <w:i w:val="1"/>
          <w:iCs w:val="1"/>
          <w:color w:val="auto"/>
        </w:rPr>
        <w:t>Other Assets and Deferred Costs -</w:t>
      </w:r>
      <w:r>
        <w:rPr>
          <w:rFonts w:ascii="Arial" w:cs="Arial" w:eastAsia="Arial" w:hAnsi="Arial"/>
          <w:sz w:val="17"/>
          <w:szCs w:val="17"/>
          <w:color w:val="auto"/>
        </w:rPr>
        <w:t xml:space="preserve"> </w:t>
      </w:r>
      <w:r>
        <w:rPr>
          <w:rFonts w:ascii="Arial" w:cs="Arial" w:eastAsia="Arial" w:hAnsi="Arial"/>
          <w:sz w:val="17"/>
          <w:szCs w:val="17"/>
          <w:i w:val="1"/>
          <w:iCs w:val="1"/>
          <w:color w:val="auto"/>
        </w:rPr>
        <w:t>Capitalized Advertising Costs</w:t>
      </w:r>
      <w:r>
        <w:rPr>
          <w:rFonts w:ascii="Arial" w:cs="Arial" w:eastAsia="Arial" w:hAnsi="Arial"/>
          <w:sz w:val="17"/>
          <w:szCs w:val="17"/>
          <w:color w:val="auto"/>
        </w:rPr>
        <w:t>”. The core principle of ASU 2014-09 is that an entity should recognize revenue in a way that depicts the transfer of promised</w:t>
      </w:r>
      <w:r>
        <w:rPr>
          <w:rFonts w:ascii="Arial" w:cs="Arial" w:eastAsia="Arial" w:hAnsi="Arial"/>
          <w:sz w:val="17"/>
          <w:szCs w:val="17"/>
          <w:i w:val="1"/>
          <w:iCs w:val="1"/>
          <w:color w:val="auto"/>
        </w:rPr>
        <w:t xml:space="preserve"> </w:t>
      </w:r>
      <w:r>
        <w:rPr>
          <w:rFonts w:ascii="Arial" w:cs="Arial" w:eastAsia="Arial" w:hAnsi="Arial"/>
          <w:sz w:val="17"/>
          <w:szCs w:val="17"/>
          <w:color w:val="auto"/>
        </w:rPr>
        <w:t>goods or services to customers in an amount that reflects the consideration to which the entity expects to be entitled in exchange for those goods or services. ASU 2014-09 will be effective for fiscal years, and interim periods within those years, beginning after December 15, 2017, and is to be applied either retrospectively to each prior reporting period presented or with the cumulative effect recognized at the date of initial adoption as an adjustment to the opening balance of retained earnings (or other appropriate components of equity or net assets on the balance sheet). Early adoption is permitted after December 15, 2016. The Company expects to adopt ASU 2014-09 in the first quarter of fiscal 2018 and will not adopt early. The Company expects it will use the modified retrospective approach as a transition method and is making progress towards completing its assessment of the effect that ASU 2014-09 will have on its Consolidated Financial Statements.</w:t>
      </w:r>
    </w:p>
    <w:p>
      <w:pPr>
        <w:spacing w:after="0" w:line="17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will require an entity to recognize lease assets and lease liabilities on its balance sheet and will increase disclosure requirements on its leasing arrangements. The ASU is effective for annual periods beginning after December 15, 2018, and interim periods therein. Early adoption is permitted. </w:t>
      </w:r>
      <w:r>
        <w:rPr>
          <w:rFonts w:ascii="Arial" w:cs="Arial" w:eastAsia="Arial" w:hAnsi="Arial"/>
          <w:sz w:val="17"/>
          <w:szCs w:val="17"/>
          <w:color w:val="212121"/>
        </w:rPr>
        <w:t>In the financial statements in which the ASU is first applied, leases shall be measured and</w:t>
      </w:r>
      <w:r>
        <w:rPr>
          <w:rFonts w:ascii="Arial" w:cs="Arial" w:eastAsia="Arial" w:hAnsi="Arial"/>
          <w:sz w:val="17"/>
          <w:szCs w:val="17"/>
          <w:color w:val="auto"/>
        </w:rPr>
        <w:t xml:space="preserve"> </w:t>
      </w:r>
      <w:r>
        <w:rPr>
          <w:rFonts w:ascii="Arial" w:cs="Arial" w:eastAsia="Arial" w:hAnsi="Arial"/>
          <w:sz w:val="17"/>
          <w:szCs w:val="17"/>
          <w:color w:val="212121"/>
        </w:rPr>
        <w:t xml:space="preserve">recognized at the beginning of the earliest comparative period presented with an adjustment to equity. While the Company is still </w:t>
      </w:r>
      <w:r>
        <w:rPr>
          <w:rFonts w:ascii="Arial" w:cs="Arial" w:eastAsia="Arial" w:hAnsi="Arial"/>
          <w:sz w:val="17"/>
          <w:szCs w:val="17"/>
          <w:color w:val="000000"/>
        </w:rPr>
        <w:t>evaluating the impact this</w:t>
      </w:r>
      <w:r>
        <w:rPr>
          <w:rFonts w:ascii="Arial" w:cs="Arial" w:eastAsia="Arial" w:hAnsi="Arial"/>
          <w:sz w:val="17"/>
          <w:szCs w:val="17"/>
          <w:color w:val="212121"/>
        </w:rPr>
        <w:t xml:space="preserve"> </w:t>
      </w:r>
      <w:r>
        <w:rPr>
          <w:rFonts w:ascii="Arial" w:cs="Arial" w:eastAsia="Arial" w:hAnsi="Arial"/>
          <w:sz w:val="17"/>
          <w:szCs w:val="17"/>
          <w:color w:val="000000"/>
        </w:rPr>
        <w:t xml:space="preserve">pronouncement will have on its Consolidated Financial Statements, the </w:t>
      </w:r>
      <w:r>
        <w:rPr>
          <w:rFonts w:ascii="Arial" w:cs="Arial" w:eastAsia="Arial" w:hAnsi="Arial"/>
          <w:sz w:val="17"/>
          <w:szCs w:val="17"/>
          <w:color w:val="212121"/>
        </w:rPr>
        <w:t>Company expects a</w:t>
      </w:r>
      <w:r>
        <w:rPr>
          <w:rFonts w:ascii="Arial" w:cs="Arial" w:eastAsia="Arial" w:hAnsi="Arial"/>
          <w:sz w:val="17"/>
          <w:szCs w:val="17"/>
          <w:color w:val="000000"/>
        </w:rPr>
        <w:t xml:space="preserve"> </w:t>
      </w:r>
      <w:r>
        <w:rPr>
          <w:rFonts w:ascii="Arial" w:cs="Arial" w:eastAsia="Arial" w:hAnsi="Arial"/>
          <w:sz w:val="17"/>
          <w:szCs w:val="17"/>
          <w:color w:val="252525"/>
        </w:rPr>
        <w:t>gross</w:t>
      </w:r>
      <w:r>
        <w:rPr>
          <w:rFonts w:ascii="Arial" w:cs="Arial" w:eastAsia="Arial" w:hAnsi="Arial"/>
          <w:sz w:val="17"/>
          <w:szCs w:val="17"/>
          <w:color w:val="212121"/>
        </w:rPr>
        <w:t>-up of its Consolidated Balance Sheets as a result of</w:t>
      </w:r>
      <w:r>
        <w:rPr>
          <w:rFonts w:ascii="Arial" w:cs="Arial" w:eastAsia="Arial" w:hAnsi="Arial"/>
          <w:sz w:val="17"/>
          <w:szCs w:val="17"/>
          <w:color w:val="000000"/>
        </w:rPr>
        <w:t xml:space="preserve"> </w:t>
      </w:r>
      <w:r>
        <w:rPr>
          <w:rFonts w:ascii="Arial" w:cs="Arial" w:eastAsia="Arial" w:hAnsi="Arial"/>
          <w:sz w:val="17"/>
          <w:szCs w:val="17"/>
          <w:color w:val="212121"/>
        </w:rPr>
        <w:t>recognizing lease liabilities and right of use assets. The extent of such gross-up is under evaluation.</w:t>
      </w:r>
    </w:p>
    <w:p>
      <w:pPr>
        <w:spacing w:after="0" w:line="17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In March 2016, the FASB issued </w:t>
      </w:r>
      <w:r>
        <w:rPr>
          <w:rFonts w:ascii="Arial" w:cs="Arial" w:eastAsia="Arial" w:hAnsi="Arial"/>
          <w:sz w:val="17"/>
          <w:szCs w:val="17"/>
          <w:color w:val="252525"/>
        </w:rPr>
        <w:t>ASU 2016</w:t>
      </w:r>
      <w:r>
        <w:rPr>
          <w:rFonts w:ascii="Arial" w:cs="Arial" w:eastAsia="Arial" w:hAnsi="Arial"/>
          <w:sz w:val="17"/>
          <w:szCs w:val="17"/>
          <w:color w:val="auto"/>
        </w:rPr>
        <w:t>-</w:t>
      </w:r>
      <w:r>
        <w:rPr>
          <w:rFonts w:ascii="Arial" w:cs="Arial" w:eastAsia="Arial" w:hAnsi="Arial"/>
          <w:sz w:val="17"/>
          <w:szCs w:val="17"/>
          <w:color w:val="252525"/>
        </w:rPr>
        <w:t>04</w:t>
      </w:r>
      <w:r>
        <w:rPr>
          <w:rFonts w:ascii="Arial" w:cs="Arial" w:eastAsia="Arial" w:hAnsi="Arial"/>
          <w:sz w:val="17"/>
          <w:szCs w:val="17"/>
          <w:color w:val="auto"/>
        </w:rPr>
        <w:t>, “</w:t>
      </w:r>
      <w:r>
        <w:rPr>
          <w:rFonts w:ascii="Arial" w:cs="Arial" w:eastAsia="Arial" w:hAnsi="Arial"/>
          <w:sz w:val="17"/>
          <w:szCs w:val="17"/>
          <w:i w:val="1"/>
          <w:iCs w:val="1"/>
          <w:color w:val="auto"/>
        </w:rPr>
        <w:t>Liabilities—Extinguishments of Liabilities: Recognition of Breakage for Certain Prepaid Stored-Value</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w:t>
      </w:r>
      <w:r>
        <w:rPr>
          <w:rFonts w:ascii="Arial" w:cs="Arial" w:eastAsia="Arial" w:hAnsi="Arial"/>
          <w:sz w:val="17"/>
          <w:szCs w:val="17"/>
          <w:color w:val="auto"/>
        </w:rPr>
        <w:t>” which amends exempting gift cards and other prepaid stored-value products from the guidance on extinguishing financial liabilities. Rather, they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will be subject to breakage accounting consistent with the new revenue guidance in Topic 606. However, the exemption only applies to breakage liabilities that are not subject to unclaimed property laws or that are attached to segregated bank accounts (e.g., consumer debit cards). The ASU is effective for fiscal years beginning after December 15, 2017, and interim periods within those fiscal years. Early adoption is permitted. The Company does not expect the adoption of this pronouncement to have a material impact on its </w:t>
      </w:r>
      <w:r>
        <w:rPr>
          <w:rFonts w:ascii="Arial" w:cs="Arial" w:eastAsia="Arial" w:hAnsi="Arial"/>
          <w:sz w:val="17"/>
          <w:szCs w:val="17"/>
          <w:color w:val="212121"/>
        </w:rPr>
        <w:t>Consolidated Financial Statements</w:t>
      </w:r>
      <w:r>
        <w:rPr>
          <w:rFonts w:ascii="Arial" w:cs="Arial" w:eastAsia="Arial" w:hAnsi="Arial"/>
          <w:sz w:val="17"/>
          <w:szCs w:val="17"/>
          <w:color w:val="auto"/>
        </w:rPr>
        <w:t>.</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August 2016, the FASB issued ASU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xml:space="preserve">,” </w:t>
      </w:r>
      <w:r>
        <w:rPr>
          <w:rFonts w:ascii="Arial" w:cs="Arial" w:eastAsia="Arial" w:hAnsi="Arial"/>
          <w:sz w:val="17"/>
          <w:szCs w:val="17"/>
          <w:color w:val="212121"/>
        </w:rPr>
        <w:t>which</w:t>
      </w:r>
      <w:r>
        <w:rPr>
          <w:rFonts w:ascii="Arial" w:cs="Arial" w:eastAsia="Arial" w:hAnsi="Arial"/>
          <w:sz w:val="17"/>
          <w:szCs w:val="17"/>
          <w:color w:val="auto"/>
        </w:rPr>
        <w:t xml:space="preserve"> </w:t>
      </w:r>
      <w:r>
        <w:rPr>
          <w:rFonts w:ascii="Arial" w:cs="Arial" w:eastAsia="Arial" w:hAnsi="Arial"/>
          <w:sz w:val="17"/>
          <w:szCs w:val="17"/>
          <w:color w:val="212121"/>
        </w:rPr>
        <w:t>reduces the existing diversity in practice in how certain cash receipts and cash payments are presented and classified in the statement of cash flows under Topic 230</w:t>
      </w:r>
      <w:r>
        <w:rPr>
          <w:rFonts w:ascii="Arial" w:cs="Arial" w:eastAsia="Arial" w:hAnsi="Arial"/>
          <w:sz w:val="17"/>
          <w:szCs w:val="17"/>
          <w:color w:val="000000"/>
        </w:rPr>
        <w:t>. The ASU is effective for fiscal years beginning after December 15, 2017, and interim periods within those fiscal years. The Company does not</w:t>
      </w:r>
      <w:r>
        <w:rPr>
          <w:rFonts w:ascii="Arial" w:cs="Arial" w:eastAsia="Arial" w:hAnsi="Arial"/>
          <w:sz w:val="17"/>
          <w:szCs w:val="17"/>
          <w:color w:val="212121"/>
        </w:rPr>
        <w:t xml:space="preserve"> </w:t>
      </w:r>
      <w:r>
        <w:rPr>
          <w:rFonts w:ascii="Arial" w:cs="Arial" w:eastAsia="Arial" w:hAnsi="Arial"/>
          <w:sz w:val="17"/>
          <w:szCs w:val="17"/>
          <w:color w:val="000000"/>
        </w:rPr>
        <w:t xml:space="preserve">expect the adoption of this pronouncement to have a material impact on its </w:t>
      </w:r>
      <w:r>
        <w:rPr>
          <w:rFonts w:ascii="Arial" w:cs="Arial" w:eastAsia="Arial" w:hAnsi="Arial"/>
          <w:sz w:val="17"/>
          <w:szCs w:val="17"/>
          <w:color w:val="212121"/>
        </w:rPr>
        <w:t>Consolidated Financial Statements</w:t>
      </w:r>
      <w:r>
        <w:rPr>
          <w:rFonts w:ascii="Arial" w:cs="Arial" w:eastAsia="Arial" w:hAnsi="Arial"/>
          <w:sz w:val="17"/>
          <w:szCs w:val="17"/>
          <w:color w:val="000000"/>
        </w:rPr>
        <w:t>.</w:t>
      </w:r>
    </w:p>
    <w:p>
      <w:pPr>
        <w:spacing w:after="0" w:line="17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October 2016, the FASB issued ASU 2016-16, “</w:t>
      </w:r>
      <w:r>
        <w:rPr>
          <w:rFonts w:ascii="Arial" w:cs="Arial" w:eastAsia="Arial" w:hAnsi="Arial"/>
          <w:sz w:val="16"/>
          <w:szCs w:val="16"/>
          <w:i w:val="1"/>
          <w:iCs w:val="1"/>
          <w:color w:val="auto"/>
        </w:rPr>
        <w:t>Income Taxes (Topic 740): Intra-Entity Transfer of Assets Other Than Inventory</w:t>
      </w:r>
      <w:r>
        <w:rPr>
          <w:rFonts w:ascii="Arial" w:cs="Arial" w:eastAsia="Arial" w:hAnsi="Arial"/>
          <w:sz w:val="16"/>
          <w:szCs w:val="16"/>
          <w:color w:val="auto"/>
        </w:rPr>
        <w:t xml:space="preserve">,” which </w:t>
      </w:r>
      <w:r>
        <w:rPr>
          <w:rFonts w:ascii="Arial" w:cs="Arial" w:eastAsia="Arial" w:hAnsi="Arial"/>
          <w:sz w:val="16"/>
          <w:szCs w:val="16"/>
          <w:color w:val="212121"/>
        </w:rPr>
        <w:t>reduces the</w:t>
      </w:r>
      <w:r>
        <w:rPr>
          <w:rFonts w:ascii="Arial" w:cs="Arial" w:eastAsia="Arial" w:hAnsi="Arial"/>
          <w:sz w:val="16"/>
          <w:szCs w:val="16"/>
          <w:color w:val="auto"/>
        </w:rPr>
        <w:t xml:space="preserve"> </w:t>
      </w:r>
      <w:r>
        <w:rPr>
          <w:rFonts w:ascii="Arial" w:cs="Arial" w:eastAsia="Arial" w:hAnsi="Arial"/>
          <w:sz w:val="16"/>
          <w:szCs w:val="16"/>
          <w:color w:val="212121"/>
        </w:rPr>
        <w:t xml:space="preserve">existing diversity in practice in how income tax consequences of an intra-entity transfer of an asset other than inventory should be recognized. The amendments in </w:t>
      </w:r>
      <w:r>
        <w:rPr>
          <w:rFonts w:ascii="Arial" w:cs="Arial" w:eastAsia="Arial" w:hAnsi="Arial"/>
          <w:sz w:val="16"/>
          <w:szCs w:val="16"/>
          <w:color w:val="252525"/>
        </w:rPr>
        <w:t>ASU 2016</w:t>
      </w:r>
      <w:r>
        <w:rPr>
          <w:rFonts w:ascii="Arial" w:cs="Arial" w:eastAsia="Arial" w:hAnsi="Arial"/>
          <w:sz w:val="16"/>
          <w:szCs w:val="16"/>
          <w:color w:val="212121"/>
        </w:rPr>
        <w:t>-</w:t>
      </w:r>
      <w:r>
        <w:rPr>
          <w:rFonts w:ascii="Arial" w:cs="Arial" w:eastAsia="Arial" w:hAnsi="Arial"/>
          <w:sz w:val="16"/>
          <w:szCs w:val="16"/>
          <w:color w:val="252525"/>
        </w:rPr>
        <w:t>16</w:t>
      </w:r>
      <w:r>
        <w:rPr>
          <w:rFonts w:ascii="Arial" w:cs="Arial" w:eastAsia="Arial" w:hAnsi="Arial"/>
          <w:sz w:val="16"/>
          <w:szCs w:val="16"/>
          <w:color w:val="212121"/>
        </w:rPr>
        <w:t xml:space="preserve"> require an entity to recognize such income tax consequences when the intra-entity transfer occurs rather than waiting until such time as the asset has been sold to an outside party</w:t>
      </w:r>
      <w:r>
        <w:rPr>
          <w:rFonts w:ascii="Arial" w:cs="Arial" w:eastAsia="Arial" w:hAnsi="Arial"/>
          <w:sz w:val="16"/>
          <w:szCs w:val="16"/>
          <w:color w:val="000000"/>
        </w:rPr>
        <w:t>. The ASU is effective for fiscal years beginning after December 15, 2017, and interim periods within those</w:t>
      </w:r>
      <w:r>
        <w:rPr>
          <w:rFonts w:ascii="Arial" w:cs="Arial" w:eastAsia="Arial" w:hAnsi="Arial"/>
          <w:sz w:val="16"/>
          <w:szCs w:val="16"/>
          <w:color w:val="212121"/>
        </w:rPr>
        <w:t xml:space="preserve"> </w:t>
      </w:r>
      <w:r>
        <w:rPr>
          <w:rFonts w:ascii="Arial" w:cs="Arial" w:eastAsia="Arial" w:hAnsi="Arial"/>
          <w:sz w:val="16"/>
          <w:szCs w:val="16"/>
          <w:color w:val="000000"/>
        </w:rPr>
        <w:t xml:space="preserve">fiscal years. The Company does not expect the adoption of this pronouncement to have a material impact on its </w:t>
      </w:r>
      <w:r>
        <w:rPr>
          <w:rFonts w:ascii="Arial" w:cs="Arial" w:eastAsia="Arial" w:hAnsi="Arial"/>
          <w:sz w:val="16"/>
          <w:szCs w:val="16"/>
          <w:color w:val="212121"/>
        </w:rPr>
        <w:t>Consolidated Financial Statements</w:t>
      </w:r>
      <w:r>
        <w:rPr>
          <w:rFonts w:ascii="Arial" w:cs="Arial" w:eastAsia="Arial" w:hAnsi="Arial"/>
          <w:sz w:val="16"/>
          <w:szCs w:val="16"/>
          <w:color w:val="000000"/>
        </w:rPr>
        <w:t>.</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212121"/>
        </w:rPr>
        <w:t xml:space="preserve">In May 2017, the FASB issued ASU </w:t>
      </w:r>
      <w:r>
        <w:rPr>
          <w:rFonts w:ascii="Arial" w:cs="Arial" w:eastAsia="Arial" w:hAnsi="Arial"/>
          <w:sz w:val="17"/>
          <w:szCs w:val="17"/>
          <w:color w:val="000000"/>
        </w:rPr>
        <w:t>2017-09</w:t>
      </w:r>
      <w:r>
        <w:rPr>
          <w:rFonts w:ascii="Arial" w:cs="Arial" w:eastAsia="Arial" w:hAnsi="Arial"/>
          <w:sz w:val="17"/>
          <w:szCs w:val="17"/>
          <w:color w:val="212121"/>
        </w:rPr>
        <w:t>, “</w:t>
      </w:r>
      <w:r>
        <w:rPr>
          <w:rFonts w:ascii="Arial" w:cs="Arial" w:eastAsia="Arial" w:hAnsi="Arial"/>
          <w:sz w:val="17"/>
          <w:szCs w:val="17"/>
          <w:i w:val="1"/>
          <w:iCs w:val="1"/>
          <w:color w:val="212121"/>
        </w:rPr>
        <w:t>Compensation—Stock Compensation (Topic 718)”</w:t>
      </w:r>
      <w:r>
        <w:rPr>
          <w:rFonts w:ascii="Arial" w:cs="Arial" w:eastAsia="Arial" w:hAnsi="Arial"/>
          <w:sz w:val="17"/>
          <w:szCs w:val="17"/>
          <w:color w:val="212121"/>
        </w:rPr>
        <w:t xml:space="preserve">which provides clarity in order to reduce both (1) diversity in practice and (2) cost and complexity when applying the guidance in Topic 718, Compensation—Stock Compensation, to a change to the terms or conditions of a share-based payment award. Under the new guidance, modification accounting is required only if the fair value, the vesting conditions, or the classification of the award (as equity or liability) changes as a result of the change in terms or conditions. </w:t>
      </w:r>
      <w:r>
        <w:rPr>
          <w:rFonts w:ascii="Arial" w:cs="Arial" w:eastAsia="Arial" w:hAnsi="Arial"/>
          <w:sz w:val="17"/>
          <w:szCs w:val="17"/>
          <w:color w:val="000000"/>
        </w:rPr>
        <w:t>The ASU is effective for fiscal years beginning after</w:t>
      </w:r>
      <w:r>
        <w:rPr>
          <w:rFonts w:ascii="Arial" w:cs="Arial" w:eastAsia="Arial" w:hAnsi="Arial"/>
          <w:sz w:val="17"/>
          <w:szCs w:val="17"/>
          <w:color w:val="212121"/>
        </w:rPr>
        <w:t xml:space="preserve"> </w:t>
      </w:r>
      <w:r>
        <w:rPr>
          <w:rFonts w:ascii="Arial" w:cs="Arial" w:eastAsia="Arial" w:hAnsi="Arial"/>
          <w:sz w:val="17"/>
          <w:szCs w:val="17"/>
          <w:color w:val="000000"/>
        </w:rPr>
        <w:t xml:space="preserve">December 15, 2017, and interim periods within those fiscal years. Early adoption is permitted. The Company does not expect the adoption of this pronouncement to have a material impact on its </w:t>
      </w:r>
      <w:r>
        <w:rPr>
          <w:rFonts w:ascii="Arial" w:cs="Arial" w:eastAsia="Arial" w:hAnsi="Arial"/>
          <w:sz w:val="17"/>
          <w:szCs w:val="17"/>
          <w:color w:val="212121"/>
        </w:rPr>
        <w:t>Consolidated Financial Statements</w:t>
      </w:r>
      <w:r>
        <w:rPr>
          <w:rFonts w:ascii="Arial" w:cs="Arial" w:eastAsia="Arial" w:hAnsi="Arial"/>
          <w:sz w:val="17"/>
          <w:szCs w:val="17"/>
          <w:color w:val="000000"/>
        </w:rPr>
        <w:t>.</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 other new accounting pronouncements, issued or effective during the first six months of fiscal 2017, have had or are expected to have a significant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2.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 with Bank of America, N.A.</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October 30, 2014, the Company amended its credit facility with Bank of America, N.A, effective October 29, 2014, by executing the Second Amendment to the Sixth Amended and Restated Loan and Security Agreement (as amended, the “Credit Facility”).</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Credit Facility provides for maximum committed borrowings of $125 million. The Credit Facility includes, pursuant to an accordion feature, the ability to increase the Credit Facility by an additional $50 million upon the request of the Company and the agreement of the lender(s) participating in the increase. The Credit Facility includes a sublimit of $20 million for commercial and standby letters of credit and a sublimit of up to $15 million for swingline loans. The Company’s ability to borrow under the Credit Facility is determined using an availability formula based on eligible assets. The maturity date of the Credit Facility is October 29, 2019. The Company’s obligations under the Credit Facility are secured by a lien on substantially all of its assets, excluding (i) a first priority lien held by the lenders of the Term Loan Facility on certain equipment of the Company described below and (ii) intellectual property.</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July 29, 2017, the Company had outstanding borrowings under the Credit Facility of $53.7 million, before unamortized debt issuance costs of $0.3 million. Outstanding standby letters of credit were $3.3 million and outstanding documentary letters of credit were $0.1 million. Unused excess availability at July 29, 2017 was $43.7 million. Average monthly borrowings outstanding under the Credit Facility during the first six months of fiscal 2017 were $58.6 million, resulting in an average unused excess availability of approximately $46.0 million. The Company’s ability to borrow under the Credit Facility is determined using an availability formula based on eligible assets, with increased advance rates based on seasonality. Pursuant to the terms of the Credit Facility, if the Company’s excess availability under the Credit Facility fails to be equal to or greater than the greater of (i) 10% of the Loan Cap (defined in the Credit Facility as the lesser of the revolving credit commitments at such time or the borrowing base at the relevant measurement time) and (ii) $7.5 million, the Company will be required to maintain a minimum consolidated fixed charge coverage ratio of 1.0:1.0 in order to pursue certain transactions, including but not limited to, stock repurchases, payment of dividends and business acquisitions.</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Borrowings made pursuant to the Credit Facility will bear interest at a rate equal to the base rate (determined as the highest of (a) Bank of America N.A.’s prime rate, (b) the Federal Funds rate plus 0.50% or (c) the annual ICE-LIBOR rate (“LIBOR”) for the respective interest period) plus a varying percentage, based on the Company’s borrowing base, of 0.50%-0.75% for prime-based borrowings and 1.50%-1.75% for LIBOR-based borrowings. The Company is also subject to an unused line fee of 0.25%. At July 29, 2017, the Company’s prime-based interest rate was 4.75%. At July 29, 2017, the Company had approximately $47.0 million of its outstanding borrowings in LIBOR-based contracts with an interest rate of 2.69%. The LIBOR-based contracts expired on August 1, 2017. When a LIBOR-based borrowing expires, the borrowings revert back to prime-based borrowings unless the Company enters into a new LIBOR-based borrowing arrangement.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amount outstanding under the Credit Facility at July 29, 2017 approximated the carrying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Components of long-term debt are as follows:</w:t>
      </w:r>
    </w:p>
    <w:p>
      <w:pPr>
        <w:spacing w:after="0" w:line="234" w:lineRule="exact"/>
        <w:rPr>
          <w:sz w:val="20"/>
          <w:szCs w:val="20"/>
          <w:color w:val="auto"/>
        </w:rPr>
      </w:pPr>
    </w:p>
    <w:tbl>
      <w:tblPr>
        <w:tblLayout w:type="fixed"/>
        <w:tblInd w:w="1560" w:type="dxa"/>
        <w:tblCellMar>
          <w:top w:w="0" w:type="dxa"/>
          <w:left w:w="0" w:type="dxa"/>
          <w:bottom w:w="0" w:type="dxa"/>
          <w:right w:w="0" w:type="dxa"/>
        </w:tblCellMar>
      </w:tblPr>
      <w:tr>
        <w:trPr>
          <w:trHeight w:val="167"/>
        </w:trPr>
        <w:tc>
          <w:tcPr>
            <w:tcW w:w="55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w w:val="98"/>
              </w:rPr>
              <w:t>July 29, 2017</w:t>
            </w:r>
          </w:p>
        </w:tc>
        <w:tc>
          <w:tcPr>
            <w:tcW w:w="20" w:type="dxa"/>
            <w:vAlign w:val="bottom"/>
          </w:tcPr>
          <w:p>
            <w:pPr>
              <w:spacing w:after="0"/>
              <w:rPr>
                <w:sz w:val="14"/>
                <w:szCs w:val="1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4"/>
                <w:szCs w:val="14"/>
                <w:color w:val="auto"/>
                <w:w w:val="96"/>
              </w:rPr>
              <w:t>January 28, 2017</w:t>
            </w:r>
          </w:p>
        </w:tc>
      </w:tr>
      <w:tr>
        <w:trPr>
          <w:trHeight w:val="223"/>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Equipment financing notes</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43"/>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Term loan, due 2019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12,250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12,750</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(258)</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(337)</w:t>
            </w: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Total long-term debt</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14,873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19,002</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6,941</w:t>
            </w:r>
          </w:p>
        </w:tc>
        <w:tc>
          <w:tcPr>
            <w:tcW w:w="80" w:type="dxa"/>
            <w:vAlign w:val="bottom"/>
            <w:shd w:val="clear" w:color="auto" w:fill="CFF0FC"/>
          </w:tcPr>
          <w:p>
            <w:pPr>
              <w:spacing w:after="0"/>
              <w:rPr>
                <w:sz w:val="19"/>
                <w:szCs w:val="19"/>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43"/>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12,061</w:t>
            </w:r>
          </w:p>
        </w:tc>
        <w:tc>
          <w:tcPr>
            <w:tcW w:w="8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a Master Loan and Security Agreement with Banc of America Leasing &amp; Capital, LLC, dated July 20, 2007 and amended on September 30, 2013 (the “Master Agreement”), the Company entered into twelve equipment security notes between September 2013 and June 2014 (in aggregate, the “Notes”), whereby the Company borrowed an aggregate of $26.4 million. The Notes are for a term of 48 months and accrue interest at fixed rates ranging from 3.07% to 3.50%. Principal and interest are paid monthly, in arrears.</w:t>
      </w:r>
    </w:p>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Notes are secured by a security interest in all of the Company’s rights, title and interest in and to certain equipment. The Company was subject to prepayment penalties through the second anniversary of each note. The Company is no longer subject to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ind w:right="40"/>
        <w:spacing w:after="0" w:line="277" w:lineRule="auto"/>
        <w:rPr>
          <w:sz w:val="20"/>
          <w:szCs w:val="20"/>
          <w:color w:val="auto"/>
        </w:rPr>
      </w:pPr>
      <w:r>
        <w:rPr>
          <w:rFonts w:ascii="Arial" w:cs="Arial" w:eastAsia="Arial" w:hAnsi="Arial"/>
          <w:sz w:val="18"/>
          <w:szCs w:val="18"/>
          <w:color w:val="auto"/>
        </w:rPr>
        <w:t>prepayment penalties. The Master Agreement includes default provisions that are customary for financings of this type and are similar and no more restrictive than the Company’s existing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30, 2014, the Company entered into a term loan agreement with respect to a new $15 million senior secured term loan facility with Wells Fargo Bank, National Association as administrative and collateral agent (the “Term Loan Facility”). The effective date of the Term Loan Facility is October 29, 2014 (the “Effective Date”). The proceeds from the Term Loan Facility were used to repay borrowings under the Credit Facility.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provides for quarterly principal payments on the first business day of each calendar quarter, which commenced the first business day of January 2015, in an aggregate principal amount equal to $250,000, subject to adjustment, with the balance payable on the termination date.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All prepayments are subject to an early termination fee in the amount of 1% of the amount prepaid through October 29, 2017.</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Facility matures on October 29, 2019. It is secured by a first priority lien on certain equipment of the Company, and a second priority lien on substantially all of the remaining assets of the Company, excluding intellectual property.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Long-Term Incentive Plans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following is a summary of the Company’s long-term incentive plans. Beginning on August 4, 2016, all equity awards granted under long-term incentive plans are issued from the Company’s stockholder-approved 2016 Incentive Compensation Plan. All prior awards were issued from the Company’s 2006 Incentive Compensation Plan, which expired on July 31, 2016. See Note 4, Stock-Based Compensation.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2016 Long-Term Incentive Wrap-Around Plan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2016 Long-Term Incentive Wrap-Around Plan (the “Wrap-Around Plan”), which was approved in the fourth quarter of fiscal 2014, was a supplemental performance-based incentive plan that was only effective if there was no vesting of the performance-based awards under the 2013-2016 LTIP and, as a result, all performance-based awards under that plan are forfeited. The performance targets under the 2013-2016 LTIP were not achieved at the end of fiscal 2016 and accordingly, the Wrap-Around Plan became effective.</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performance target under the Wrap-Around Plan consisted of two metrics, Sales and EBITDA, with threshold (50%), target (80%) and maximum (100%) payout levels. Each metric was weighted as 50% of the total performance target. However, in order for there to be any payout under either metric, EBITDA for fiscal 2016 had to be equal to or greater than the minimum threshold.</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Wrap-Around Plan also provided for an opportunity to receive additional shares of restricted stock if the performance targets were achieved and the Company’s closing stock price was $6.75 or higher on the day earnings for fiscal 2016 were publicly released, which was March 20, 2017. The stock did not achieve a minimum of $6.75, therefore, no additional award was earned.</w:t>
      </w:r>
    </w:p>
    <w:p>
      <w:pPr>
        <w:spacing w:after="0" w:line="18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Based on the operating results for fiscal 2016, the Company achieved 50.6% of its EBITDA target. The minimum threshold for the Sales target was not achieved. Accordingly, subsequent to year-end, in the first quarter of fiscal 2017, the Compensation Committee of the Board of Directors approved awards totaling $2.3 million, with a grant date of March 20, 2017. On that date, the Company granted shares of restricted stock, with a fair value of approximately $1.0 million and cash awards totaling approximately $1.3 million. All awards vested on July 28, 2017.</w:t>
      </w:r>
    </w:p>
    <w:p>
      <w:pPr>
        <w:spacing w:after="0" w:line="17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On March 20, 2017, in conjunction with the grant of restricted stock awards, the Company reclassified $0.9 million of the liability accrual from “</w:t>
      </w:r>
      <w:r>
        <w:rPr>
          <w:rFonts w:ascii="Arial" w:cs="Arial" w:eastAsia="Arial" w:hAnsi="Arial"/>
          <w:sz w:val="16"/>
          <w:szCs w:val="16"/>
          <w:i w:val="1"/>
          <w:iCs w:val="1"/>
          <w:color w:val="auto"/>
        </w:rPr>
        <w:t>Accrued</w:t>
      </w:r>
      <w:r>
        <w:rPr>
          <w:rFonts w:ascii="Arial" w:cs="Arial" w:eastAsia="Arial" w:hAnsi="Arial"/>
          <w:sz w:val="16"/>
          <w:szCs w:val="16"/>
          <w:color w:val="auto"/>
        </w:rPr>
        <w:t xml:space="preserve"> </w:t>
      </w:r>
      <w:r>
        <w:rPr>
          <w:rFonts w:ascii="Arial" w:cs="Arial" w:eastAsia="Arial" w:hAnsi="Arial"/>
          <w:sz w:val="16"/>
          <w:szCs w:val="16"/>
          <w:i w:val="1"/>
          <w:iCs w:val="1"/>
          <w:color w:val="auto"/>
        </w:rPr>
        <w:t>Expenses and Other Current Liabilities</w:t>
      </w:r>
      <w:r>
        <w:rPr>
          <w:rFonts w:ascii="Arial" w:cs="Arial" w:eastAsia="Arial" w:hAnsi="Arial"/>
          <w:sz w:val="16"/>
          <w:szCs w:val="16"/>
          <w:color w:val="auto"/>
        </w:rPr>
        <w:t>” to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See the Consolidated Statement of Changes in Stockholders’ Equity.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t>New Long-Term Incentive Plan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the 2013-2016 LTIP and Wrap-Around Plan expiring at the end of fiscal 2016, on March 15, 2016, the Compensation Committee approved the Destination XL Group, Inc. Long-Term Incentive Plan, as amended February 1, 2017 (the “new LTIP”).</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the new LTIP, each year the Compensation Committee will establish performance targets which will cover a two-year performance period (each a “Performance Period”), thereby creating overlapping Performance Periods. Each participant in the plan will be entitled to receive an award based on that participant’s “Target Cash Value” which is defined as the participant’s annual base salary (on the participant’s effective date) multiplied by his or her long-term incentive program percentage, which is 100% for the Company’s Chief Executive Officer, 70% for its senior executives and 25% for other participants in the plan. Because of the overlapping two-year Performance Periods, the Target Cash Value for any award is based on one year of annual salary, as opposed to two years, to avoid doubling an award payout in any given fiscal year.</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each participant, 50% of the Target Cash Value is subject to time-based vesting and 50% is subject to performance-based vesting. The time-vested portion of the award will vest in two installments with 50% of the time-vested portion vesting on April 1 following the fiscal year end which marks the end of the applicable Performance Period and 50% vesting on April 1 the succeeding year. The performance-based vesting is subject to the achievement of the performance target(s) for the applicable Performance Period. Any performance award granted will vest on August 31 following the end of the applicable Performance Period.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2016-2017 Performance Period, the Compensation Committee established two performance targets under the LTIP (the “2016-2017 LTIP”), each weighted 50%. The first target is EBITDA for fiscal 2017, defined as earnings before interest, taxes, depreciation and amortization, and the second target is “DXL Comparable Store Marginal Cash-Over-Cash Return”, defined as the aggregate of each comparable DXL store’s four-wall cash flow for fiscal 2017 divided by the aggregate capital investment, net of any tenant allowance, for each comparable DXL store.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2017-2018 Performance Period, the Compensation Committee established two performance targets under the LTIP (the “2017-2018 LTIP”), each weighted 50%. The first target is Total Company Comparable Sales and will be measured based on a two-year stack, which is the sum of the Total Company Comparable Sales for fiscal 2017 and fiscal 2018. The second target is a Modified ROIC, which is defined as Operating Income divided by Invested Capital (Total Debt plus Stockholders’ Equity).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 awards granted under both the 2016-2017 LTIP and 2017-2018 LTIP were in restricted stock units (RSUs). Assuming that the Company achieves the performance target at target levels and all time-vested awards vest, the compensation expense associated with the 2016-2017 LTIP and 2017-2018 LTIP is estimated to be approximately $4.0 million and $4.2 million, respectively. Approximately half of the compensation expense for each plan relates to the time-vested RSUs, which are being expensed over thirty-six months, based on the respective vesting dates. With respect to the performance-based component, RSUs will be granted at the end of the performance period if the performance targets are achieved. Through the end of the second quarter of fiscal 2017, the Company had accrued approximately $0.3 million and $0.1 million in compensation expense related to the potential payout of performance awards under the 2016-2017 LTIP and 2017-2018 LTIP,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the end of the second quarter of fiscal 2016, the Company’s 2006 Incentive Compensation Plan (as amended and restated effective as of August 1, 2013, the “2006 Plan”) was the only stockholder-approved plan. The 2006 Plan expired on July 31, 2016. In the third quarter of fiscal 2016, at the Company’s 2016 Annual Meeting of Stockholders held August 4, 2016, the Company’s stockholders approved the adoption of the 2016 Incentive Compensation Plan (the “2016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2016 Plan</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initial share reserve under the 2016 Plan, including the rollover of 525,538 available shares under our 2006 Plan was 5,725,538 shares of our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In accordance with the terms of the 2016 Plan, any shares outstanding under the 2006 Plan at August 4, 2016 that subsequently terminate, expire or are canceled for any reason without having been exercised or paid are added back and become available for issuance under the 2016 Plan, with options and stock appreciation rights being added back on a one-for-one basis and full-value awards being added back on a 1 to 1.9 basis. At July 29, 2017, the Company had 6,479,451 shares available under the 2016 Plan.</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right="60"/>
        <w:spacing w:after="0" w:line="260" w:lineRule="auto"/>
        <w:rPr>
          <w:sz w:val="20"/>
          <w:szCs w:val="20"/>
          <w:color w:val="auto"/>
        </w:rPr>
      </w:pPr>
      <w:r>
        <w:rPr>
          <w:rFonts w:ascii="Arial" w:cs="Arial" w:eastAsia="Arial" w:hAnsi="Arial"/>
          <w:sz w:val="18"/>
          <w:szCs w:val="18"/>
          <w:color w:val="auto"/>
        </w:rPr>
        <w:t>The following tables summarize the share activity and stock option activity for the Company’s 2006 Plan and 2016 Plan, on a combined basis, for the first six months of fiscal 2017:</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6"/>
                <w:szCs w:val="16"/>
                <w:color w:val="auto"/>
                <w:w w:val="90"/>
              </w:rPr>
              <w:t>Weighted-</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average</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180" w:type="dxa"/>
            <w:vAlign w:val="bottom"/>
            <w:gridSpan w:val="2"/>
            <w:vMerge w:val="restart"/>
          </w:tcPr>
          <w:p>
            <w:pPr>
              <w:jc w:val="right"/>
              <w:ind w:right="400"/>
              <w:spacing w:after="0"/>
              <w:rPr>
                <w:sz w:val="20"/>
                <w:szCs w:val="20"/>
                <w:color w:val="auto"/>
              </w:rPr>
            </w:pPr>
            <w:r>
              <w:rPr>
                <w:rFonts w:ascii="Arial" w:cs="Arial" w:eastAsia="Arial" w:hAnsi="Arial"/>
                <w:sz w:val="16"/>
                <w:szCs w:val="16"/>
                <w:color w:val="auto"/>
              </w:rPr>
              <w:t>Restricted</w:t>
            </w: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Restricted</w:t>
            </w: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6"/>
                <w:szCs w:val="16"/>
                <w:color w:val="auto"/>
              </w:rPr>
              <w:t>Deferred</w:t>
            </w: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w w:val="97"/>
              </w:rPr>
              <w:t>Fully-vested</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w w:val="91"/>
              </w:rPr>
              <w:t>Total number</w:t>
            </w:r>
          </w:p>
        </w:tc>
        <w:tc>
          <w:tcPr>
            <w:tcW w:w="80" w:type="dxa"/>
            <w:vAlign w:val="bottom"/>
          </w:tcPr>
          <w:p>
            <w:pPr>
              <w:spacing w:after="0"/>
              <w:rPr>
                <w:sz w:val="17"/>
                <w:szCs w:val="17"/>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6"/>
                <w:szCs w:val="16"/>
                <w:color w:val="auto"/>
                <w:w w:val="90"/>
              </w:rPr>
              <w:t>grant-date</w:t>
            </w:r>
          </w:p>
        </w:tc>
        <w:tc>
          <w:tcPr>
            <w:tcW w:w="0" w:type="dxa"/>
            <w:vAlign w:val="bottom"/>
          </w:tcPr>
          <w:p>
            <w:pPr>
              <w:spacing w:after="0"/>
              <w:rPr>
                <w:sz w:val="1"/>
                <w:szCs w:val="1"/>
                <w:color w:val="auto"/>
              </w:rPr>
            </w:pPr>
          </w:p>
        </w:tc>
      </w:tr>
      <w:tr>
        <w:trPr>
          <w:trHeight w:val="145"/>
        </w:trPr>
        <w:tc>
          <w:tcPr>
            <w:tcW w:w="49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w w:val="93"/>
              </w:rPr>
              <w:t>Stock Units</w:t>
            </w: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6"/>
                <w:szCs w:val="16"/>
                <w:color w:val="auto"/>
                <w:w w:val="95"/>
              </w:rPr>
              <w:t>fair value</w:t>
            </w:r>
          </w:p>
        </w:tc>
        <w:tc>
          <w:tcPr>
            <w:tcW w:w="0" w:type="dxa"/>
            <w:vAlign w:val="bottom"/>
          </w:tcPr>
          <w:p>
            <w:pPr>
              <w:spacing w:after="0"/>
              <w:rPr>
                <w:sz w:val="1"/>
                <w:szCs w:val="1"/>
                <w:color w:val="auto"/>
              </w:rPr>
            </w:pPr>
          </w:p>
        </w:tc>
      </w:tr>
      <w:tr>
        <w:trPr>
          <w:trHeight w:val="54"/>
        </w:trPr>
        <w:tc>
          <w:tcPr>
            <w:tcW w:w="4900" w:type="dxa"/>
            <w:vAlign w:val="bottom"/>
          </w:tcPr>
          <w:p>
            <w:pPr>
              <w:spacing w:after="0"/>
              <w:rPr>
                <w:sz w:val="4"/>
                <w:szCs w:val="4"/>
                <w:color w:val="auto"/>
              </w:rPr>
            </w:pPr>
          </w:p>
        </w:tc>
        <w:tc>
          <w:tcPr>
            <w:tcW w:w="1180" w:type="dxa"/>
            <w:vAlign w:val="bottom"/>
            <w:gridSpan w:val="2"/>
            <w:vMerge w:val="restart"/>
          </w:tcPr>
          <w:p>
            <w:pPr>
              <w:jc w:val="right"/>
              <w:ind w:right="520"/>
              <w:spacing w:after="0"/>
              <w:rPr>
                <w:sz w:val="20"/>
                <w:szCs w:val="20"/>
                <w:color w:val="auto"/>
              </w:rPr>
            </w:pPr>
            <w:r>
              <w:rPr>
                <w:rFonts w:ascii="Arial" w:cs="Arial" w:eastAsia="Arial" w:hAnsi="Arial"/>
                <w:sz w:val="16"/>
                <w:szCs w:val="16"/>
                <w:color w:val="auto"/>
              </w:rPr>
              <w:t>shares</w:t>
            </w:r>
          </w:p>
        </w:tc>
        <w:tc>
          <w:tcPr>
            <w:tcW w:w="1060" w:type="dxa"/>
            <w:vAlign w:val="bottom"/>
            <w:gridSpan w:val="2"/>
            <w:vMerge w:val="continue"/>
          </w:tcPr>
          <w:p>
            <w:pPr>
              <w:spacing w:after="0"/>
              <w:rPr>
                <w:sz w:val="4"/>
                <w:szCs w:val="4"/>
                <w:color w:val="auto"/>
              </w:rPr>
            </w:pPr>
          </w:p>
        </w:tc>
        <w:tc>
          <w:tcPr>
            <w:tcW w:w="1120" w:type="dxa"/>
            <w:vAlign w:val="bottom"/>
            <w:gridSpan w:val="2"/>
            <w:vMerge w:val="restart"/>
          </w:tcPr>
          <w:p>
            <w:pPr>
              <w:jc w:val="right"/>
              <w:ind w:right="380"/>
              <w:spacing w:after="0" w:line="216" w:lineRule="exact"/>
              <w:rPr>
                <w:sz w:val="20"/>
                <w:szCs w:val="20"/>
                <w:color w:val="auto"/>
              </w:rPr>
            </w:pPr>
            <w:r>
              <w:rPr>
                <w:rFonts w:ascii="Arial" w:cs="Arial" w:eastAsia="Arial" w:hAnsi="Arial"/>
                <w:sz w:val="15"/>
                <w:szCs w:val="15"/>
                <w:color w:val="auto"/>
              </w:rPr>
              <w:t xml:space="preserve">shares </w:t>
            </w:r>
            <w:r>
              <w:rPr>
                <w:rFonts w:ascii="Arial" w:cs="Arial" w:eastAsia="Arial" w:hAnsi="Arial"/>
                <w:sz w:val="25"/>
                <w:szCs w:val="25"/>
                <w:color w:val="auto"/>
                <w:vertAlign w:val="superscript"/>
              </w:rPr>
              <w:t>(2)</w:t>
            </w:r>
          </w:p>
        </w:tc>
        <w:tc>
          <w:tcPr>
            <w:tcW w:w="1120" w:type="dxa"/>
            <w:vAlign w:val="bottom"/>
            <w:gridSpan w:val="2"/>
            <w:vMerge w:val="restart"/>
          </w:tcPr>
          <w:p>
            <w:pPr>
              <w:jc w:val="right"/>
              <w:ind w:right="380"/>
              <w:spacing w:after="0" w:line="216" w:lineRule="exact"/>
              <w:rPr>
                <w:sz w:val="20"/>
                <w:szCs w:val="20"/>
                <w:color w:val="auto"/>
              </w:rPr>
            </w:pPr>
            <w:r>
              <w:rPr>
                <w:rFonts w:ascii="Arial" w:cs="Arial" w:eastAsia="Arial" w:hAnsi="Arial"/>
                <w:sz w:val="15"/>
                <w:szCs w:val="15"/>
                <w:color w:val="auto"/>
              </w:rPr>
              <w:t xml:space="preserve">shares </w:t>
            </w:r>
            <w:r>
              <w:rPr>
                <w:rFonts w:ascii="Arial" w:cs="Arial" w:eastAsia="Arial" w:hAnsi="Arial"/>
                <w:sz w:val="25"/>
                <w:szCs w:val="25"/>
                <w:color w:val="auto"/>
                <w:vertAlign w:val="superscript"/>
              </w:rPr>
              <w:t>(3)</w:t>
            </w: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of shares</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40"/>
              <w:spacing w:after="0"/>
              <w:rPr>
                <w:sz w:val="20"/>
                <w:szCs w:val="20"/>
                <w:color w:val="auto"/>
              </w:rPr>
            </w:pPr>
            <w:r>
              <w:rPr>
                <w:rFonts w:ascii="Arial" w:cs="Arial" w:eastAsia="Arial" w:hAnsi="Arial"/>
                <w:sz w:val="14"/>
                <w:szCs w:val="14"/>
                <w:color w:val="auto"/>
                <w:w w:val="93"/>
              </w:rPr>
              <w:t>(4)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900" w:type="dxa"/>
            <w:vAlign w:val="bottom"/>
          </w:tcPr>
          <w:p>
            <w:pPr>
              <w:spacing w:after="0"/>
              <w:rPr>
                <w:sz w:val="20"/>
                <w:szCs w:val="20"/>
                <w:color w:val="auto"/>
              </w:rPr>
            </w:pPr>
            <w:r>
              <w:rPr>
                <w:rFonts w:ascii="Arial" w:cs="Arial" w:eastAsia="Arial" w:hAnsi="Arial"/>
                <w:sz w:val="16"/>
                <w:szCs w:val="16"/>
                <w:b w:val="1"/>
                <w:bCs w:val="1"/>
                <w:color w:val="auto"/>
              </w:rPr>
              <w:t>Shares</w:t>
            </w:r>
          </w:p>
        </w:tc>
        <w:tc>
          <w:tcPr>
            <w:tcW w:w="9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Outstanding non-vested shares at beginning of year</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856,332</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369,828</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64,876</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1,291,036</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260"/>
              <w:spacing w:after="0"/>
              <w:rPr>
                <w:sz w:val="20"/>
                <w:szCs w:val="20"/>
                <w:color w:val="auto"/>
              </w:rPr>
            </w:pPr>
            <w:r>
              <w:rPr>
                <w:rFonts w:ascii="Arial" w:cs="Arial" w:eastAsia="Arial" w:hAnsi="Arial"/>
                <w:sz w:val="16"/>
                <w:szCs w:val="16"/>
                <w:color w:val="auto"/>
              </w:rPr>
              <w:t>Shares granted</w:t>
            </w:r>
          </w:p>
        </w:tc>
        <w:tc>
          <w:tcPr>
            <w:tcW w:w="920" w:type="dxa"/>
            <w:vAlign w:val="bottom"/>
          </w:tcPr>
          <w:p>
            <w:pPr>
              <w:jc w:val="right"/>
              <w:spacing w:after="0"/>
              <w:rPr>
                <w:sz w:val="20"/>
                <w:szCs w:val="20"/>
                <w:color w:val="auto"/>
              </w:rPr>
            </w:pPr>
            <w:r>
              <w:rPr>
                <w:rFonts w:ascii="Arial" w:cs="Arial" w:eastAsia="Arial" w:hAnsi="Arial"/>
                <w:sz w:val="16"/>
                <w:szCs w:val="16"/>
                <w:color w:val="auto"/>
              </w:rPr>
              <w:t>484,558</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782,357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43,467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40,109</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1,350,491</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Shares vested/issued</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(430,336)</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(9,662)</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(5,308)</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(40,109)</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(485,415)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260"/>
              <w:spacing w:after="0"/>
              <w:rPr>
                <w:sz w:val="20"/>
                <w:szCs w:val="20"/>
                <w:color w:val="auto"/>
              </w:rPr>
            </w:pPr>
            <w:r>
              <w:rPr>
                <w:rFonts w:ascii="Arial" w:cs="Arial" w:eastAsia="Arial" w:hAnsi="Arial"/>
                <w:sz w:val="16"/>
                <w:szCs w:val="16"/>
                <w:color w:val="auto"/>
              </w:rPr>
              <w:t>Shares canceled</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(857,221)</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(23,035)</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(880,256)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Outstanding non-vested shares at end of quarter</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53,333</w:t>
            </w:r>
          </w:p>
        </w:tc>
        <w:tc>
          <w:tcPr>
            <w:tcW w:w="26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1,119,488</w:t>
            </w:r>
          </w:p>
        </w:tc>
        <w:tc>
          <w:tcPr>
            <w:tcW w:w="2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103,035</w:t>
            </w:r>
          </w:p>
        </w:tc>
        <w:tc>
          <w:tcPr>
            <w:tcW w:w="2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1,275,856</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60" w:right="80" w:hanging="374"/>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Restricted Stock Units (“RSUs”) were primarily granted in connection with the 2017-2018 LTIP. The RSUs will vest in two tranches with the first 50% vesting on April 1, 2019 and the second 50% vesting on April 1, 2020.</w:t>
      </w:r>
    </w:p>
    <w:p>
      <w:pPr>
        <w:spacing w:after="0" w:line="62" w:lineRule="exact"/>
        <w:rPr>
          <w:rFonts w:ascii="Arial" w:cs="Arial" w:eastAsia="Arial" w:hAnsi="Arial"/>
          <w:sz w:val="18"/>
          <w:szCs w:val="18"/>
          <w:color w:val="auto"/>
        </w:rPr>
      </w:pPr>
    </w:p>
    <w:p>
      <w:pPr>
        <w:ind w:left="760" w:right="200" w:hanging="374"/>
        <w:spacing w:after="0" w:line="26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43,467 shares of deferred stock, with a fair value of $121,612, represent compensation to certain directors in lieu of cash, in accordance with their irrevocable elections. The shares of deferred stock will vest three years from the date of grant or at separation of service, based on the irrevocable election of each director.</w:t>
      </w:r>
    </w:p>
    <w:p>
      <w:pPr>
        <w:spacing w:after="0" w:line="73" w:lineRule="exact"/>
        <w:rPr>
          <w:rFonts w:ascii="Arial" w:cs="Arial" w:eastAsia="Arial" w:hAnsi="Arial"/>
          <w:sz w:val="18"/>
          <w:szCs w:val="18"/>
          <w:color w:val="auto"/>
        </w:rPr>
      </w:pPr>
    </w:p>
    <w:p>
      <w:pPr>
        <w:ind w:left="760" w:right="360" w:hanging="374"/>
        <w:spacing w:after="0" w:line="302"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first six months of fiscal 2017, the Company granted 40,109 shares of stock, with a fair value of approximately $115,018, to certain directors as compensation in lieu of cash, in accordance with their irrevocable elections. Directors are required to elect 50% of their quarterly retainer in equity. Any shares in excess of the minimum required election are issued from the Company’s Third Amendment to the Second Amended and Restated Non-Employee Director Compensation Plan (“Non-Employee Director Compensation Plan”).</w:t>
      </w:r>
    </w:p>
    <w:p>
      <w:pPr>
        <w:spacing w:after="0" w:line="46" w:lineRule="exact"/>
        <w:rPr>
          <w:rFonts w:ascii="Arial" w:cs="Arial" w:eastAsia="Arial" w:hAnsi="Arial"/>
          <w:sz w:val="16"/>
          <w:szCs w:val="16"/>
          <w:color w:val="auto"/>
        </w:rPr>
      </w:pPr>
    </w:p>
    <w:p>
      <w:pPr>
        <w:ind w:left="760" w:right="380" w:hanging="374"/>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fair value of a restricted share, deferred share and fully-vested share is equal to the Company’s closing stock price on the day immediately preceding the date of grant.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Weighted-</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86"/>
              </w:rPr>
              <w:t>average</w:t>
            </w:r>
          </w:p>
        </w:tc>
        <w:tc>
          <w:tcPr>
            <w:tcW w:w="1540" w:type="dxa"/>
            <w:vAlign w:val="bottom"/>
            <w:gridSpan w:val="3"/>
          </w:tcPr>
          <w:p>
            <w:pPr>
              <w:jc w:val="center"/>
              <w:ind w:right="240"/>
              <w:spacing w:after="0"/>
              <w:rPr>
                <w:sz w:val="20"/>
                <w:szCs w:val="20"/>
                <w:color w:val="auto"/>
              </w:rPr>
            </w:pPr>
            <w:r>
              <w:rPr>
                <w:rFonts w:ascii="Arial" w:cs="Arial" w:eastAsia="Arial" w:hAnsi="Arial"/>
                <w:sz w:val="16"/>
                <w:szCs w:val="16"/>
                <w:color w:val="auto"/>
                <w:w w:val="90"/>
              </w:rPr>
              <w:t>Weighted-average</w:t>
            </w:r>
          </w:p>
        </w:tc>
        <w:tc>
          <w:tcPr>
            <w:tcW w:w="1180" w:type="dxa"/>
            <w:vAlign w:val="bottom"/>
          </w:tcPr>
          <w:p>
            <w:pPr>
              <w:spacing w:after="0"/>
              <w:rPr>
                <w:sz w:val="17"/>
                <w:szCs w:val="17"/>
                <w:color w:val="auto"/>
              </w:rPr>
            </w:pPr>
          </w:p>
        </w:tc>
      </w:tr>
      <w:tr>
        <w:trPr>
          <w:trHeight w:val="203"/>
        </w:trPr>
        <w:tc>
          <w:tcPr>
            <w:tcW w:w="6040" w:type="dxa"/>
            <w:vAlign w:val="bottom"/>
          </w:tcPr>
          <w:p>
            <w:pPr>
              <w:spacing w:after="0"/>
              <w:rPr>
                <w:sz w:val="17"/>
                <w:szCs w:val="17"/>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6"/>
                <w:szCs w:val="16"/>
                <w:color w:val="auto"/>
              </w:rPr>
              <w:t>Number of</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exercise price</w:t>
            </w:r>
          </w:p>
        </w:tc>
        <w:tc>
          <w:tcPr>
            <w:tcW w:w="1540" w:type="dxa"/>
            <w:vAlign w:val="bottom"/>
            <w:gridSpan w:val="3"/>
          </w:tcPr>
          <w:p>
            <w:pPr>
              <w:jc w:val="center"/>
              <w:ind w:right="240"/>
              <w:spacing w:after="0"/>
              <w:rPr>
                <w:sz w:val="20"/>
                <w:szCs w:val="20"/>
                <w:color w:val="auto"/>
              </w:rPr>
            </w:pPr>
            <w:r>
              <w:rPr>
                <w:rFonts w:ascii="Arial" w:cs="Arial" w:eastAsia="Arial" w:hAnsi="Arial"/>
                <w:sz w:val="16"/>
                <w:szCs w:val="16"/>
                <w:color w:val="auto"/>
                <w:w w:val="93"/>
              </w:rPr>
              <w:t>remaining</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Aggregate</w:t>
            </w:r>
          </w:p>
        </w:tc>
      </w:tr>
      <w:tr>
        <w:trPr>
          <w:trHeight w:val="209"/>
        </w:trPr>
        <w:tc>
          <w:tcPr>
            <w:tcW w:w="60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6"/>
                <w:szCs w:val="16"/>
                <w:color w:val="auto"/>
              </w:rPr>
              <w:t>shares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per option</w:t>
            </w:r>
          </w:p>
        </w:tc>
        <w:tc>
          <w:tcPr>
            <w:tcW w:w="1540" w:type="dxa"/>
            <w:vAlign w:val="bottom"/>
            <w:gridSpan w:val="3"/>
          </w:tcPr>
          <w:p>
            <w:pPr>
              <w:jc w:val="center"/>
              <w:ind w:right="240"/>
              <w:spacing w:after="0"/>
              <w:rPr>
                <w:sz w:val="20"/>
                <w:szCs w:val="20"/>
                <w:color w:val="auto"/>
              </w:rPr>
            </w:pPr>
            <w:r>
              <w:rPr>
                <w:rFonts w:ascii="Arial" w:cs="Arial" w:eastAsia="Arial" w:hAnsi="Arial"/>
                <w:sz w:val="16"/>
                <w:szCs w:val="16"/>
                <w:color w:val="auto"/>
                <w:w w:val="92"/>
              </w:rPr>
              <w:t>contractual term</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w w:val="94"/>
              </w:rPr>
              <w:t>intrinsic value</w:t>
            </w:r>
          </w:p>
        </w:tc>
      </w:tr>
      <w:tr>
        <w:trPr>
          <w:trHeight w:val="213"/>
        </w:trPr>
        <w:tc>
          <w:tcPr>
            <w:tcW w:w="6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Stock Options</w:t>
            </w: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r>
      <w:tr>
        <w:trPr>
          <w:trHeight w:val="213"/>
        </w:trPr>
        <w:tc>
          <w:tcPr>
            <w:tcW w:w="6040" w:type="dxa"/>
            <w:vAlign w:val="bottom"/>
          </w:tcPr>
          <w:p>
            <w:pPr>
              <w:ind w:left="260"/>
              <w:spacing w:after="0"/>
              <w:rPr>
                <w:sz w:val="20"/>
                <w:szCs w:val="20"/>
                <w:color w:val="auto"/>
              </w:rPr>
            </w:pPr>
            <w:r>
              <w:rPr>
                <w:rFonts w:ascii="Arial" w:cs="Arial" w:eastAsia="Arial" w:hAnsi="Arial"/>
                <w:sz w:val="16"/>
                <w:szCs w:val="16"/>
                <w:color w:val="auto"/>
              </w:rPr>
              <w:t>Outstanding options at beginning of year</w:t>
            </w:r>
          </w:p>
        </w:tc>
        <w:tc>
          <w:tcPr>
            <w:tcW w:w="1160" w:type="dxa"/>
            <w:vAlign w:val="bottom"/>
          </w:tcPr>
          <w:p>
            <w:pPr>
              <w:jc w:val="right"/>
              <w:spacing w:after="0"/>
              <w:rPr>
                <w:sz w:val="20"/>
                <w:szCs w:val="20"/>
                <w:color w:val="auto"/>
              </w:rPr>
            </w:pPr>
            <w:r>
              <w:rPr>
                <w:rFonts w:ascii="Arial" w:cs="Arial" w:eastAsia="Arial" w:hAnsi="Arial"/>
                <w:sz w:val="16"/>
                <w:szCs w:val="16"/>
                <w:color w:val="auto"/>
              </w:rPr>
              <w:t>2,524,546</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4.98</w:t>
            </w:r>
          </w:p>
        </w:tc>
        <w:tc>
          <w:tcPr>
            <w:tcW w:w="180" w:type="dxa"/>
            <w:vAlign w:val="bottom"/>
          </w:tcPr>
          <w:p>
            <w:pPr>
              <w:spacing w:after="0"/>
              <w:rPr>
                <w:sz w:val="18"/>
                <w:szCs w:val="18"/>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11,286</w:t>
            </w:r>
          </w:p>
        </w:tc>
      </w:tr>
      <w:tr>
        <w:trPr>
          <w:trHeight w:val="21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Options granted</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13"/>
        </w:trPr>
        <w:tc>
          <w:tcPr>
            <w:tcW w:w="6040" w:type="dxa"/>
            <w:vAlign w:val="bottom"/>
          </w:tcPr>
          <w:p>
            <w:pPr>
              <w:ind w:left="260"/>
              <w:spacing w:after="0"/>
              <w:rPr>
                <w:sz w:val="20"/>
                <w:szCs w:val="20"/>
                <w:color w:val="auto"/>
              </w:rPr>
            </w:pPr>
            <w:r>
              <w:rPr>
                <w:rFonts w:ascii="Arial" w:cs="Arial" w:eastAsia="Arial" w:hAnsi="Arial"/>
                <w:sz w:val="16"/>
                <w:szCs w:val="16"/>
                <w:color w:val="auto"/>
              </w:rPr>
              <w:t>Options canceled</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(1,147,398)</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4.96</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Options exercised</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r>
      <w:tr>
        <w:trPr>
          <w:trHeight w:val="207"/>
        </w:trPr>
        <w:tc>
          <w:tcPr>
            <w:tcW w:w="6040" w:type="dxa"/>
            <w:vAlign w:val="bottom"/>
          </w:tcPr>
          <w:p>
            <w:pPr>
              <w:ind w:left="260"/>
              <w:spacing w:after="0"/>
              <w:rPr>
                <w:sz w:val="20"/>
                <w:szCs w:val="20"/>
                <w:color w:val="auto"/>
              </w:rPr>
            </w:pPr>
            <w:r>
              <w:rPr>
                <w:rFonts w:ascii="Arial" w:cs="Arial" w:eastAsia="Arial" w:hAnsi="Arial"/>
                <w:sz w:val="16"/>
                <w:szCs w:val="16"/>
                <w:color w:val="auto"/>
              </w:rPr>
              <w:t>Outstanding options at end of quarter</w:t>
            </w:r>
          </w:p>
        </w:tc>
        <w:tc>
          <w:tcPr>
            <w:tcW w:w="1160" w:type="dxa"/>
            <w:vAlign w:val="bottom"/>
          </w:tcPr>
          <w:p>
            <w:pPr>
              <w:jc w:val="right"/>
              <w:spacing w:after="0"/>
              <w:rPr>
                <w:sz w:val="20"/>
                <w:szCs w:val="20"/>
                <w:color w:val="auto"/>
              </w:rPr>
            </w:pPr>
            <w:r>
              <w:rPr>
                <w:rFonts w:ascii="Arial" w:cs="Arial" w:eastAsia="Arial" w:hAnsi="Arial"/>
                <w:sz w:val="16"/>
                <w:szCs w:val="16"/>
                <w:color w:val="auto"/>
              </w:rPr>
              <w:t>1,377,148</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4.97</w:t>
            </w:r>
          </w:p>
        </w:tc>
        <w:tc>
          <w:tcPr>
            <w:tcW w:w="180" w:type="dxa"/>
            <w:vAlign w:val="bottom"/>
          </w:tcPr>
          <w:p>
            <w:pPr>
              <w:spacing w:after="0"/>
              <w:rPr>
                <w:sz w:val="17"/>
                <w:szCs w:val="17"/>
                <w:color w:val="auto"/>
              </w:rPr>
            </w:pPr>
          </w:p>
        </w:tc>
        <w:tc>
          <w:tcPr>
            <w:tcW w:w="1540" w:type="dxa"/>
            <w:vAlign w:val="bottom"/>
            <w:gridSpan w:val="3"/>
          </w:tcPr>
          <w:p>
            <w:pPr>
              <w:ind w:left="700"/>
              <w:spacing w:after="0"/>
              <w:rPr>
                <w:sz w:val="20"/>
                <w:szCs w:val="20"/>
                <w:color w:val="auto"/>
              </w:rPr>
            </w:pPr>
            <w:r>
              <w:rPr>
                <w:rFonts w:ascii="Arial" w:cs="Arial" w:eastAsia="Arial" w:hAnsi="Arial"/>
                <w:sz w:val="16"/>
                <w:szCs w:val="16"/>
                <w:color w:val="auto"/>
                <w:w w:val="98"/>
              </w:rPr>
              <w:t>5.0 years  $</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Options exercisable at end of quarter</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1,377,148</w:t>
            </w:r>
          </w:p>
        </w:tc>
        <w:tc>
          <w:tcPr>
            <w:tcW w:w="1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w:t>
            </w:r>
          </w:p>
        </w:tc>
        <w:tc>
          <w:tcPr>
            <w:tcW w:w="1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ind w:left="700"/>
              <w:spacing w:after="0"/>
              <w:rPr>
                <w:sz w:val="20"/>
                <w:szCs w:val="20"/>
                <w:color w:val="auto"/>
              </w:rPr>
            </w:pPr>
            <w:r>
              <w:rPr>
                <w:rFonts w:ascii="Arial" w:cs="Arial" w:eastAsia="Arial" w:hAnsi="Arial"/>
                <w:sz w:val="16"/>
                <w:szCs w:val="16"/>
                <w:color w:val="auto"/>
              </w:rPr>
              <w:t>5.0 years</w:t>
            </w:r>
          </w:p>
        </w:tc>
        <w:tc>
          <w:tcPr>
            <w:tcW w:w="11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Assumptions</w:t>
      </w:r>
    </w:p>
    <w:p>
      <w:pPr>
        <w:spacing w:after="0" w:line="11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For the first six months of fiscal 2017, the Company granted 484,558 shares of restricted stock, 782,357 RSUs and 43,467 shares of deferred stock. For the first six months of fiscal 2016, the Company granted 23,323 shares of deferred stock and 427,874 RSUs. There were no grants of stock options during the first six months of fiscal 2017 and fiscal 2016.</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otherwise specified by the Compensation Committee, RSUs, restricted stock and deferred stock are valued using the closing price of the Company’s common stock on the day immediately preceding the date of grant.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Non-Employee Director Compensation Plan</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granted 18,054 shares of common stock, with a fair value of approximately $49,428, to certain of its non-employee directors as compensation in lieu of cash in the first six months of fiscal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Compensation Expense</w:t>
      </w:r>
    </w:p>
    <w:p>
      <w:pPr>
        <w:spacing w:after="0" w:line="117"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The Company recognized total stock-based compensation expense of $0.8 million for both the first six months of fiscal 2017 and fiscal 2016. The total compensation cost related to time-vested stock options, restricted stock and RSU awards not yet recognized as of July 29, 2017 was approximately $2.8 million, net of estimated forfeitures, which will be expensed over a weighted average remaining life of 24 months.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5.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900" w:type="dxa"/>
            <w:vAlign w:val="bottom"/>
          </w:tcPr>
          <w:p>
            <w:pPr>
              <w:spacing w:after="0"/>
              <w:rPr>
                <w:sz w:val="17"/>
                <w:szCs w:val="17"/>
                <w:color w:val="auto"/>
              </w:rPr>
            </w:pPr>
          </w:p>
        </w:tc>
        <w:tc>
          <w:tcPr>
            <w:tcW w:w="2760" w:type="dxa"/>
            <w:vAlign w:val="bottom"/>
            <w:gridSpan w:val="4"/>
          </w:tcPr>
          <w:p>
            <w:pPr>
              <w:ind w:left="360"/>
              <w:spacing w:after="0"/>
              <w:rPr>
                <w:sz w:val="20"/>
                <w:szCs w:val="20"/>
                <w:color w:val="auto"/>
              </w:rPr>
            </w:pPr>
            <w:r>
              <w:rPr>
                <w:rFonts w:ascii="Arial" w:cs="Arial" w:eastAsia="Arial" w:hAnsi="Arial"/>
                <w:sz w:val="16"/>
                <w:szCs w:val="16"/>
                <w:color w:val="auto"/>
              </w:rPr>
              <w:t>For the three months ended</w:t>
            </w:r>
          </w:p>
        </w:tc>
        <w:tc>
          <w:tcPr>
            <w:tcW w:w="2660" w:type="dxa"/>
            <w:vAlign w:val="bottom"/>
            <w:gridSpan w:val="4"/>
          </w:tcPr>
          <w:p>
            <w:pPr>
              <w:ind w:left="440"/>
              <w:spacing w:after="0"/>
              <w:rPr>
                <w:sz w:val="20"/>
                <w:szCs w:val="20"/>
                <w:color w:val="auto"/>
              </w:rPr>
            </w:pPr>
            <w:r>
              <w:rPr>
                <w:rFonts w:ascii="Arial" w:cs="Arial" w:eastAsia="Arial" w:hAnsi="Arial"/>
                <w:sz w:val="16"/>
                <w:szCs w:val="16"/>
                <w:color w:val="auto"/>
              </w:rPr>
              <w:t>For the six months ended</w:t>
            </w:r>
          </w:p>
        </w:tc>
      </w:tr>
      <w:tr>
        <w:trPr>
          <w:trHeight w:val="216"/>
        </w:trPr>
        <w:tc>
          <w:tcPr>
            <w:tcW w:w="590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6"/>
                <w:szCs w:val="16"/>
                <w:color w:val="auto"/>
              </w:rPr>
              <w:t>July 29, 2017</w:t>
            </w:r>
          </w:p>
        </w:tc>
        <w:tc>
          <w:tcPr>
            <w:tcW w:w="1400" w:type="dxa"/>
            <w:vAlign w:val="bottom"/>
            <w:gridSpan w:val="2"/>
          </w:tcPr>
          <w:p>
            <w:pPr>
              <w:ind w:left="120"/>
              <w:spacing w:after="0"/>
              <w:rPr>
                <w:sz w:val="20"/>
                <w:szCs w:val="20"/>
                <w:color w:val="auto"/>
              </w:rPr>
            </w:pPr>
            <w:r>
              <w:rPr>
                <w:rFonts w:ascii="Arial" w:cs="Arial" w:eastAsia="Arial" w:hAnsi="Arial"/>
                <w:sz w:val="16"/>
                <w:szCs w:val="16"/>
                <w:color w:val="auto"/>
              </w:rPr>
              <w:t>July 30, 2016</w:t>
            </w:r>
          </w:p>
        </w:tc>
        <w:tc>
          <w:tcPr>
            <w:tcW w:w="1380" w:type="dxa"/>
            <w:vAlign w:val="bottom"/>
            <w:gridSpan w:val="2"/>
          </w:tcPr>
          <w:p>
            <w:pPr>
              <w:ind w:left="120"/>
              <w:spacing w:after="0"/>
              <w:rPr>
                <w:sz w:val="20"/>
                <w:szCs w:val="20"/>
                <w:color w:val="auto"/>
              </w:rPr>
            </w:pPr>
            <w:r>
              <w:rPr>
                <w:rFonts w:ascii="Arial" w:cs="Arial" w:eastAsia="Arial" w:hAnsi="Arial"/>
                <w:sz w:val="16"/>
                <w:szCs w:val="16"/>
                <w:color w:val="auto"/>
              </w:rPr>
              <w:t>July 29, 2017</w:t>
            </w:r>
          </w:p>
        </w:tc>
        <w:tc>
          <w:tcPr>
            <w:tcW w:w="1280" w:type="dxa"/>
            <w:vAlign w:val="bottom"/>
            <w:gridSpan w:val="2"/>
          </w:tcPr>
          <w:p>
            <w:pPr>
              <w:ind w:left="140"/>
              <w:spacing w:after="0"/>
              <w:rPr>
                <w:sz w:val="20"/>
                <w:szCs w:val="20"/>
                <w:color w:val="auto"/>
              </w:rPr>
            </w:pPr>
            <w:r>
              <w:rPr>
                <w:rFonts w:ascii="Arial" w:cs="Arial" w:eastAsia="Arial" w:hAnsi="Arial"/>
                <w:sz w:val="16"/>
                <w:szCs w:val="16"/>
                <w:color w:val="auto"/>
              </w:rPr>
              <w:t>July 30, 2016</w:t>
            </w:r>
          </w:p>
        </w:tc>
      </w:tr>
      <w:tr>
        <w:trPr>
          <w:trHeight w:val="213"/>
        </w:trPr>
        <w:tc>
          <w:tcPr>
            <w:tcW w:w="5900" w:type="dxa"/>
            <w:vAlign w:val="bottom"/>
          </w:tcPr>
          <w:p>
            <w:pPr>
              <w:spacing w:after="0"/>
              <w:rPr>
                <w:sz w:val="20"/>
                <w:szCs w:val="20"/>
                <w:color w:val="auto"/>
              </w:rPr>
            </w:pPr>
            <w:r>
              <w:rPr>
                <w:rFonts w:ascii="Arial" w:cs="Arial" w:eastAsia="Arial" w:hAnsi="Arial"/>
                <w:sz w:val="16"/>
                <w:szCs w:val="16"/>
                <w:i w:val="1"/>
                <w:iCs w:val="1"/>
                <w:color w:val="auto"/>
              </w:rPr>
              <w:t>(in thousands</w:t>
            </w:r>
            <w:r>
              <w:rPr>
                <w:rFonts w:ascii="Arial" w:cs="Arial" w:eastAsia="Arial" w:hAnsi="Arial"/>
                <w:sz w:val="16"/>
                <w:szCs w:val="16"/>
                <w:b w:val="1"/>
                <w:bCs w:val="1"/>
                <w:i w:val="1"/>
                <w:iCs w:val="1"/>
                <w:color w:val="auto"/>
              </w:rPr>
              <w:t>)</w:t>
            </w: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Common Stock Outstanding:</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5900" w:type="dxa"/>
            <w:vAlign w:val="bottom"/>
          </w:tcPr>
          <w:p>
            <w:pPr>
              <w:spacing w:after="0"/>
              <w:rPr>
                <w:sz w:val="20"/>
                <w:szCs w:val="20"/>
                <w:color w:val="auto"/>
              </w:rPr>
            </w:pPr>
            <w:r>
              <w:rPr>
                <w:rFonts w:ascii="Arial" w:cs="Arial" w:eastAsia="Arial" w:hAnsi="Arial"/>
                <w:sz w:val="16"/>
                <w:szCs w:val="16"/>
                <w:color w:val="auto"/>
              </w:rPr>
              <w:t>Basic weighted average common shares outstanding</w:t>
            </w:r>
          </w:p>
        </w:tc>
        <w:tc>
          <w:tcPr>
            <w:tcW w:w="1120" w:type="dxa"/>
            <w:vAlign w:val="bottom"/>
          </w:tcPr>
          <w:p>
            <w:pPr>
              <w:jc w:val="right"/>
              <w:spacing w:after="0"/>
              <w:rPr>
                <w:sz w:val="20"/>
                <w:szCs w:val="20"/>
                <w:color w:val="auto"/>
              </w:rPr>
            </w:pPr>
            <w:r>
              <w:rPr>
                <w:rFonts w:ascii="Arial" w:cs="Arial" w:eastAsia="Arial" w:hAnsi="Arial"/>
                <w:sz w:val="16"/>
                <w:szCs w:val="16"/>
                <w:color w:val="auto"/>
              </w:rPr>
              <w:t>48,556</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49,531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49,146</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49,522</w:t>
            </w:r>
          </w:p>
        </w:tc>
        <w:tc>
          <w:tcPr>
            <w:tcW w:w="100" w:type="dxa"/>
            <w:vAlign w:val="bottom"/>
          </w:tcPr>
          <w:p>
            <w:pPr>
              <w:spacing w:after="0"/>
              <w:rPr>
                <w:sz w:val="18"/>
                <w:szCs w:val="18"/>
                <w:color w:val="auto"/>
              </w:rPr>
            </w:pPr>
          </w:p>
        </w:tc>
      </w:tr>
      <w:tr>
        <w:trPr>
          <w:trHeight w:val="219"/>
        </w:trPr>
        <w:tc>
          <w:tcPr>
            <w:tcW w:w="59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Common stock equivalents – stock options and restricted stock </w:t>
            </w:r>
            <w:r>
              <w:rPr>
                <w:rFonts w:ascii="Arial" w:cs="Arial" w:eastAsia="Arial" w:hAnsi="Arial"/>
                <w:sz w:val="25"/>
                <w:szCs w:val="25"/>
                <w:color w:val="auto"/>
                <w:vertAlign w:val="superscript"/>
              </w:rPr>
              <w:t>(1)</w:t>
            </w: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FF0FC"/>
          </w:tcPr>
          <w:p>
            <w:pPr>
              <w:spacing w:after="0"/>
              <w:rPr>
                <w:sz w:val="19"/>
                <w:szCs w:val="19"/>
                <w:color w:val="auto"/>
              </w:rPr>
            </w:pPr>
          </w:p>
        </w:tc>
      </w:tr>
      <w:tr>
        <w:trPr>
          <w:trHeight w:val="204"/>
        </w:trPr>
        <w:tc>
          <w:tcPr>
            <w:tcW w:w="5900" w:type="dxa"/>
            <w:vAlign w:val="bottom"/>
          </w:tcPr>
          <w:p>
            <w:pPr>
              <w:spacing w:after="0"/>
              <w:rPr>
                <w:sz w:val="20"/>
                <w:szCs w:val="20"/>
                <w:color w:val="auto"/>
              </w:rPr>
            </w:pPr>
            <w:r>
              <w:rPr>
                <w:rFonts w:ascii="Arial" w:cs="Arial" w:eastAsia="Arial" w:hAnsi="Arial"/>
                <w:sz w:val="16"/>
                <w:szCs w:val="16"/>
                <w:color w:val="auto"/>
              </w:rPr>
              <w:t>Diluted weighted average common shares outstanding</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48,556</w:t>
            </w:r>
          </w:p>
        </w:tc>
        <w:tc>
          <w:tcPr>
            <w:tcW w:w="240" w:type="dxa"/>
            <w:vAlign w:val="bottom"/>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49,953</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49,146</w:t>
            </w:r>
          </w:p>
        </w:tc>
        <w:tc>
          <w:tcPr>
            <w:tcW w:w="240" w:type="dxa"/>
            <w:vAlign w:val="bottom"/>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49,902</w:t>
            </w:r>
          </w:p>
        </w:tc>
        <w:tc>
          <w:tcPr>
            <w:tcW w:w="100" w:type="dxa"/>
            <w:vAlign w:val="bottom"/>
          </w:tcPr>
          <w:p>
            <w:pPr>
              <w:spacing w:after="0"/>
              <w:rPr>
                <w:sz w:val="17"/>
                <w:szCs w:val="17"/>
                <w:color w:val="auto"/>
              </w:rPr>
            </w:pPr>
          </w:p>
        </w:tc>
      </w:tr>
    </w:tbl>
    <w:p>
      <w:pPr>
        <w:spacing w:after="0" w:line="208" w:lineRule="exact"/>
        <w:rPr>
          <w:sz w:val="20"/>
          <w:szCs w:val="20"/>
          <w:color w:val="auto"/>
        </w:rPr>
      </w:pPr>
    </w:p>
    <w:p>
      <w:pPr>
        <w:ind w:left="1040" w:right="18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Common stock equivalents of 345 shares and 166 shares for the three and six months ended July 29, 2017, respectively, were excluded due to the net loss.</w:t>
      </w:r>
    </w:p>
    <w:p>
      <w:pPr>
        <w:spacing w:after="0" w:line="197"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of the unearned compensation associated with either stock options, restricted stock units, restricted or deferred stock had an anti-dilutive effect.</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5500" w:type="dxa"/>
            <w:vAlign w:val="bottom"/>
          </w:tcPr>
          <w:p>
            <w:pPr>
              <w:spacing w:after="0"/>
              <w:rPr>
                <w:sz w:val="17"/>
                <w:szCs w:val="17"/>
                <w:color w:val="auto"/>
              </w:rPr>
            </w:pPr>
          </w:p>
        </w:tc>
        <w:tc>
          <w:tcPr>
            <w:tcW w:w="2960" w:type="dxa"/>
            <w:vAlign w:val="bottom"/>
            <w:gridSpan w:val="4"/>
          </w:tcPr>
          <w:p>
            <w:pPr>
              <w:ind w:left="460"/>
              <w:spacing w:after="0"/>
              <w:rPr>
                <w:sz w:val="20"/>
                <w:szCs w:val="20"/>
                <w:color w:val="auto"/>
              </w:rPr>
            </w:pPr>
            <w:r>
              <w:rPr>
                <w:rFonts w:ascii="Arial" w:cs="Arial" w:eastAsia="Arial" w:hAnsi="Arial"/>
                <w:sz w:val="16"/>
                <w:szCs w:val="16"/>
                <w:color w:val="auto"/>
              </w:rPr>
              <w:t>For the three months ended</w:t>
            </w:r>
          </w:p>
        </w:tc>
        <w:tc>
          <w:tcPr>
            <w:tcW w:w="2740" w:type="dxa"/>
            <w:vAlign w:val="bottom"/>
            <w:gridSpan w:val="4"/>
          </w:tcPr>
          <w:p>
            <w:pPr>
              <w:ind w:left="480"/>
              <w:spacing w:after="0"/>
              <w:rPr>
                <w:sz w:val="20"/>
                <w:szCs w:val="20"/>
                <w:color w:val="auto"/>
              </w:rPr>
            </w:pPr>
            <w:r>
              <w:rPr>
                <w:rFonts w:ascii="Arial" w:cs="Arial" w:eastAsia="Arial" w:hAnsi="Arial"/>
                <w:sz w:val="16"/>
                <w:szCs w:val="16"/>
                <w:color w:val="auto"/>
              </w:rPr>
              <w:t>For the six months ended</w:t>
            </w:r>
          </w:p>
        </w:tc>
      </w:tr>
      <w:tr>
        <w:trPr>
          <w:trHeight w:val="216"/>
        </w:trPr>
        <w:tc>
          <w:tcPr>
            <w:tcW w:w="5500" w:type="dxa"/>
            <w:vAlign w:val="bottom"/>
          </w:tcPr>
          <w:p>
            <w:pPr>
              <w:spacing w:after="0"/>
              <w:rPr>
                <w:sz w:val="18"/>
                <w:szCs w:val="18"/>
                <w:color w:val="auto"/>
              </w:rPr>
            </w:pPr>
          </w:p>
        </w:tc>
        <w:tc>
          <w:tcPr>
            <w:tcW w:w="1460" w:type="dxa"/>
            <w:vAlign w:val="bottom"/>
            <w:gridSpan w:val="2"/>
          </w:tcPr>
          <w:p>
            <w:pPr>
              <w:ind w:left="160"/>
              <w:spacing w:after="0"/>
              <w:rPr>
                <w:sz w:val="20"/>
                <w:szCs w:val="20"/>
                <w:color w:val="auto"/>
              </w:rPr>
            </w:pPr>
            <w:r>
              <w:rPr>
                <w:rFonts w:ascii="Arial" w:cs="Arial" w:eastAsia="Arial" w:hAnsi="Arial"/>
                <w:sz w:val="16"/>
                <w:szCs w:val="16"/>
                <w:color w:val="auto"/>
              </w:rPr>
              <w:t>July 29, 2017</w:t>
            </w:r>
          </w:p>
        </w:tc>
        <w:tc>
          <w:tcPr>
            <w:tcW w:w="1500" w:type="dxa"/>
            <w:vAlign w:val="bottom"/>
            <w:gridSpan w:val="2"/>
          </w:tcPr>
          <w:p>
            <w:pPr>
              <w:ind w:left="180"/>
              <w:spacing w:after="0"/>
              <w:rPr>
                <w:sz w:val="20"/>
                <w:szCs w:val="20"/>
                <w:color w:val="auto"/>
              </w:rPr>
            </w:pPr>
            <w:r>
              <w:rPr>
                <w:rFonts w:ascii="Arial" w:cs="Arial" w:eastAsia="Arial" w:hAnsi="Arial"/>
                <w:sz w:val="16"/>
                <w:szCs w:val="16"/>
                <w:color w:val="auto"/>
              </w:rPr>
              <w:t>July 30, 2016</w:t>
            </w:r>
          </w:p>
        </w:tc>
        <w:tc>
          <w:tcPr>
            <w:tcW w:w="1440" w:type="dxa"/>
            <w:vAlign w:val="bottom"/>
            <w:gridSpan w:val="2"/>
          </w:tcPr>
          <w:p>
            <w:pPr>
              <w:ind w:left="160"/>
              <w:spacing w:after="0"/>
              <w:rPr>
                <w:sz w:val="20"/>
                <w:szCs w:val="20"/>
                <w:color w:val="auto"/>
              </w:rPr>
            </w:pPr>
            <w:r>
              <w:rPr>
                <w:rFonts w:ascii="Arial" w:cs="Arial" w:eastAsia="Arial" w:hAnsi="Arial"/>
                <w:sz w:val="16"/>
                <w:szCs w:val="16"/>
                <w:color w:val="auto"/>
              </w:rPr>
              <w:t>July 29, 2017</w:t>
            </w:r>
          </w:p>
        </w:tc>
        <w:tc>
          <w:tcPr>
            <w:tcW w:w="1300" w:type="dxa"/>
            <w:vAlign w:val="bottom"/>
            <w:gridSpan w:val="2"/>
          </w:tcPr>
          <w:p>
            <w:pPr>
              <w:ind w:left="140"/>
              <w:spacing w:after="0"/>
              <w:rPr>
                <w:sz w:val="20"/>
                <w:szCs w:val="20"/>
                <w:color w:val="auto"/>
              </w:rPr>
            </w:pPr>
            <w:r>
              <w:rPr>
                <w:rFonts w:ascii="Arial" w:cs="Arial" w:eastAsia="Arial" w:hAnsi="Arial"/>
                <w:sz w:val="16"/>
                <w:szCs w:val="16"/>
                <w:color w:val="auto"/>
              </w:rPr>
              <w:t>July 30, 2016</w:t>
            </w:r>
          </w:p>
        </w:tc>
      </w:tr>
      <w:tr>
        <w:trPr>
          <w:trHeight w:val="213"/>
        </w:trPr>
        <w:tc>
          <w:tcPr>
            <w:tcW w:w="5500" w:type="dxa"/>
            <w:vAlign w:val="bottom"/>
          </w:tcPr>
          <w:p>
            <w:pPr>
              <w:spacing w:after="0"/>
              <w:rPr>
                <w:sz w:val="20"/>
                <w:szCs w:val="20"/>
                <w:color w:val="auto"/>
              </w:rPr>
            </w:pPr>
            <w:r>
              <w:rPr>
                <w:rFonts w:ascii="Arial" w:cs="Arial" w:eastAsia="Arial" w:hAnsi="Arial"/>
                <w:sz w:val="16"/>
                <w:szCs w:val="16"/>
                <w:i w:val="1"/>
                <w:iCs w:val="1"/>
                <w:color w:val="auto"/>
              </w:rPr>
              <w:t>(in thousands, except exercise prices)</w:t>
            </w: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5500" w:type="dxa"/>
            <w:vAlign w:val="bottom"/>
            <w:shd w:val="clear" w:color="auto" w:fill="CFF0FC"/>
          </w:tcPr>
          <w:p>
            <w:pPr>
              <w:spacing w:after="0"/>
              <w:rPr>
                <w:sz w:val="20"/>
                <w:szCs w:val="20"/>
                <w:color w:val="auto"/>
              </w:rPr>
            </w:pPr>
            <w:r>
              <w:rPr>
                <w:rFonts w:ascii="Arial" w:cs="Arial" w:eastAsia="Arial" w:hAnsi="Arial"/>
                <w:sz w:val="16"/>
                <w:szCs w:val="16"/>
                <w:color w:val="auto"/>
              </w:rPr>
              <w:t>Stock Options (time-vested)</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w:t>
            </w:r>
          </w:p>
        </w:tc>
        <w:tc>
          <w:tcPr>
            <w:tcW w:w="120" w:type="dxa"/>
            <w:vAlign w:val="bottom"/>
            <w:shd w:val="clear" w:color="auto" w:fill="CFF0FC"/>
          </w:tcPr>
          <w:p>
            <w:pPr>
              <w:spacing w:after="0"/>
              <w:rPr>
                <w:sz w:val="19"/>
                <w:szCs w:val="19"/>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6"/>
                <w:szCs w:val="16"/>
                <w:color w:val="auto"/>
              </w:rPr>
              <w:t>Restricted Stock Units (time-vested)</w:t>
            </w:r>
          </w:p>
        </w:tc>
        <w:tc>
          <w:tcPr>
            <w:tcW w:w="1220" w:type="dxa"/>
            <w:vAlign w:val="bottom"/>
          </w:tcPr>
          <w:p>
            <w:pPr>
              <w:jc w:val="right"/>
              <w:spacing w:after="0"/>
              <w:rPr>
                <w:sz w:val="20"/>
                <w:szCs w:val="20"/>
                <w:color w:val="auto"/>
              </w:rPr>
            </w:pPr>
            <w:r>
              <w:rPr>
                <w:rFonts w:ascii="Arial" w:cs="Arial" w:eastAsia="Arial" w:hAnsi="Arial"/>
                <w:sz w:val="16"/>
                <w:szCs w:val="16"/>
                <w:color w:val="auto"/>
              </w:rPr>
              <w:t>1,119</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1,119</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18"/>
                <w:szCs w:val="18"/>
                <w:color w:val="auto"/>
              </w:rPr>
            </w:pPr>
          </w:p>
        </w:tc>
      </w:tr>
      <w:tr>
        <w:trPr>
          <w:trHeight w:val="219"/>
        </w:trPr>
        <w:tc>
          <w:tcPr>
            <w:tcW w:w="5500" w:type="dxa"/>
            <w:vAlign w:val="bottom"/>
            <w:shd w:val="clear" w:color="auto" w:fill="CFF0FC"/>
          </w:tcPr>
          <w:p>
            <w:pPr>
              <w:spacing w:after="0"/>
              <w:rPr>
                <w:sz w:val="20"/>
                <w:szCs w:val="20"/>
                <w:color w:val="auto"/>
              </w:rPr>
            </w:pPr>
            <w:r>
              <w:rPr>
                <w:rFonts w:ascii="Arial" w:cs="Arial" w:eastAsia="Arial" w:hAnsi="Arial"/>
                <w:sz w:val="16"/>
                <w:szCs w:val="16"/>
                <w:color w:val="auto"/>
              </w:rPr>
              <w:t>Restricted and Deferred Stock</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FF0FC"/>
          </w:tcPr>
          <w:p>
            <w:pPr>
              <w:spacing w:after="0"/>
              <w:rPr>
                <w:sz w:val="19"/>
                <w:szCs w:val="19"/>
                <w:color w:val="auto"/>
              </w:rPr>
            </w:pP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Range of exercise prices of such options</w:t>
            </w:r>
          </w:p>
        </w:tc>
        <w:tc>
          <w:tcPr>
            <w:tcW w:w="1220" w:type="dxa"/>
            <w:vAlign w:val="bottom"/>
          </w:tcPr>
          <w:p>
            <w:pPr>
              <w:jc w:val="right"/>
              <w:spacing w:after="0"/>
              <w:rPr>
                <w:sz w:val="20"/>
                <w:szCs w:val="20"/>
                <w:color w:val="auto"/>
              </w:rPr>
            </w:pPr>
            <w:r>
              <w:rPr>
                <w:rFonts w:ascii="Arial" w:cs="Arial" w:eastAsia="Arial" w:hAnsi="Arial"/>
                <w:sz w:val="16"/>
                <w:szCs w:val="16"/>
                <w:color w:val="auto"/>
              </w:rPr>
              <w:t>$3.16 - $7.52</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$4.91 - $7.52</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$3.16 - $7.52</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$4.91 - $7.52</w:t>
            </w:r>
          </w:p>
        </w:tc>
        <w:tc>
          <w:tcPr>
            <w:tcW w:w="120" w:type="dxa"/>
            <w:vAlign w:val="bottom"/>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July 29, 2017, expire from October 22, 2017 to January 18, 2027.</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were no performance-based awards outstanding at July 29, 2017. For the second quarter and first six months of fiscal 2016, 941,082 shares of unvested performance-based restricted stock and 1,181,168 performance-based stock options were excluded from the Company’s computation of basic and diluted earnings per share. All outstanding performance-based awards expired unvested in March 2017 as a result of the Company not achieving performance targets in fiscal 2016.</w:t>
      </w:r>
    </w:p>
    <w:p>
      <w:pPr>
        <w:spacing w:after="0" w:line="18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Shares of unvested time-based restricted stock of 53,333 at July 29, 2017 and 374,062 shares at July 30, 2016 were excluded from the computation of basic earnings per share and will continue to be excluded until such shares vest. See Note 3, Long-Term Incentive Plans, for a discussion of the Company’s LTIP plans and equity awards.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All 53,333 shares of restricted stock outstanding at July 29, 2017 are considered issued and outstanding. Each share of restricted stock has all of the rights of a holder of the Company’s common stock, including, but not limited to, the right to vote and the right to receive dividends, which rights are forfeited if the restricted stock is forfeited.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 Repurchase Plan</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March 17, 2017, the Company’s Board of Directors approved a stock repurchase plan. Under the stock repurchase plan, the Company may purchase up to $12.0 million of its common stock through open market and privately negotiated transactions during fiscal 2017. The timing and the amount of any repurchases of common stock will be determined based on the Company’s evaluation of market conditions and other factors. The stock repurchase program commenced in the first quarter of fiscal 2017 and will expire on February 3, 2018, but may be suspended, terminated or modified at any time for any reason. The Company expects to finance the repurchases from operating funds and/or periodic borrowings on its Credit Facility. Any repurchased common stock will be held as treasury stock and will be recorded on a trade-date basis.</w:t>
      </w:r>
    </w:p>
    <w:p>
      <w:pPr>
        <w:spacing w:after="0" w:line="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Through July 29, 2017, the Company purchased 1,878,434 shares of common stock at an average price of $2.49 per share. Approximately $7.3 million remains available under the stock repurchase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July 29, 2017, the Company had total deferred tax assets of approximately $83.9 million, total deferred tax liabilities of $13.5 million and a corresponding valuation allowance of $70.6 million.</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the fourth quarter of fiscal 2013, the Company entered into a three-year cumulative loss position and based on forecasts at that time, the Company expected the cumulative three-year loss to increase as of the end of fiscal 2014. Management determined that this represented significant negative evidence at February 1, 2014. While the Company has projected it will return to profitability, generate taxable income and ultimately emerge from a three-year cumulative loss, based on a consideration of all positive and negative evidence as of February 1, 2014, the Company established a full allowance against its net deferred tax assets. Based on the Company’s forecast for fiscal 2017, the Company believes that a full allowance remains appropriate at this time.</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July 29, 2017, the Company had net operating loss carryforwards of $148.7 million for federal income tax purposes and $88.5 million for state income tax purposes that are available to offset future taxable income through fiscal year 2037. Additionally, the Company has alternative minimum tax credit carryforwards of $2.3 million, which are available to further reduce income taxes over an indefinite period. Additionally, the Company has $2.6 million of net operating loss for tax purposes related to the Company’s operations in Canada.</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Company’s tax provision for the second quarter and first six months of fiscal 2017 and fiscal 2016 primarily represents current state margin tax and foreign income tax.</w:t>
      </w:r>
    </w:p>
    <w:p>
      <w:pPr>
        <w:spacing w:after="0" w:line="170"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Topic 740, “</w:t>
      </w:r>
      <w:r>
        <w:rPr>
          <w:rFonts w:ascii="Arial" w:cs="Arial" w:eastAsia="Arial" w:hAnsi="Arial"/>
          <w:sz w:val="17"/>
          <w:szCs w:val="17"/>
          <w:i w:val="1"/>
          <w:iCs w:val="1"/>
          <w:color w:val="auto"/>
        </w:rPr>
        <w:t>Income Taxes</w:t>
      </w:r>
      <w:r>
        <w:rPr>
          <w:rFonts w:ascii="Arial" w:cs="Arial" w:eastAsia="Arial" w:hAnsi="Arial"/>
          <w:sz w:val="17"/>
          <w:szCs w:val="17"/>
          <w:color w:val="auto"/>
        </w:rPr>
        <w:t>”, the Company will recognize the benefit from a tax position only if it is more likely than not that the position would be sustained upon audit based solely on the technical merits of the tax position. The unrecognized tax benefit at July 29, 2017 was $3.0 million. This amount is directly associated with a prior year tax position related to exiting the Company’s direct business in Europe. The amount of unrecognized tax benefit has been presented as a reduction in the reported amounts of its federal and state net operating loss carryforwards. It is the Company’s policy to record interest and penalties on unrecognized tax benefits as income taxes; however, no penalties or interest have been accrued on this liability because the carryforwards have not yet been utilized.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federal income tax matters for years through fiscal 2001, with remaining fiscal years subject to income tax examination by federal tax authorities.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Parties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Oliver Walsh was elected as a director at the Company’s Annual Meeting of Stockholders on August 3, 2017. Subsequent to the end of the second quarter of fiscal 2017, on August 17, 2017, Mr. Walsh entered into a temporary consulting agreement with the Company, agreeing to serve as the Company’s Interim Chief Marketing Officer through the Fall and Holiday selling seasons, while the Company searches for a new Chief Marketing Officer. Pursuant to the terms of the temporary consulting agreement, Mr. Walsh is entitled to receive compensation at a rate of $7,000 per week plus reimbursement for all business and travel expenses. Because of the related party relationship, the temporary consulting agreement was approved by the Company’s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cash flows, gross profit margins, marketing costs, selling, general and administrative expenses, store counts, inventory levels, capital expenditures, borrowings, interest costs, sales and earnings expectations for fiscal 2017 and beyond, the expected impact of inventory management improvements on inventory levels and working capital in fiscal 2017, the expected impact of investments in marketing on 2017 sales and longer term impact on customer acquisition and brand awareness, and the anticipated pace and number of store openings and closings in fiscal 2017 and anticipated impact of expanding into Canada or future growth.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January 28, 2017, included in our Annual Report on Form 10-K for the year ended January 28, 2017, as filed with the Securities and Exchange Commission on March 20, 2017 (our “Fiscal 2016 Annual Report”).</w:t>
      </w:r>
    </w:p>
    <w:p>
      <w:pPr>
        <w:spacing w:after="0" w:line="6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Numerous factors could cause our actual results to differ materially from such forward-looking statements. We encourage readers to refer to the “Risk Factors” section in Part I, Item 1A of our Fiscal 2016 Annual Report, that sets forth certain risks and uncertainties that may have an impact on future results and direction of our Company, including, without limitations, risks relating to the execution of our corporate strategy, and our ability to grow our market share, predict customer tastes and fashion trends, forecast sales growth trends, maintain and build our brand awareness and compete successfully in our market.</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180"/>
        <w:spacing w:after="0" w:line="215" w:lineRule="auto"/>
        <w:rPr>
          <w:sz w:val="20"/>
          <w:szCs w:val="20"/>
          <w:color w:val="auto"/>
        </w:rPr>
      </w:pPr>
      <w:r>
        <w:rPr>
          <w:rFonts w:ascii="Arial" w:cs="Arial" w:eastAsia="Arial" w:hAnsi="Arial"/>
          <w:sz w:val="18"/>
          <w:szCs w:val="18"/>
          <w:color w:val="auto"/>
        </w:rPr>
        <w:t>Destination XL Group, Inc., together with our consolidated subsidiaries (the “Company”), is the largest specialty retailer of big &amp; tall men’s apparel with retail and direct operations in the United States and London, England. We operate under the trade names of Destination XL</w:t>
      </w:r>
      <w:r>
        <w:rPr>
          <w:rFonts w:ascii="Arial" w:cs="Arial" w:eastAsia="Arial" w:hAnsi="Arial"/>
          <w:sz w:val="26"/>
          <w:szCs w:val="26"/>
          <w:color w:val="auto"/>
          <w:vertAlign w:val="superscript"/>
        </w:rPr>
        <w:t>®</w:t>
      </w:r>
      <w:r>
        <w:rPr>
          <w:rFonts w:ascii="Arial" w:cs="Arial" w:eastAsia="Arial" w:hAnsi="Arial"/>
          <w:sz w:val="18"/>
          <w:szCs w:val="18"/>
          <w:color w:val="auto"/>
        </w:rPr>
        <w:t>, DXL</w:t>
      </w:r>
      <w:r>
        <w:rPr>
          <w:rFonts w:ascii="Arial" w:cs="Arial" w:eastAsia="Arial" w:hAnsi="Arial"/>
          <w:sz w:val="26"/>
          <w:szCs w:val="26"/>
          <w:color w:val="auto"/>
          <w:vertAlign w:val="superscript"/>
        </w:rPr>
        <w:t>®</w:t>
      </w:r>
      <w:r>
        <w:rPr>
          <w:rFonts w:ascii="Arial" w:cs="Arial" w:eastAsia="Arial" w:hAnsi="Arial"/>
          <w:sz w:val="18"/>
          <w:szCs w:val="18"/>
          <w:color w:val="auto"/>
        </w:rPr>
        <w:t>, DXL Outlets, Casual Male XL</w:t>
      </w:r>
      <w:r>
        <w:rPr>
          <w:rFonts w:ascii="Arial" w:cs="Arial" w:eastAsia="Arial" w:hAnsi="Arial"/>
          <w:sz w:val="26"/>
          <w:szCs w:val="26"/>
          <w:color w:val="auto"/>
          <w:vertAlign w:val="superscript"/>
        </w:rPr>
        <w:t>®</w:t>
      </w:r>
      <w:r>
        <w:rPr>
          <w:rFonts w:ascii="Arial" w:cs="Arial" w:eastAsia="Arial" w:hAnsi="Arial"/>
          <w:sz w:val="18"/>
          <w:szCs w:val="18"/>
          <w:color w:val="auto"/>
        </w:rPr>
        <w:t>, Casual Male XL Outlets, Rochester Clothing, ShoesXL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LivingXL</w:t>
      </w:r>
      <w:r>
        <w:rPr>
          <w:rFonts w:ascii="Arial" w:cs="Arial" w:eastAsia="Arial" w:hAnsi="Arial"/>
          <w:sz w:val="26"/>
          <w:szCs w:val="26"/>
          <w:color w:val="auto"/>
          <w:vertAlign w:val="superscript"/>
        </w:rPr>
        <w:t>®</w:t>
      </w:r>
      <w:r>
        <w:rPr>
          <w:rFonts w:ascii="Arial" w:cs="Arial" w:eastAsia="Arial" w:hAnsi="Arial"/>
          <w:sz w:val="18"/>
          <w:szCs w:val="18"/>
          <w:color w:val="auto"/>
        </w:rPr>
        <w:t>. At July 29, 2017, we operated 206 Destination XL stores, 14 DXL outlet stores, 84 Casual Male XL retail stores, 33 Casual Male XL outlet stores and 5 Rochester Clothing stores. Our e-commerce site, DestinationXL.com, supports our stores, brands and product extensions.</w:t>
      </w:r>
    </w:p>
    <w:p>
      <w:pPr>
        <w:spacing w:after="0" w:line="2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Unless the context indicates otherwise, all references to “we,” “our,” “us” and “the Company” refer to Destination XL Group, Inc. and our consolidated subsidiaries. We refer to our fiscal years which end on February 3, 2018 and January 28, 2017 as “fiscal 2017” and “fiscal 2016,” respectively. Fiscal 2017 is a 53-week period and fiscal 2016 was a 52-week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report our operations as one reportable segment, Big &amp; Tall Men’s Apparel. We consider our retail and direct (e-commerce) businesses, especially in our growing omni-channel environment, to be similar in terms of economic characteristics, production processes and operations, and have, therefore, aggregated them into a single reporting segment.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SALES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Total comparable sales include our retail stores that have been open for at least 13 months and our direct business. Stores that have been remodeled or re-located during the period are also included in our determination of comparable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7" w:name="page18"/>
    <w:bookmarkEnd w:id="17"/>
    <w:p>
      <w:pPr>
        <w:ind w:right="520"/>
        <w:spacing w:after="0" w:line="342" w:lineRule="auto"/>
        <w:rPr>
          <w:sz w:val="20"/>
          <w:szCs w:val="20"/>
          <w:color w:val="auto"/>
        </w:rPr>
      </w:pPr>
      <w:r>
        <w:rPr>
          <w:rFonts w:ascii="Arial" w:cs="Arial" w:eastAsia="Arial" w:hAnsi="Arial"/>
          <w:sz w:val="16"/>
          <w:szCs w:val="16"/>
          <w:color w:val="auto"/>
        </w:rPr>
        <w:t>As we disclosed at the end of fiscal 2016, with over 200 DXL stores open, we have transitioned to one comparable sales figure for the Company which includes stores and our e-commerce business. We no longer provide comparable store sales on a discrete basis for our DXL format stores.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In addition, our customer’s shopping experience continues to evolve across multiple channels and we are continually changing to meet his needs. As part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omni-channel initiatives, the majority of our retail stores have the capability of fulfilling online orders if merchandise is not available in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warehouse. As a result, we continue to see more transactions that begin online but are ultimately completed at the store level. Similarly, if a customer visits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store and the item is out of stock, the associate can order the item through our website. A customer also has the ability to order online and pick-up in</w:t>
      </w:r>
    </w:p>
    <w:p>
      <w:pPr>
        <w:spacing w:after="0" w:line="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store. Because this omni-channel approach to retailing is changing the boundaries of where a sale originates and where a sale is ultimately settled, we do not report comparable sales separately for our retail and e-commerce businesses. However, as we invest in building our e-commerce platform, bringing a heightened digital focus to our Company, additional disclosure on our e-commerce growth as it relates to our current initiatives is important. Beginning in the second quarter of fiscal 2017, we define store sales as sales that originate and are fulfilled directly at the store level. E-commerce sales are defined as sales that originate online, including those initiated online at the store level. This reclassification on how we define a store sale from an e-commerce sale had no effect on our previous disclosure or how we report total Company comparable sales.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following is a summary of results for the second quarter and first six months of fiscal 2017 as compared to the prior year’s second quarter and first six months, including EBITDA, which is a non-GAAP measure. Please see “Non-GAAP Financial Measures” below for a reconciliation of Net Income (Loss) to EBITDA.</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60" w:type="dxa"/>
            <w:vAlign w:val="bottom"/>
            <w:gridSpan w:val="6"/>
          </w:tcPr>
          <w:p>
            <w:pPr>
              <w:ind w:left="620"/>
              <w:spacing w:after="0"/>
              <w:rPr>
                <w:sz w:val="20"/>
                <w:szCs w:val="20"/>
                <w:color w:val="auto"/>
              </w:rPr>
            </w:pPr>
            <w:r>
              <w:rPr>
                <w:rFonts w:ascii="Arial" w:cs="Arial" w:eastAsia="Arial" w:hAnsi="Arial"/>
                <w:sz w:val="14"/>
                <w:szCs w:val="14"/>
                <w:color w:val="auto"/>
              </w:rPr>
              <w:t>For the three months ended</w:t>
            </w:r>
          </w:p>
        </w:tc>
        <w:tc>
          <w:tcPr>
            <w:tcW w:w="200" w:type="dxa"/>
            <w:vAlign w:val="bottom"/>
          </w:tcPr>
          <w:p>
            <w:pPr>
              <w:spacing w:after="0"/>
              <w:rPr>
                <w:sz w:val="14"/>
                <w:szCs w:val="14"/>
                <w:color w:val="auto"/>
              </w:rPr>
            </w:pPr>
          </w:p>
        </w:tc>
        <w:tc>
          <w:tcPr>
            <w:tcW w:w="3140" w:type="dxa"/>
            <w:vAlign w:val="bottom"/>
            <w:gridSpan w:val="6"/>
          </w:tcPr>
          <w:p>
            <w:pPr>
              <w:ind w:left="68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color w:val="auto"/>
              </w:rPr>
              <w:t>July 29, 2017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color w:val="auto"/>
              </w:rPr>
              <w:t>July 30, 2016</w:t>
            </w:r>
          </w:p>
        </w:tc>
        <w:tc>
          <w:tcPr>
            <w:tcW w:w="20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color w:val="auto"/>
              </w:rPr>
              <w:t>July 29, 2017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color w:val="auto"/>
              </w:rPr>
              <w:t>July 30,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Borders>
              <w:top w:val="single" w:sz="8" w:color="CFF0FC"/>
            </w:tcBorders>
            <w:gridSpan w:val="3"/>
            <w:shd w:val="clear" w:color="auto" w:fill="CFF0FC"/>
          </w:tcPr>
          <w:p>
            <w:pPr>
              <w:spacing w:after="0" w:line="142" w:lineRule="exact"/>
              <w:rPr>
                <w:sz w:val="20"/>
                <w:szCs w:val="20"/>
                <w:color w:val="auto"/>
              </w:rPr>
            </w:pPr>
            <w:r>
              <w:rPr>
                <w:rFonts w:ascii="Arial" w:cs="Arial" w:eastAsia="Arial" w:hAnsi="Arial"/>
                <w:sz w:val="14"/>
                <w:szCs w:val="14"/>
                <w:i w:val="1"/>
                <w:iCs w:val="1"/>
                <w:color w:val="auto"/>
              </w:rPr>
              <w:t>(in millions, except per share data)</w:t>
            </w:r>
          </w:p>
        </w:tc>
        <w:tc>
          <w:tcPr>
            <w:tcW w:w="200" w:type="dxa"/>
            <w:vAlign w:val="bottom"/>
            <w:tcBorders>
              <w:top w:val="single" w:sz="8" w:color="auto"/>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color w:val="auto"/>
              </w:rPr>
              <w:t>Net income (loss)</w:t>
            </w:r>
          </w:p>
        </w:tc>
        <w:tc>
          <w:tcPr>
            <w:tcW w:w="2600" w:type="dxa"/>
            <w:vAlign w:val="bottom"/>
            <w:tcBorders>
              <w:top w:val="single" w:sz="8" w:color="CFF0FC"/>
            </w:tcBorders>
          </w:tcPr>
          <w:p>
            <w:pPr>
              <w:spacing w:after="0"/>
              <w:rPr>
                <w:sz w:val="13"/>
                <w:szCs w:val="13"/>
                <w:color w:val="auto"/>
              </w:rPr>
            </w:pPr>
          </w:p>
        </w:tc>
        <w:tc>
          <w:tcPr>
            <w:tcW w:w="200" w:type="dxa"/>
            <w:vAlign w:val="bottom"/>
            <w:tcBorders>
              <w:top w:val="single" w:sz="8" w:color="CFF0FC"/>
            </w:tcBorders>
          </w:tcPr>
          <w:p>
            <w:pPr>
              <w:jc w:val="right"/>
              <w:ind w:right="89"/>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CFF0FC"/>
            </w:tcBorders>
            <w:gridSpan w:val="2"/>
          </w:tcPr>
          <w:p>
            <w:pPr>
              <w:jc w:val="right"/>
              <w:ind w:right="140"/>
              <w:spacing w:after="0" w:line="155" w:lineRule="exact"/>
              <w:rPr>
                <w:sz w:val="20"/>
                <w:szCs w:val="20"/>
                <w:color w:val="auto"/>
              </w:rPr>
            </w:pPr>
            <w:r>
              <w:rPr>
                <w:rFonts w:ascii="Arial" w:cs="Arial" w:eastAsia="Arial" w:hAnsi="Arial"/>
                <w:sz w:val="14"/>
                <w:szCs w:val="14"/>
                <w:color w:val="auto"/>
              </w:rPr>
              <w:t>(3.7)</w:t>
            </w:r>
          </w:p>
        </w:tc>
        <w:tc>
          <w:tcPr>
            <w:tcW w:w="340" w:type="dxa"/>
            <w:vAlign w:val="bottom"/>
            <w:tcBorders>
              <w:top w:val="single" w:sz="8" w:color="CFF0FC"/>
            </w:tcBorders>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1280" w:type="dxa"/>
            <w:vAlign w:val="bottom"/>
            <w:tcBorders>
              <w:top w:val="single" w:sz="8" w:color="CFF0FC"/>
            </w:tcBorders>
          </w:tcPr>
          <w:p>
            <w:pPr>
              <w:jc w:val="right"/>
              <w:spacing w:after="0" w:line="155" w:lineRule="exact"/>
              <w:rPr>
                <w:sz w:val="20"/>
                <w:szCs w:val="20"/>
                <w:color w:val="auto"/>
              </w:rPr>
            </w:pPr>
            <w:r>
              <w:rPr>
                <w:rFonts w:ascii="Arial" w:cs="Arial" w:eastAsia="Arial" w:hAnsi="Arial"/>
                <w:sz w:val="14"/>
                <w:szCs w:val="14"/>
                <w:color w:val="auto"/>
              </w:rPr>
              <w:t>0.2</w:t>
            </w:r>
          </w:p>
        </w:tc>
        <w:tc>
          <w:tcPr>
            <w:tcW w:w="220" w:type="dxa"/>
            <w:vAlign w:val="bottom"/>
            <w:tcBorders>
              <w:top w:val="single" w:sz="8" w:color="CFF0FC"/>
            </w:tcBorders>
          </w:tcPr>
          <w:p>
            <w:pPr>
              <w:spacing w:after="0"/>
              <w:rPr>
                <w:sz w:val="13"/>
                <w:szCs w:val="13"/>
                <w:color w:val="auto"/>
              </w:rPr>
            </w:pPr>
          </w:p>
        </w:tc>
        <w:tc>
          <w:tcPr>
            <w:tcW w:w="200" w:type="dxa"/>
            <w:vAlign w:val="bottom"/>
            <w:tcBorders>
              <w:top w:val="single" w:sz="8" w:color="CFF0FC"/>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CFF0FC"/>
            </w:tcBorders>
            <w:gridSpan w:val="2"/>
          </w:tcPr>
          <w:p>
            <w:pPr>
              <w:jc w:val="right"/>
              <w:ind w:right="120"/>
              <w:spacing w:after="0" w:line="155" w:lineRule="exact"/>
              <w:rPr>
                <w:sz w:val="20"/>
                <w:szCs w:val="20"/>
                <w:color w:val="auto"/>
              </w:rPr>
            </w:pPr>
            <w:r>
              <w:rPr>
                <w:rFonts w:ascii="Arial" w:cs="Arial" w:eastAsia="Arial" w:hAnsi="Arial"/>
                <w:sz w:val="14"/>
                <w:szCs w:val="14"/>
                <w:color w:val="auto"/>
              </w:rPr>
              <w:t>(9.8)</w:t>
            </w:r>
          </w:p>
        </w:tc>
        <w:tc>
          <w:tcPr>
            <w:tcW w:w="340" w:type="dxa"/>
            <w:vAlign w:val="bottom"/>
            <w:tcBorders>
              <w:top w:val="single" w:sz="8" w:color="CFF0FC"/>
            </w:tcBorders>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CFF0FC"/>
            </w:tcBorders>
          </w:tcPr>
          <w:p>
            <w:pPr>
              <w:jc w:val="right"/>
              <w:spacing w:after="0" w:line="155" w:lineRule="exact"/>
              <w:rPr>
                <w:sz w:val="20"/>
                <w:szCs w:val="20"/>
                <w:color w:val="auto"/>
              </w:rPr>
            </w:pPr>
            <w:r>
              <w:rPr>
                <w:rFonts w:ascii="Arial" w:cs="Arial" w:eastAsia="Arial" w:hAnsi="Arial"/>
                <w:sz w:val="14"/>
                <w:szCs w:val="14"/>
                <w:color w:val="auto"/>
              </w:rPr>
              <w:t>0.4</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EBITDA (Non-GAAP basis)</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18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w:t>
            </w:r>
          </w:p>
        </w:tc>
        <w:tc>
          <w:tcPr>
            <w:tcW w:w="16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 w:type="dxa"/>
            <w:vAlign w:val="bottom"/>
            <w:tcBorders>
              <w:bottom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89"/>
              </w:rPr>
              <w:t>Per diluted share:</w:t>
            </w:r>
          </w:p>
        </w:tc>
        <w:tc>
          <w:tcPr>
            <w:tcW w:w="3600" w:type="dxa"/>
            <w:vAlign w:val="bottom"/>
            <w:tcBorders>
              <w:bottom w:val="single" w:sz="8" w:color="CFF0FC"/>
            </w:tcBorders>
            <w:gridSpan w:val="2"/>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3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00" w:type="dxa"/>
            <w:vAlign w:val="bottom"/>
            <w:gridSpan w:val="3"/>
          </w:tcPr>
          <w:p>
            <w:pPr>
              <w:spacing w:after="0"/>
              <w:rPr>
                <w:sz w:val="20"/>
                <w:szCs w:val="20"/>
                <w:color w:val="auto"/>
              </w:rPr>
            </w:pPr>
            <w:r>
              <w:rPr>
                <w:rFonts w:ascii="Arial" w:cs="Arial" w:eastAsia="Arial" w:hAnsi="Arial"/>
                <w:sz w:val="14"/>
                <w:szCs w:val="14"/>
                <w:color w:val="auto"/>
              </w:rPr>
              <w:t>Net income (loss)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(0.08)</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0.00</w:t>
            </w:r>
          </w:p>
        </w:tc>
        <w:tc>
          <w:tcPr>
            <w:tcW w:w="2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(0.20)</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Although sales were below expectations for the second quarter, we did see sequential improvement from our prior two consecutive quarters. Comparable sales for the second quarter grew 0.1%, which is an improvement from (2.4%) in the fourth quarter of fiscal 2016 and (2.1%) in the first quarter of fiscal 2017. For the second quarter, we continued to experience a decline in store traffic and an overall weakness across the retail apparel environment. However, despite this decrease in store traffic, we saw improvements in our sales productivity, with increases in conversion rates, units per transactions and dollars per transaction.</w:t>
      </w:r>
    </w:p>
    <w:p>
      <w:pPr>
        <w:spacing w:after="0" w:line="18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remain focused on improving brand awareness, driving traffic to our stores and growing our e-commerce business through a robust investment in both traditional and digital marketing programs. With our store base transformation complete, our focus is on building the DXL brand and driving sales to the growing men’s big &amp; tall market through an integrated bricks and mortar and e-commerce strategy. Through the end of the second quarter, we were ahead of our plan for new customer acquisition. Continuing to build brand awareness is key to driving customer acquisition and long-term sales growth. With only 4 out of 10 target customers identifying with our brand, customer acquisition is our top priority this year. As discussed below under our Fiscal 2017 Outlook, we are planning to increase our marketing spend for fiscal 2017 by approximately $4.0 million to $29.0 million to further enhance our digital marketing initiatives and television ad spend. We believe that this investment will benefit us in the long-term as we work to strengthen our customer base and build brand awareness.</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Despite the difficult retail apparel environment, we are pleased that our merchandise margins remained strong, only decreasing by 10 basis points during the second quarter and remaining flat to fiscal 2016 for the first six months of fiscal 2017. As discussed below, our initiative to decrease inventory levels by improving timing of inventory receipts and in-stock positions resulted in a $9.0 million decrease in inventory levels as compared to last year’s second quarter and we achieved this with minimal impact to our merchandise margin.</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net loss for the second quarter of fiscal 2017 was $(3.7) million, or $(0.08) per diluted share, as compared to net income of $0.2 million, or $0.00 per diluted share, for the second quarter of fiscal 2016. Included in net loss for the second quarter of fiscal 2017 was an impairment charge of approximately $1.7 million, or $0.04 per diluted share, for the write-down of certain store assets and an increase of approximately $1.1 million, or $0.02 per diluted share, in advertising costs.</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From a liquidity perspective, our cash flow from operations decreased by $4.8 million to $14.3 million. Free cash flow for the first six months of fiscal 2017 decreased by approximately $4.7 million, as compared to the first six months of fiscal 2016, partly due to 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ind w:right="360"/>
        <w:spacing w:after="0" w:line="264" w:lineRule="auto"/>
        <w:rPr>
          <w:sz w:val="20"/>
          <w:szCs w:val="20"/>
          <w:color w:val="auto"/>
        </w:rPr>
      </w:pPr>
      <w:r>
        <w:rPr>
          <w:rFonts w:ascii="Arial" w:cs="Arial" w:eastAsia="Arial" w:hAnsi="Arial"/>
          <w:sz w:val="18"/>
          <w:szCs w:val="18"/>
          <w:color w:val="auto"/>
        </w:rPr>
        <w:t>increase in marketing costs of $4.6 million. For the year, we expect to generate positive free cash flow of $13.0 to $18.0 million, which we plan to use to reduce our outstanding debt while also making opportunistic repurchases of our common stock, pursuant to our stock repurchase program discussed below. See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below for a reconciliation of free cash flow.</w:t>
      </w:r>
    </w:p>
    <w:p>
      <w:pPr>
        <w:spacing w:after="0" w:line="7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the first six months of fiscal 2017, we opened a total of 15 stores as compared to 12 stores during the same period in fiscal 2016.We also opened two DXL retail stores in Ontario, Canada. These two stores, which are included in the 15 opened during the first six months, mark our first Company-operated DXL stores located outside of the United States. We believe that Canada provides a strategic growth opportunity for our DXL brand.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discussed more fully below under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in March 2017 our Board of Directors approved a stock repurchase plan, pursuant to which we may purchase up to $12.0 million of our outstanding common stock during fiscal 2017. During the first six months of fiscal 2017, we repurchased approximately 1.9 million shares at a total cost of approximately $4.7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Management Review</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fiscal 2016, we began our inventory optimization project in an effort to improve inventory receipt flow and procurement, tightening controls over the number of weeks of supply and refining our in-stock positions by sku level. We expect these changes to result in a more optimized inventory structure and expect our inventory at the end of fiscal 2017 to be $10.0 to $14.0 million less than fiscal 2016. This reduction in inventory is expected to improve our working capital position in fiscal 2017. At the end of the second quarter of fiscal 2017, we were ahead of plan having reduced inventory levels by $9.0 million, or a decrease of 7.4%, as compared to the end of the second quarter last year. We do not believe these changes have jeopardized sales from out-of-stock positions in either our retail stores or in our direct business.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2017 Outlook</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primary objectives in fiscal 2017 are to grow our customer base, through a revitalized marketing program and digital enhancements, and to maintain a strong liquidity position by continuing to improve cash flow. We have reinvested in our marketing initiatives to help drive brand awareness, store traffic and our digital presence. We are increasing marketing expense for fiscal 2017 to approximately $29.0 million, an increase of approximately $4.0 million from previous guidance and an increase of approximately $10.8 million from last year. While we expect this will benefit sales in the second half of fiscal 2017, we strongly believe that this investment in marketing and customer acquisition is important for our long-term growth. Accordingly, we are updating our guidance as it relates to gross margin, SG&amp;A, EBITDA, earnings and liquidity for fiscal 2017. We continue to expect to open 19 DXL retail stores and 1 DXL outlet store in fiscal 2017, while closing 16 Casual Male XL retail stores and 3 Casual Male XL outlet stores, the majority of which are in connection with the opening of the DXL retail and outlet stores in the same geographic markets. All DXL store growth for the year will be funded by cash from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fiscal 2017, our outlook, based on a 53-week year, is as follows:</w:t>
      </w:r>
    </w:p>
    <w:p>
      <w:pPr>
        <w:spacing w:after="0" w:line="117" w:lineRule="exact"/>
        <w:rPr>
          <w:sz w:val="20"/>
          <w:szCs w:val="20"/>
          <w:color w:val="auto"/>
        </w:rPr>
      </w:pPr>
    </w:p>
    <w:p>
      <w:pPr>
        <w:ind w:left="780" w:right="480" w:hanging="259"/>
        <w:spacing w:after="0" w:line="277"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are expected to be in the range from $470.0 million to $480.0 million, with a total company comparable sales increase of 1.0% to 4.0% (unchanged).</w:t>
      </w:r>
    </w:p>
    <w:p>
      <w:pPr>
        <w:spacing w:after="0" w:line="62" w:lineRule="exact"/>
        <w:rPr>
          <w:rFonts w:ascii="Arial" w:cs="Arial" w:eastAsia="Arial" w:hAnsi="Arial"/>
          <w:sz w:val="18"/>
          <w:szCs w:val="18"/>
          <w:color w:val="auto"/>
        </w:rPr>
      </w:pPr>
    </w:p>
    <w:p>
      <w:pPr>
        <w:ind w:left="780" w:right="280" w:hanging="259"/>
        <w:spacing w:after="0" w:line="277"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margin rate of approximately 45.5% to 46.0%, flat to an increase of 50 basis points from fiscal 2016 (a change from previous guidance of 46.0%).</w:t>
      </w:r>
    </w:p>
    <w:p>
      <w:pPr>
        <w:spacing w:after="0" w:line="62" w:lineRule="exact"/>
        <w:rPr>
          <w:rFonts w:ascii="Arial" w:cs="Arial" w:eastAsia="Arial" w:hAnsi="Arial"/>
          <w:sz w:val="18"/>
          <w:szCs w:val="18"/>
          <w:color w:val="auto"/>
        </w:rPr>
      </w:pPr>
    </w:p>
    <w:p>
      <w:pPr>
        <w:ind w:left="780" w:hanging="259"/>
        <w:spacing w:after="0" w:line="277"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SG&amp;A costs, as a percentage of sales, to increase by approximately 230 to 290 basis points (an increase from previous guidance of 150 to 200 basis points).</w:t>
      </w:r>
    </w:p>
    <w:p>
      <w:pPr>
        <w:spacing w:after="0" w:line="62" w:lineRule="exact"/>
        <w:rPr>
          <w:rFonts w:ascii="Arial" w:cs="Arial" w:eastAsia="Arial" w:hAnsi="Arial"/>
          <w:sz w:val="18"/>
          <w:szCs w:val="18"/>
          <w:color w:val="auto"/>
        </w:rPr>
      </w:pPr>
    </w:p>
    <w:p>
      <w:pPr>
        <w:jc w:val="both"/>
        <w:ind w:left="780" w:right="160" w:hanging="259"/>
        <w:spacing w:after="0" w:line="264"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loss, on a GAAP basis, of $(11.7) to $(16.7) million, or $(0.24) to $(0.34) per diluted share (a decrease in earnings from previous guidance of $(5.7) to $(11.7) million, or $(0.11) to $(0.23) per diluted share). This decrease in earnings reflects increased marketing costs of $4.0 million and an impairment charge for certain store assets of $1.7 million.</w:t>
      </w:r>
    </w:p>
    <w:p>
      <w:pPr>
        <w:spacing w:after="0" w:line="73" w:lineRule="exact"/>
        <w:rPr>
          <w:rFonts w:ascii="Arial" w:cs="Arial" w:eastAsia="Arial" w:hAnsi="Arial"/>
          <w:sz w:val="18"/>
          <w:szCs w:val="18"/>
          <w:color w:val="auto"/>
        </w:rPr>
      </w:pPr>
    </w:p>
    <w:p>
      <w:pPr>
        <w:ind w:left="780" w:right="280" w:hanging="259"/>
        <w:spacing w:after="0" w:line="277"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EBITDA of $20.0 to $25.0 million (a decrease from previous guidance of $24.0 to $30.0 million). This decrease in EBITDA reflects increased marketing costs and the $1.7 million impairment charge.</w:t>
      </w:r>
    </w:p>
    <w:p>
      <w:pPr>
        <w:spacing w:after="0" w:line="62" w:lineRule="exact"/>
        <w:rPr>
          <w:rFonts w:ascii="Arial" w:cs="Arial" w:eastAsia="Arial" w:hAnsi="Arial"/>
          <w:sz w:val="18"/>
          <w:szCs w:val="18"/>
          <w:color w:val="auto"/>
        </w:rPr>
      </w:pPr>
    </w:p>
    <w:p>
      <w:pPr>
        <w:ind w:left="780" w:right="220" w:hanging="259"/>
        <w:spacing w:after="0" w:line="286" w:lineRule="auto"/>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Adjusted net loss of $(0.14) to $(0.21) per diluted share (a decrease from previous guidance of $(0.06) to $(0.14) per diluted share). Because we expect to continue providing a full valuation allowance against our deferred tax assets, we do not expect to recognize any income tax benefit in fiscal 2017. See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 below for a reconciliation of adjusted net loss.</w:t>
      </w:r>
    </w:p>
    <w:p>
      <w:pPr>
        <w:spacing w:after="0" w:line="57" w:lineRule="exact"/>
        <w:rPr>
          <w:rFonts w:ascii="Arial" w:cs="Arial" w:eastAsia="Arial" w:hAnsi="Arial"/>
          <w:sz w:val="17"/>
          <w:szCs w:val="17"/>
          <w:color w:val="auto"/>
        </w:rPr>
      </w:pPr>
    </w:p>
    <w:p>
      <w:pPr>
        <w:ind w:left="780" w:right="280" w:hanging="259"/>
        <w:spacing w:after="0" w:line="264"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expenditures of approximately $22.0 million, $13.7 million of which will be for new DXL stores and $8.3 million of which will be for infrastructure projects, partially offset by approximately $5.0 million in tenant allowances. We expect to fund our capital expenditures primarily from our operating cash flow (unchanged).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p>
      <w:pPr>
        <w:ind w:left="780" w:right="20" w:hanging="259"/>
        <w:spacing w:after="0" w:line="257"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end of fiscal 2017, we expect cash flow from operating activities of $35.0 million to $40.0 million (including tenant allowances) and positive free cash flow, before DXL capital expenditures of $26.7 million to $31.7 million. Free cash flow, after DXL capital expenditures, will be approximately $13.0 million to $18.0 million (a decrease from our previous guidance of cash flow from operating activities of activities of $37.0 to $42.0 million, free cash flow, before DXL capital expenditures, of $28.7 million to $33.7 million and free cash flow, after DXL capital expenditures, of $15.0 to $20.0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6"/>
                <w:szCs w:val="16"/>
                <w:color w:val="auto"/>
                <w:w w:val="97"/>
              </w:rPr>
              <w:t>Second Quarter</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9"/>
              </w:rPr>
              <w:t>First Six Months</w:t>
            </w:r>
          </w:p>
        </w:tc>
        <w:tc>
          <w:tcPr>
            <w:tcW w:w="120" w:type="dxa"/>
            <w:vAlign w:val="bottom"/>
          </w:tcPr>
          <w:p>
            <w:pPr>
              <w:spacing w:after="0"/>
              <w:rPr>
                <w:sz w:val="18"/>
                <w:szCs w:val="18"/>
                <w:color w:val="auto"/>
              </w:rPr>
            </w:pPr>
          </w:p>
        </w:tc>
      </w:tr>
      <w:tr>
        <w:trPr>
          <w:trHeight w:val="207"/>
        </w:trPr>
        <w:tc>
          <w:tcPr>
            <w:tcW w:w="6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80" w:type="dxa"/>
            <w:vAlign w:val="bottom"/>
            <w:gridSpan w:val="6"/>
          </w:tcPr>
          <w:p>
            <w:pPr>
              <w:jc w:val="right"/>
              <w:ind w:right="1440"/>
              <w:spacing w:after="0"/>
              <w:rPr>
                <w:sz w:val="20"/>
                <w:szCs w:val="20"/>
                <w:color w:val="auto"/>
              </w:rPr>
            </w:pPr>
            <w:r>
              <w:rPr>
                <w:rFonts w:ascii="Arial" w:cs="Arial" w:eastAsia="Arial" w:hAnsi="Arial"/>
                <w:sz w:val="16"/>
                <w:szCs w:val="16"/>
                <w:i w:val="1"/>
                <w:iCs w:val="1"/>
                <w:color w:val="auto"/>
              </w:rPr>
              <w:t>(in millions)</w:t>
            </w:r>
          </w:p>
        </w:tc>
      </w:tr>
      <w:tr>
        <w:trPr>
          <w:trHeight w:val="222"/>
        </w:trPr>
        <w:tc>
          <w:tcPr>
            <w:tcW w:w="6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Sales for fiscal 2016</w:t>
            </w:r>
          </w:p>
        </w:tc>
        <w:tc>
          <w:tcPr>
            <w:tcW w:w="180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b w:val="1"/>
                <w:bCs w:val="1"/>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117.9</w:t>
            </w:r>
          </w:p>
        </w:tc>
        <w:tc>
          <w:tcPr>
            <w:tcW w:w="2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9"/>
              <w:spacing w:after="0"/>
              <w:rPr>
                <w:sz w:val="20"/>
                <w:szCs w:val="20"/>
                <w:color w:val="auto"/>
              </w:rPr>
            </w:pPr>
            <w:r>
              <w:rPr>
                <w:rFonts w:ascii="Arial" w:cs="Arial" w:eastAsia="Arial" w:hAnsi="Arial"/>
                <w:sz w:val="15"/>
                <w:szCs w:val="15"/>
                <w:b w:val="1"/>
                <w:bCs w:val="1"/>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225.8</w:t>
            </w:r>
          </w:p>
        </w:tc>
        <w:tc>
          <w:tcPr>
            <w:tcW w:w="120" w:type="dxa"/>
            <w:vAlign w:val="bottom"/>
            <w:shd w:val="clear" w:color="auto" w:fill="CFF0FC"/>
          </w:tcPr>
          <w:p>
            <w:pPr>
              <w:spacing w:after="0"/>
              <w:rPr>
                <w:sz w:val="19"/>
                <w:szCs w:val="19"/>
                <w:color w:val="auto"/>
              </w:rPr>
            </w:pPr>
          </w:p>
        </w:tc>
      </w:tr>
      <w:tr>
        <w:trPr>
          <w:trHeight w:val="213"/>
        </w:trPr>
        <w:tc>
          <w:tcPr>
            <w:tcW w:w="6240" w:type="dxa"/>
            <w:vAlign w:val="bottom"/>
          </w:tcPr>
          <w:p>
            <w:pPr>
              <w:spacing w:after="0"/>
              <w:rPr>
                <w:sz w:val="20"/>
                <w:szCs w:val="20"/>
                <w:color w:val="auto"/>
              </w:rPr>
            </w:pPr>
            <w:r>
              <w:rPr>
                <w:rFonts w:ascii="Arial" w:cs="Arial" w:eastAsia="Arial" w:hAnsi="Arial"/>
                <w:sz w:val="16"/>
                <w:szCs w:val="16"/>
                <w:color w:val="auto"/>
              </w:rPr>
              <w:t>Less 2016 sales for stores that have closed /converted</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(12.8)</w:t>
            </w:r>
          </w:p>
        </w:tc>
      </w:tr>
      <w:tr>
        <w:trPr>
          <w:trHeight w:val="213"/>
        </w:trPr>
        <w:tc>
          <w:tcPr>
            <w:tcW w:w="6240" w:type="dxa"/>
            <w:vAlign w:val="bottom"/>
            <w:tcBorders>
              <w:top w:val="single" w:sz="8" w:color="CFF0FC"/>
            </w:tcBorders>
            <w:shd w:val="clear" w:color="auto" w:fill="CFF0FC"/>
          </w:tcPr>
          <w:p>
            <w:pPr>
              <w:spacing w:after="0"/>
              <w:rPr>
                <w:sz w:val="18"/>
                <w:szCs w:val="18"/>
                <w:color w:val="auto"/>
              </w:rPr>
            </w:pPr>
          </w:p>
        </w:tc>
        <w:tc>
          <w:tcPr>
            <w:tcW w:w="16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111.1</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213.0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40" w:type="dxa"/>
            <w:vAlign w:val="bottom"/>
            <w:shd w:val="clear" w:color="auto" w:fill="CFF0FC"/>
          </w:tcPr>
          <w:p>
            <w:pPr>
              <w:spacing w:after="0"/>
              <w:rPr>
                <w:sz w:val="20"/>
                <w:szCs w:val="20"/>
                <w:color w:val="auto"/>
              </w:rPr>
            </w:pPr>
            <w:r>
              <w:rPr>
                <w:rFonts w:ascii="Arial" w:cs="Arial" w:eastAsia="Arial" w:hAnsi="Arial"/>
                <w:sz w:val="16"/>
                <w:szCs w:val="16"/>
                <w:color w:val="auto"/>
              </w:rPr>
              <w:t>Increase (decrease) in comparable sales</w:t>
            </w: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w:t>
            </w:r>
          </w:p>
        </w:tc>
      </w:tr>
      <w:tr>
        <w:trPr>
          <w:trHeight w:val="213"/>
        </w:trPr>
        <w:tc>
          <w:tcPr>
            <w:tcW w:w="6240" w:type="dxa"/>
            <w:vAlign w:val="bottom"/>
          </w:tcPr>
          <w:p>
            <w:pPr>
              <w:spacing w:after="0"/>
              <w:rPr>
                <w:sz w:val="20"/>
                <w:szCs w:val="20"/>
                <w:color w:val="auto"/>
              </w:rPr>
            </w:pPr>
            <w:r>
              <w:rPr>
                <w:rFonts w:ascii="Arial" w:cs="Arial" w:eastAsia="Arial" w:hAnsi="Arial"/>
                <w:sz w:val="16"/>
                <w:szCs w:val="16"/>
                <w:color w:val="auto"/>
              </w:rPr>
              <w:t>Non-comparable sales, primarily DXL stores open less than 13 months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r>
      <w:tr>
        <w:trPr>
          <w:trHeight w:val="219"/>
        </w:trPr>
        <w:tc>
          <w:tcPr>
            <w:tcW w:w="6240" w:type="dxa"/>
            <w:vAlign w:val="bottom"/>
            <w:shd w:val="clear" w:color="auto" w:fill="CFF0FC"/>
          </w:tcPr>
          <w:p>
            <w:pPr>
              <w:spacing w:after="0"/>
              <w:rPr>
                <w:sz w:val="20"/>
                <w:szCs w:val="20"/>
                <w:color w:val="auto"/>
              </w:rPr>
            </w:pPr>
            <w:r>
              <w:rPr>
                <w:rFonts w:ascii="Arial" w:cs="Arial" w:eastAsia="Arial" w:hAnsi="Arial"/>
                <w:sz w:val="16"/>
                <w:szCs w:val="16"/>
                <w:color w:val="auto"/>
              </w:rPr>
              <w:t>Other, net</w:t>
            </w:r>
          </w:p>
        </w:tc>
        <w:tc>
          <w:tcPr>
            <w:tcW w:w="16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FF0FC"/>
          </w:tcPr>
          <w:p>
            <w:pPr>
              <w:spacing w:after="0"/>
              <w:rPr>
                <w:sz w:val="19"/>
                <w:szCs w:val="19"/>
                <w:color w:val="auto"/>
              </w:rPr>
            </w:pPr>
          </w:p>
        </w:tc>
      </w:tr>
      <w:tr>
        <w:trPr>
          <w:trHeight w:val="207"/>
        </w:trPr>
        <w:tc>
          <w:tcPr>
            <w:tcW w:w="6240" w:type="dxa"/>
            <w:vAlign w:val="bottom"/>
          </w:tcPr>
          <w:p>
            <w:pPr>
              <w:spacing w:after="0"/>
              <w:rPr>
                <w:sz w:val="20"/>
                <w:szCs w:val="20"/>
                <w:color w:val="auto"/>
              </w:rPr>
            </w:pPr>
            <w:r>
              <w:rPr>
                <w:rFonts w:ascii="Arial" w:cs="Arial" w:eastAsia="Arial" w:hAnsi="Arial"/>
                <w:sz w:val="16"/>
                <w:szCs w:val="16"/>
                <w:b w:val="1"/>
                <w:bCs w:val="1"/>
                <w:color w:val="auto"/>
              </w:rPr>
              <w:t>Sales for fiscal 2017</w:t>
            </w:r>
          </w:p>
        </w:tc>
        <w:tc>
          <w:tcPr>
            <w:tcW w:w="162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121.1</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228.8</w:t>
            </w:r>
          </w:p>
        </w:tc>
        <w:tc>
          <w:tcPr>
            <w:tcW w:w="120" w:type="dxa"/>
            <w:vAlign w:val="bottom"/>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Total sales for the second quarter of fiscal 2017 increased 2.8% to $121.1 million from $117.9 million from the second quarter of fiscal 2016. The increase of $3.3 million in total sales was due to non-comparable sales of $9.4 million and a comparable sales increase of $0.2 million, or 0.1%, partially offset by a decrease in sales from closed stores.</w:t>
      </w:r>
    </w:p>
    <w:p>
      <w:pPr>
        <w:spacing w:after="0" w:line="73"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For the first six months of fiscal 2017, sales increased $3.0 million, or 1.3%, as compared to the first six months of fiscal 2017. The increase in sales was primarily due to non-comparable sales of $17.2 million, partially offset by sales from closed stores and a decrease of 0.9%, or $2.0 million, in comparable store sales.</w:t>
      </w:r>
    </w:p>
    <w:p>
      <w:pPr>
        <w:spacing w:after="0" w:line="7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Our end-of-rack customer grew to 46.1% of our bottoms business from 44.6% in the second quarter of fiscal 2016. Our end-of-rack customer, with a waist size of 46 inches or less, shops 52% more often than our customer with a waist size of 48 inches or more and, on an annual basis, spends twice as much.</w:t>
      </w:r>
    </w:p>
    <w:p>
      <w:pPr>
        <w:spacing w:after="0" w:line="1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discussed above, with our transformation of our store base complete, we are focused on growing our e-commerce business through an integrated strategy. We are implementing several initiatives to enhance our digital presence and provide our customers with improved functionality and increased touchpoints across all of our e-commerce platforms with the objective of growing and retaining our customer base. On a trailing twelve-month basis, e-commerce sales as a percentage of net sales were 20.5% at the end of the second quarter of fiscal 2017 as compared to 19.4% at the end of the second quarter of the prior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For the second quarter of fiscal 2017, our gross margin rate, inclusive of occupancy costs, was 46.1% as compared to a gross margin rate of 46.5% for the second quarter of fiscal 2016. Our merchandise margins decreased 10 basis points over the second quarter of last year and occupancy costs increased 30 basis points. The decrease in merchandise margin was primarily related to an increase in promotional markdowns related to our inventory productivity initiatives as compared to the prior year’s second quarter. The increase of 30 basis points in occupancy costs is due partly to the timing of store openings during the first six months and also to the deleveraging of occupancy costs to sales.</w:t>
      </w:r>
    </w:p>
    <w:p>
      <w:pPr>
        <w:spacing w:after="0" w:line="6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For the first six months of fiscal 2017, our gross margin rate, inclusive of occupancy costs, was 45.7% as compared to a gross margin rate of 46.3% for the first six months of fiscal 2016. The decrease of 70 basis points was due to a 70 basis point increase in occupancy costs, primarily due to the timing of earlier store openings during the first six months of fiscal 2017 as compared to fiscal 2016. On a dollar basis, occupancy costs for the first six months of fiscal 2017 increased approximately 5.6% over the prior year’s first six months, primarily as a result of an increase of 3.3% in total square footage.</w:t>
      </w:r>
    </w:p>
    <w:p>
      <w:pPr>
        <w:spacing w:after="0" w:line="4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Merchandise margins for the first six months of fiscal 2017 were flat with the prior year. As discussed above, our inventory initiatives have resulted in a 7.4% decrease in inventory levels from a year ago, however, we have been able to successfully maintain a consistent merchandise margin.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a percentage of sales, SG&amp;A expenses for the second quarter of fiscal 2017 were 40.5% as compared to 39.3% for the second quarter of fiscal 2016. For the first six months of fiscal 2017 SG&amp;A expenses as a percentage of sales were 41.6% as compared to 38.8% for the first six months of fiscal 2016. On a dollar basis, SG&amp;A increased by $2.8 million and $7.6 million for the second quarter and first six months of fiscal 2017, respectively. The increase in the second quarter and first six months was principally due to an increase of $1.1 million and $4.6 million, respectively, in advertising expense. As discussed above, we are increasing our investment in our marketing initiatives to help drive brand awareness, store traffic and our digital presence. The remainder of the increase was due to increases in store payroll and other supporting costs associated with a greater DXL store base.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Depreciation and amortization for the second quarter of fiscal 2017 increased $2.1 million to $9.6 million as compared to $7.5 million for the second quarter of fiscal 2016. The increase primarily relates to an impairment charge of $1.7 million taken in the second quarter of fiscal 2017 to write-down certain store assets. The remainder of the increase was due to the continued store growth associated with our DXL retail and outlet stores.</w:t>
      </w:r>
    </w:p>
    <w:p>
      <w:pPr>
        <w:spacing w:after="0" w:line="57"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For the first six months of fiscal 2017, depreciation and amortization was $17.4 million as compared to $14.9 million for the first six months of fiscal 2016. The increase of $2.5 million includes the $1.7 million impairment charge taken in the second quarter of fiscal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interest expense for the second quarter and first six months of fiscal 2017 of $0.8 million and $1.6 million, respectively, was relatively flat as compared to the comparable periods of the prior year. As a result of our inventory initiatives undertaken to improve liquidity, we expect interest costs for fiscal 2017 will be similar to fiscal 2016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At July 29, 2017, we had total deferred tax assets of $83.9 million, total deferred tax liabilities of $13.5 million and a corresponding valuation allowance of $70.6 million. The deferred tax assets included approximately $56.8 million of net operating loss carryforwards and approximately $4.9 million of deferred gain on our sale-leaseback and, to a lesser extent, other book/tax timing differences.</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At the end of fiscal 2013, we established a full valuation allowance against our deferred tax assets. Based on our earnings guidance for fiscal 2017, we believe that a full valuation allowance continues to remain appropriate at this time.</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tax provisions for the second quarter and first six months of fiscal 2017 and fiscal 2016 primarily represent current state margin tax and foreign income tax.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Results for the second quarter and first six months of fiscal 2017 include an impairment charge of $1.7 million, or $0.04 per diluted share, associated with write-down of store assets.</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second quarter of fiscal 2017, we had a net loss of $(3.7) million, or $(0.08) per diluted share, compared with net income of $0.2 million, or $0.00 per diluted share, for the second quarter of fiscal 2016. For the first six months of fiscal 2017, we have a net loss of $(9.8) million, or $(0.20) per diluted share, compared with net income of $0.4 million, or $0.01 per diluted share.</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a non-GAAP basis, assuming a normalized tax rate for both periods, adjusted net loss per share for the second quarter and first six months of fiscal 2017 was $(0.05) per diluted share and $(0.12) per diluted shares, respectively, as compared to adjusted net income of $0.00 per diluted share and $0.01 per diluted share for the second quarter and first six months of fiscal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At July 29, 2017, total inventory was $112.3 million compared to $117.4 million at January 28, 2017 and $121.3 million at July 30, 2016. The 7.4% decrease of $9.0 million from July 30, 3016 was due to inventory initiatives implemented in fiscal 2016 to improve timing of receipts and reduce weeks of supply on hand. At July 29, 2017, our clearance inventory represented 7.5% of our total inventory, as compared to 7.7% at July 30,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Historically, and consistent with the retail industry, we have experienced seasonal fluctuations as it relates to our operating income and net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Traditionally, a significant portion of our operating income and net income is generated in the fourth quarter, as a result of the “Holiday” season.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Our primary sources of liquidity are cash generated from operations and availability under our credit facility with Bank of America, N.A., which was most recently amended in October 2014 (“Credit Facility”). Our current cash needs are primarily for working capital (essentially inventory requirements), capital expenditures, growth initiatives, and, as discussed further below, our stock repurchase program, which was announced in March 2017.</w:t>
      </w:r>
    </w:p>
    <w:p>
      <w:pPr>
        <w:spacing w:after="0" w:line="14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discussed below, our capital expenditures for fiscal 2017 are expected to be approximately $22.0 million, primarily related to the planned opening of approximately 19 new DXL retail and 1 outlet stores and information technology projects. However, we expect to receive approximately $5.0 million in tenant allowances to offset these capital expenditures. We expect to fund this store growth and stock repurchase program in fiscal 2017 primarily through cash flow from operations, with periodic borrowings from our Credit Facility. We currently believe that our existing cash generated by operations together with our Credit Facility will be sufficient within current forecasts for us to meet our foreseeable liquidity requirements.</w:t>
      </w:r>
    </w:p>
    <w:p>
      <w:pPr>
        <w:spacing w:after="0" w:line="6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fiscal 2017, we expect cash flow from operating activities of $35.0 million to $40.0 million (including tenant allowances), and positive free cash flow of $13.0 to $18.0 million that will be used to reduce outstanding debt and purchase shares of the Company’s common stock as part of its stock repurchase program.</w:t>
      </w:r>
    </w:p>
    <w:p>
      <w:pPr>
        <w:spacing w:after="0" w:line="18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For the first six months of fiscal 2017, free cash flow decreased by $4.7 million to $0.6 million from $5.3 million for the first six months of fiscal 2016. This decrease in free cash flow was due to a decrease in earnings, primarily due to the $4.6 million increase in marketing expense as compared to the prior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at July 29, 2017 with the associated unamortized debt issuance costs: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276"/>
              <w:spacing w:after="0"/>
              <w:rPr>
                <w:sz w:val="20"/>
                <w:szCs w:val="20"/>
                <w:color w:val="auto"/>
              </w:rPr>
            </w:pPr>
            <w:r>
              <w:rPr>
                <w:rFonts w:ascii="Arial" w:cs="Arial" w:eastAsia="Arial" w:hAnsi="Arial"/>
                <w:sz w:val="14"/>
                <w:szCs w:val="14"/>
                <w:color w:val="auto"/>
              </w:rPr>
              <w:t>Gross Debt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w w:val="89"/>
              </w:rPr>
              <w:t>Less Debt Issuance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Net Debt</w:t>
            </w:r>
          </w:p>
        </w:tc>
      </w:tr>
      <w:tr>
        <w:trPr>
          <w:trHeight w:val="167"/>
        </w:trPr>
        <w:tc>
          <w:tcPr>
            <w:tcW w:w="69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1160" w:type="dxa"/>
            <w:vAlign w:val="bottom"/>
          </w:tcPr>
          <w:p>
            <w:pPr>
              <w:jc w:val="right"/>
              <w:ind w:right="256"/>
              <w:spacing w:after="0"/>
              <w:rPr>
                <w:sz w:val="20"/>
                <w:szCs w:val="20"/>
                <w:color w:val="auto"/>
              </w:rPr>
            </w:pPr>
            <w:r>
              <w:rPr>
                <w:rFonts w:ascii="Arial" w:cs="Arial" w:eastAsia="Arial" w:hAnsi="Arial"/>
                <w:sz w:val="14"/>
                <w:szCs w:val="14"/>
                <w:color w:val="auto"/>
              </w:rPr>
              <w:t>Outstanding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color w:val="auto"/>
              </w:rPr>
              <w:t>Costs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Outstanding</w:t>
            </w:r>
          </w:p>
        </w:tc>
      </w:tr>
      <w:tr>
        <w:trPr>
          <w:trHeight w:val="223"/>
        </w:trPr>
        <w:tc>
          <w:tcPr>
            <w:tcW w:w="6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facility</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53,724</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53,447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Equipment financing notes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2,865</w:t>
            </w:r>
          </w:p>
        </w:tc>
        <w:tc>
          <w:tcPr>
            <w:tcW w:w="100" w:type="dxa"/>
            <w:vAlign w:val="bottom"/>
          </w:tcPr>
          <w:p>
            <w:pPr>
              <w:spacing w:after="0"/>
              <w:rPr>
                <w:sz w:val="19"/>
                <w:szCs w:val="19"/>
                <w:color w:val="auto"/>
              </w:rPr>
            </w:pPr>
          </w:p>
        </w:tc>
      </w:tr>
      <w:tr>
        <w:trPr>
          <w:trHeight w:val="230"/>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Term loan, due 2019</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12,008</w:t>
            </w:r>
          </w:p>
        </w:tc>
        <w:tc>
          <w:tcPr>
            <w:tcW w:w="100" w:type="dxa"/>
            <w:vAlign w:val="bottom"/>
            <w:shd w:val="clear" w:color="auto" w:fill="CFF0FC"/>
          </w:tcPr>
          <w:p>
            <w:pPr>
              <w:spacing w:after="0"/>
              <w:rPr>
                <w:sz w:val="19"/>
                <w:szCs w:val="19"/>
                <w:color w:val="auto"/>
              </w:rPr>
            </w:pPr>
          </w:p>
        </w:tc>
      </w:tr>
      <w:tr>
        <w:trPr>
          <w:trHeight w:val="224"/>
        </w:trPr>
        <w:tc>
          <w:tcPr>
            <w:tcW w:w="694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68,855</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68,320</w:t>
            </w:r>
          </w:p>
        </w:tc>
        <w:tc>
          <w:tcPr>
            <w:tcW w:w="100" w:type="dxa"/>
            <w:vAlign w:val="bottom"/>
          </w:tcPr>
          <w:p>
            <w:pPr>
              <w:spacing w:after="0"/>
              <w:rPr>
                <w:sz w:val="19"/>
                <w:szCs w:val="19"/>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credit facility with Bank of America, N.A., effective October 29, 2014 (our “Credit Facility”) provides for a maximum committed borrowing of $125.0 million, which, pursuant to an accordion feature, may be increased to $175.0 million upon our request and the agreement of the lender(s) participating in the increase. The Credit Facility includes a sublimit of $20.0 million for commercial and standby letters of credit and a sublimit of up to $15.0 million for swingline loans. The maturity date of the Credit Facility is October 29, 2019. Our Credit Facility is described in more detail in Note 2 of the Notes to the Consolidated Financial Statements included in this Quarterly Report.</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Borrowings made pursuant to the Credit Facility bear interest at a rate equal to the base rate (determined as the highest of (a) Bank of America N.A.’s prime rate, (b) the Federal Funds rate plus 0.50% and (c) the annual ICE-LIBOR (“LIBOR”) rate for the respective interest period) plus a varying percentage, based on our borrowing base, of 0.50%-0.75% for prime-based borrowings and 1.50%-1.75% for LIBOR-based borrowings.</w:t>
      </w:r>
    </w:p>
    <w:p>
      <w:pPr>
        <w:spacing w:after="0" w:line="16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had outstanding borrowings of $53.7 million under the Credit Facility at July 29, 2017. At July 29, 2017, outstanding standby letters of credit were $3.3 million and outstanding documentary letters of credit were $0.1 million. The average monthly borrowing outstanding under the Credit Facility during the first six months ended July 29, 2017 was approximately $58.6 million, resulting in an average unused excess availability of approximately $46.0 million. Unused excess availability at July 29, 2017 was $43.7 million. Our obligations under the Credit Facility are secured by a lien on substantially all of our assets, excluding (i) a first priority lien held by the lenders of the Term Loan Facility on certain of our equipment described below and (ii) intellectual property.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have entered into twelve Equipment Security Notes (the “Notes”), whereby we borrowed an aggregate of $26.4 million. The Notes, which were issued between September 2013 and June 2014, were issued pursuant to a Master Loan and Security Agreement with Banc of America Leasing &amp; Capital, LLC, dated July 20, 2007 and most recently amended on September 30, 2013. The Notes are secured by a security interest in all of our rights, title and interest in and to certain equipment. The Notes are for 48 months and accrue interest at fixed rates ranging from 3.07% to 3.50%. Principal and interest, are payable monthly, in arrears. The Company was subject to prepayment penalties through the second anniversary of each note. The Company is no longer subject to any prepayment penalties.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Term Loan, Due 2019</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 $15.0 million senior secured term loan facility with Wells Fargo Bank, National Association as administrative and collateral agent (the “Term Loan Facility”). 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which matures on October 29, 2019, provides for quarterly principal payments on the first business day of each calendar quarter, which commenced the first business day of January 2015, in an aggregate principal amount equal to $250,000, subject to adjustment, with the balance payable on the termination date.</w:t>
      </w:r>
    </w:p>
    <w:p>
      <w:pPr>
        <w:spacing w:after="0" w:line="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All prepayments are subject to an early termination fee in the amount of 1% of the amount prepaid through October 29, 2017.</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Term Loan Facility is secured by a first priority lien on certain of our equipment, and a second priority lien on substantially all of our remaining assets, excluding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July 29, 2017 and July 30, 2016, respectively:</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gridSpan w:val="5"/>
          </w:tcPr>
          <w:p>
            <w:pPr>
              <w:ind w:left="20"/>
              <w:spacing w:after="0"/>
              <w:rPr>
                <w:sz w:val="20"/>
                <w:szCs w:val="20"/>
                <w:color w:val="auto"/>
              </w:rPr>
            </w:pPr>
            <w:r>
              <w:rPr>
                <w:rFonts w:ascii="Arial" w:cs="Arial" w:eastAsia="Arial" w:hAnsi="Arial"/>
                <w:sz w:val="14"/>
                <w:szCs w:val="14"/>
                <w:color w:val="auto"/>
              </w:rPr>
              <w:t>July 29, 2017</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ind w:left="380"/>
              <w:spacing w:after="0"/>
              <w:rPr>
                <w:sz w:val="20"/>
                <w:szCs w:val="20"/>
                <w:color w:val="auto"/>
              </w:rPr>
            </w:pPr>
            <w:r>
              <w:rPr>
                <w:rFonts w:ascii="Arial" w:cs="Arial" w:eastAsia="Arial" w:hAnsi="Arial"/>
                <w:sz w:val="14"/>
                <w:szCs w:val="14"/>
                <w:color w:val="auto"/>
                <w:w w:val="96"/>
              </w:rPr>
              <w:t>July 30, 2016</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Number of</w:t>
            </w:r>
          </w:p>
        </w:tc>
        <w:tc>
          <w:tcPr>
            <w:tcW w:w="280" w:type="dxa"/>
            <w:vAlign w:val="bottom"/>
          </w:tcPr>
          <w:p>
            <w:pPr>
              <w:spacing w:after="0"/>
              <w:rPr>
                <w:sz w:val="12"/>
                <w:szCs w:val="12"/>
                <w:color w:val="auto"/>
              </w:rPr>
            </w:pPr>
          </w:p>
        </w:tc>
        <w:tc>
          <w:tcPr>
            <w:tcW w:w="840" w:type="dxa"/>
            <w:vAlign w:val="bottom"/>
            <w:gridSpan w:val="3"/>
          </w:tcPr>
          <w:p>
            <w:pPr>
              <w:jc w:val="center"/>
              <w:ind w:left="239"/>
              <w:spacing w:after="0" w:line="149" w:lineRule="exact"/>
              <w:rPr>
                <w:sz w:val="20"/>
                <w:szCs w:val="20"/>
                <w:color w:val="auto"/>
              </w:rPr>
            </w:pPr>
            <w:r>
              <w:rPr>
                <w:rFonts w:ascii="Arial" w:cs="Arial" w:eastAsia="Arial" w:hAnsi="Arial"/>
                <w:sz w:val="14"/>
                <w:szCs w:val="14"/>
                <w:color w:val="auto"/>
                <w:w w:val="88"/>
              </w:rPr>
              <w:t>Square</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7"/>
          </w:tcPr>
          <w:p>
            <w:pPr>
              <w:jc w:val="center"/>
              <w:ind w:right="560"/>
              <w:spacing w:after="0" w:line="149" w:lineRule="exact"/>
              <w:rPr>
                <w:sz w:val="20"/>
                <w:szCs w:val="20"/>
                <w:color w:val="auto"/>
              </w:rPr>
            </w:pPr>
            <w:r>
              <w:rPr>
                <w:rFonts w:ascii="Arial" w:cs="Arial" w:eastAsia="Arial" w:hAnsi="Arial"/>
                <w:sz w:val="14"/>
                <w:szCs w:val="14"/>
                <w:color w:val="auto"/>
                <w:w w:val="97"/>
              </w:rPr>
              <w:t>Number of</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Square</w:t>
            </w:r>
          </w:p>
        </w:tc>
        <w:tc>
          <w:tcPr>
            <w:tcW w:w="0" w:type="dxa"/>
            <w:vAlign w:val="bottom"/>
          </w:tcPr>
          <w:p>
            <w:pPr>
              <w:spacing w:after="0"/>
              <w:rPr>
                <w:sz w:val="1"/>
                <w:szCs w:val="1"/>
                <w:color w:val="auto"/>
              </w:rPr>
            </w:pPr>
          </w:p>
        </w:tc>
      </w:tr>
      <w:tr>
        <w:trPr>
          <w:trHeight w:val="167"/>
        </w:trPr>
        <w:tc>
          <w:tcPr>
            <w:tcW w:w="4800" w:type="dxa"/>
            <w:vAlign w:val="bottom"/>
            <w:gridSpan w:val="3"/>
          </w:tcPr>
          <w:p>
            <w:pPr>
              <w:spacing w:after="0"/>
              <w:rPr>
                <w:sz w:val="20"/>
                <w:szCs w:val="20"/>
                <w:color w:val="auto"/>
              </w:rPr>
            </w:pPr>
            <w:r>
              <w:rPr>
                <w:rFonts w:ascii="Arial" w:cs="Arial" w:eastAsia="Arial" w:hAnsi="Arial"/>
                <w:sz w:val="14"/>
                <w:szCs w:val="14"/>
                <w:color w:val="auto"/>
              </w:rPr>
              <w:t>Store Concept</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4"/>
                <w:szCs w:val="14"/>
                <w:color w:val="auto"/>
              </w:rPr>
              <w:t>Stores</w:t>
            </w:r>
          </w:p>
        </w:tc>
        <w:tc>
          <w:tcPr>
            <w:tcW w:w="280" w:type="dxa"/>
            <w:vAlign w:val="bottom"/>
          </w:tcPr>
          <w:p>
            <w:pPr>
              <w:spacing w:after="0"/>
              <w:rPr>
                <w:sz w:val="14"/>
                <w:szCs w:val="14"/>
                <w:color w:val="auto"/>
              </w:rPr>
            </w:pPr>
          </w:p>
        </w:tc>
        <w:tc>
          <w:tcPr>
            <w:tcW w:w="840" w:type="dxa"/>
            <w:vAlign w:val="bottom"/>
            <w:gridSpan w:val="3"/>
          </w:tcPr>
          <w:p>
            <w:pPr>
              <w:jc w:val="center"/>
              <w:ind w:left="219"/>
              <w:spacing w:after="0"/>
              <w:rPr>
                <w:sz w:val="20"/>
                <w:szCs w:val="20"/>
                <w:color w:val="auto"/>
              </w:rPr>
            </w:pPr>
            <w:r>
              <w:rPr>
                <w:rFonts w:ascii="Arial" w:cs="Arial" w:eastAsia="Arial" w:hAnsi="Arial"/>
                <w:sz w:val="14"/>
                <w:szCs w:val="14"/>
                <w:color w:val="auto"/>
                <w:w w:val="89"/>
              </w:rPr>
              <w:t>Footage</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jc w:val="center"/>
              <w:ind w:right="920"/>
              <w:spacing w:after="0"/>
              <w:rPr>
                <w:sz w:val="20"/>
                <w:szCs w:val="20"/>
                <w:color w:val="auto"/>
              </w:rPr>
            </w:pPr>
            <w:r>
              <w:rPr>
                <w:rFonts w:ascii="Arial" w:cs="Arial" w:eastAsia="Arial" w:hAnsi="Arial"/>
                <w:sz w:val="14"/>
                <w:szCs w:val="14"/>
                <w:color w:val="auto"/>
                <w:w w:val="88"/>
              </w:rPr>
              <w:t>Stores</w:t>
            </w: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Footage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00" w:type="dxa"/>
            <w:vAlign w:val="bottom"/>
            <w:gridSpan w:val="3"/>
          </w:tcPr>
          <w:p>
            <w:pPr>
              <w:spacing w:after="0"/>
              <w:rPr>
                <w:sz w:val="20"/>
                <w:szCs w:val="20"/>
                <w:color w:val="auto"/>
              </w:rPr>
            </w:pPr>
            <w:r>
              <w:rPr>
                <w:rFonts w:ascii="Arial" w:cs="Arial" w:eastAsia="Arial" w:hAnsi="Arial"/>
                <w:sz w:val="14"/>
                <w:szCs w:val="14"/>
                <w:i w:val="1"/>
                <w:iCs w:val="1"/>
                <w:color w:val="auto"/>
              </w:rPr>
              <w:t>(square footage in thousands)</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Retail</w:t>
            </w:r>
          </w:p>
        </w:tc>
        <w:tc>
          <w:tcPr>
            <w:tcW w:w="9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44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1,630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DXL Outlets</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Casual Male XL Retail</w:t>
            </w:r>
          </w:p>
        </w:tc>
        <w:tc>
          <w:tcPr>
            <w:tcW w:w="9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291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Casual Male Outlets</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Rochester Clothing</w:t>
            </w:r>
          </w:p>
        </w:tc>
        <w:tc>
          <w:tcPr>
            <w:tcW w:w="9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gridSpan w:val="3"/>
          </w:tcPr>
          <w:p>
            <w:pPr>
              <w:spacing w:after="0"/>
              <w:rPr>
                <w:sz w:val="20"/>
                <w:szCs w:val="20"/>
                <w:color w:val="auto"/>
              </w:rPr>
            </w:pPr>
            <w:r>
              <w:rPr>
                <w:rFonts w:ascii="Arial" w:cs="Arial" w:eastAsia="Arial" w:hAnsi="Arial"/>
                <w:sz w:val="18"/>
                <w:szCs w:val="18"/>
                <w:color w:val="auto"/>
              </w:rPr>
              <w:t>Total Stores</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28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2,148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7080" w:type="dxa"/>
            <w:vAlign w:val="bottom"/>
            <w:gridSpan w:val="7"/>
          </w:tcPr>
          <w:p>
            <w:pPr>
              <w:spacing w:after="0"/>
              <w:rPr>
                <w:sz w:val="20"/>
                <w:szCs w:val="20"/>
                <w:color w:val="auto"/>
              </w:rPr>
            </w:pPr>
            <w:r>
              <w:rPr>
                <w:rFonts w:ascii="Arial" w:cs="Arial" w:eastAsia="Arial" w:hAnsi="Arial"/>
                <w:sz w:val="18"/>
                <w:szCs w:val="18"/>
                <w:color w:val="auto"/>
                <w:w w:val="96"/>
              </w:rPr>
              <w:t>Below is a summary of store openings and closings from January 28, 2017 to July 29, 2017:</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4"/>
          </w:tcPr>
          <w:p>
            <w:pPr>
              <w:jc w:val="center"/>
              <w:ind w:right="360"/>
              <w:spacing w:after="0"/>
              <w:rPr>
                <w:sz w:val="20"/>
                <w:szCs w:val="20"/>
                <w:color w:val="auto"/>
              </w:rPr>
            </w:pPr>
            <w:r>
              <w:rPr>
                <w:rFonts w:ascii="Arial" w:cs="Arial" w:eastAsia="Arial" w:hAnsi="Arial"/>
                <w:sz w:val="14"/>
                <w:szCs w:val="14"/>
                <w:color w:val="auto"/>
                <w:w w:val="92"/>
              </w:rPr>
              <w:t>Casual Male</w:t>
            </w:r>
          </w:p>
        </w:tc>
        <w:tc>
          <w:tcPr>
            <w:tcW w:w="940" w:type="dxa"/>
            <w:vAlign w:val="bottom"/>
            <w:gridSpan w:val="4"/>
          </w:tcPr>
          <w:p>
            <w:pPr>
              <w:jc w:val="right"/>
              <w:ind w:right="200"/>
              <w:spacing w:after="0"/>
              <w:rPr>
                <w:sz w:val="20"/>
                <w:szCs w:val="20"/>
                <w:color w:val="auto"/>
              </w:rPr>
            </w:pPr>
            <w:r>
              <w:rPr>
                <w:rFonts w:ascii="Arial" w:cs="Arial" w:eastAsia="Arial" w:hAnsi="Arial"/>
                <w:sz w:val="14"/>
                <w:szCs w:val="14"/>
                <w:color w:val="auto"/>
                <w:w w:val="92"/>
              </w:rPr>
              <w:t>Casual Male</w:t>
            </w:r>
          </w:p>
        </w:tc>
        <w:tc>
          <w:tcPr>
            <w:tcW w:w="120" w:type="dxa"/>
            <w:vAlign w:val="bottom"/>
          </w:tcPr>
          <w:p>
            <w:pPr>
              <w:spacing w:after="0"/>
              <w:rPr>
                <w:sz w:val="24"/>
                <w:szCs w:val="24"/>
                <w:color w:val="auto"/>
              </w:rPr>
            </w:pPr>
          </w:p>
        </w:tc>
        <w:tc>
          <w:tcPr>
            <w:tcW w:w="1200" w:type="dxa"/>
            <w:vAlign w:val="bottom"/>
            <w:gridSpan w:val="4"/>
          </w:tcPr>
          <w:p>
            <w:pPr>
              <w:jc w:val="center"/>
              <w:ind w:right="300"/>
              <w:spacing w:after="0"/>
              <w:rPr>
                <w:sz w:val="20"/>
                <w:szCs w:val="20"/>
                <w:color w:val="auto"/>
              </w:rPr>
            </w:pPr>
            <w:r>
              <w:rPr>
                <w:rFonts w:ascii="Arial" w:cs="Arial" w:eastAsia="Arial" w:hAnsi="Arial"/>
                <w:sz w:val="14"/>
                <w:szCs w:val="14"/>
                <w:color w:val="auto"/>
                <w:w w:val="90"/>
              </w:rPr>
              <w:t>Rochester</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800" w:type="dxa"/>
            <w:vAlign w:val="bottom"/>
            <w:gridSpan w:val="3"/>
          </w:tcPr>
          <w:p>
            <w:pPr>
              <w:spacing w:after="0"/>
              <w:rPr>
                <w:sz w:val="20"/>
                <w:szCs w:val="20"/>
                <w:color w:val="auto"/>
              </w:rPr>
            </w:pPr>
            <w:r>
              <w:rPr>
                <w:rFonts w:ascii="Arial" w:cs="Arial" w:eastAsia="Arial" w:hAnsi="Arial"/>
                <w:sz w:val="14"/>
                <w:szCs w:val="14"/>
                <w:color w:val="auto"/>
              </w:rPr>
              <w:t>Number of Stores:</w:t>
            </w:r>
          </w:p>
        </w:tc>
        <w:tc>
          <w:tcPr>
            <w:tcW w:w="1100" w:type="dxa"/>
            <w:vAlign w:val="bottom"/>
            <w:gridSpan w:val="2"/>
          </w:tcPr>
          <w:p>
            <w:pPr>
              <w:ind w:left="300"/>
              <w:spacing w:after="0"/>
              <w:rPr>
                <w:sz w:val="20"/>
                <w:szCs w:val="20"/>
                <w:color w:val="auto"/>
              </w:rPr>
            </w:pPr>
            <w:r>
              <w:rPr>
                <w:rFonts w:ascii="Arial" w:cs="Arial" w:eastAsia="Arial" w:hAnsi="Arial"/>
                <w:sz w:val="14"/>
                <w:szCs w:val="14"/>
                <w:color w:val="auto"/>
              </w:rPr>
              <w:t>DXL</w:t>
            </w:r>
          </w:p>
        </w:tc>
        <w:tc>
          <w:tcPr>
            <w:tcW w:w="1180" w:type="dxa"/>
            <w:vAlign w:val="bottom"/>
            <w:gridSpan w:val="2"/>
          </w:tcPr>
          <w:p>
            <w:pPr>
              <w:jc w:val="right"/>
              <w:ind w:right="288"/>
              <w:spacing w:after="0"/>
              <w:rPr>
                <w:sz w:val="20"/>
                <w:szCs w:val="20"/>
                <w:color w:val="auto"/>
              </w:rPr>
            </w:pPr>
            <w:r>
              <w:rPr>
                <w:rFonts w:ascii="Arial" w:cs="Arial" w:eastAsia="Arial" w:hAnsi="Arial"/>
                <w:sz w:val="14"/>
                <w:szCs w:val="14"/>
                <w:color w:val="auto"/>
              </w:rPr>
              <w:t>DXL Outlets</w:t>
            </w:r>
          </w:p>
        </w:tc>
        <w:tc>
          <w:tcPr>
            <w:tcW w:w="1120" w:type="dxa"/>
            <w:vAlign w:val="bottom"/>
            <w:gridSpan w:val="4"/>
          </w:tcPr>
          <w:p>
            <w:pPr>
              <w:jc w:val="center"/>
              <w:ind w:right="360"/>
              <w:spacing w:after="0"/>
              <w:rPr>
                <w:sz w:val="20"/>
                <w:szCs w:val="20"/>
                <w:color w:val="auto"/>
              </w:rPr>
            </w:pPr>
            <w:r>
              <w:rPr>
                <w:rFonts w:ascii="Arial" w:cs="Arial" w:eastAsia="Arial" w:hAnsi="Arial"/>
                <w:sz w:val="14"/>
                <w:szCs w:val="14"/>
                <w:color w:val="auto"/>
                <w:w w:val="98"/>
              </w:rPr>
              <w:t>XL Retail</w:t>
            </w:r>
          </w:p>
        </w:tc>
        <w:tc>
          <w:tcPr>
            <w:tcW w:w="940" w:type="dxa"/>
            <w:vAlign w:val="bottom"/>
            <w:gridSpan w:val="4"/>
          </w:tcPr>
          <w:p>
            <w:pPr>
              <w:jc w:val="right"/>
              <w:ind w:right="240"/>
              <w:spacing w:after="0"/>
              <w:rPr>
                <w:sz w:val="20"/>
                <w:szCs w:val="20"/>
                <w:color w:val="auto"/>
              </w:rPr>
            </w:pPr>
            <w:r>
              <w:rPr>
                <w:rFonts w:ascii="Arial" w:cs="Arial" w:eastAsia="Arial" w:hAnsi="Arial"/>
                <w:sz w:val="14"/>
                <w:szCs w:val="14"/>
                <w:color w:val="auto"/>
              </w:rPr>
              <w:t>XL Outlets</w:t>
            </w:r>
          </w:p>
        </w:tc>
        <w:tc>
          <w:tcPr>
            <w:tcW w:w="120" w:type="dxa"/>
            <w:vAlign w:val="bottom"/>
          </w:tcPr>
          <w:p>
            <w:pPr>
              <w:spacing w:after="0"/>
              <w:rPr>
                <w:sz w:val="14"/>
                <w:szCs w:val="14"/>
                <w:color w:val="auto"/>
              </w:rPr>
            </w:pPr>
          </w:p>
        </w:tc>
        <w:tc>
          <w:tcPr>
            <w:tcW w:w="1200" w:type="dxa"/>
            <w:vAlign w:val="bottom"/>
            <w:gridSpan w:val="4"/>
          </w:tcPr>
          <w:p>
            <w:pPr>
              <w:jc w:val="center"/>
              <w:ind w:right="300"/>
              <w:spacing w:after="0"/>
              <w:rPr>
                <w:sz w:val="20"/>
                <w:szCs w:val="20"/>
                <w:color w:val="auto"/>
              </w:rPr>
            </w:pPr>
            <w:r>
              <w:rPr>
                <w:rFonts w:ascii="Arial" w:cs="Arial" w:eastAsia="Arial" w:hAnsi="Arial"/>
                <w:sz w:val="14"/>
                <w:szCs w:val="14"/>
                <w:color w:val="auto"/>
                <w:w w:val="97"/>
              </w:rPr>
              <w:t>Clothing</w:t>
            </w: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Total Stores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January 28, 2017</w:t>
            </w: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ind w:left="240"/>
              <w:spacing w:after="0"/>
              <w:rPr>
                <w:sz w:val="20"/>
                <w:szCs w:val="20"/>
                <w:color w:val="auto"/>
              </w:rPr>
            </w:pPr>
            <w:r>
              <w:rPr>
                <w:rFonts w:ascii="Arial" w:cs="Arial" w:eastAsia="Arial" w:hAnsi="Arial"/>
                <w:sz w:val="18"/>
                <w:szCs w:val="18"/>
                <w:color w:val="auto"/>
              </w:rPr>
              <w:t>New stores</w:t>
            </w:r>
            <w:r>
              <w:rPr>
                <w:rFonts w:ascii="Arial" w:cs="Arial" w:eastAsia="Arial" w:hAnsi="Arial"/>
                <w:sz w:val="15"/>
                <w:szCs w:val="15"/>
                <w:color w:val="auto"/>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1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Replaced stores</w:t>
            </w:r>
            <w:r>
              <w:rPr>
                <w:rFonts w:ascii="Arial" w:cs="Arial" w:eastAsia="Arial" w:hAnsi="Arial"/>
                <w:sz w:val="15"/>
                <w:szCs w:val="15"/>
                <w:color w:val="auto"/>
              </w:rPr>
              <w:t>(2)</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CFF0FC"/>
            </w:tcBorders>
            <w:shd w:val="clear" w:color="auto" w:fill="CFF0FC"/>
          </w:tcPr>
          <w:p>
            <w:pPr>
              <w:spacing w:after="0"/>
              <w:rPr>
                <w:sz w:val="19"/>
                <w:szCs w:val="19"/>
                <w:color w:val="auto"/>
              </w:rPr>
            </w:pPr>
          </w:p>
        </w:tc>
        <w:tc>
          <w:tcPr>
            <w:tcW w:w="10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ind w:left="240"/>
              <w:spacing w:after="0"/>
              <w:rPr>
                <w:sz w:val="20"/>
                <w:szCs w:val="20"/>
                <w:color w:val="auto"/>
              </w:rPr>
            </w:pPr>
            <w:r>
              <w:rPr>
                <w:rFonts w:ascii="Arial" w:cs="Arial" w:eastAsia="Arial" w:hAnsi="Arial"/>
                <w:sz w:val="18"/>
                <w:szCs w:val="18"/>
                <w:color w:val="auto"/>
              </w:rPr>
              <w:t>Closed retail stores</w:t>
            </w:r>
            <w:r>
              <w:rPr>
                <w:rFonts w:ascii="Arial" w:cs="Arial" w:eastAsia="Arial" w:hAnsi="Arial"/>
                <w:sz w:val="15"/>
                <w:szCs w:val="15"/>
                <w:color w:val="auto"/>
              </w:rPr>
              <w:t>(3)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At July 29, 2017</w:t>
            </w:r>
          </w:p>
        </w:tc>
        <w:tc>
          <w:tcPr>
            <w:tcW w:w="9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stores opened in new markets, including 2 stores located in Ontario, Canada.</w:t>
      </w:r>
    </w:p>
    <w:p>
      <w:pPr>
        <w:spacing w:after="0" w:line="23" w:lineRule="exact"/>
        <w:rPr>
          <w:rFonts w:ascii="Arial" w:cs="Arial" w:eastAsia="Arial" w:hAnsi="Arial"/>
          <w:sz w:val="18"/>
          <w:szCs w:val="18"/>
          <w:color w:val="auto"/>
        </w:rPr>
      </w:pPr>
    </w:p>
    <w:p>
      <w:pPr>
        <w:ind w:left="520" w:hanging="512"/>
        <w:spacing w:after="0" w:line="250"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the total number of DXL stores opened in existing markets with the corresponding total number of Casual Male XL stores and/or Rochester Clothing stores closed in such markets in connection with those DXL store openings.</w:t>
      </w: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closed stores for which there were no corresponding openings of a DXL store in the same market.</w:t>
      </w:r>
    </w:p>
    <w:p>
      <w:pPr>
        <w:spacing w:after="0" w:line="21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Our capital expenditures were $13.8 million for both the first six months of fiscal 2017 and fiscal 2016. We have opened 14 DXL retail stores and 1 DXL outlets during the first six months of fiscal 2017 as compared to 10 DXL retail stores and 2 DXL outlets for the first six months of fiscal 2016.</w:t>
      </w:r>
    </w:p>
    <w:p>
      <w:pPr>
        <w:spacing w:after="0" w:line="14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fiscal 2017, our capital expenditures are expected to be approximately $22.0 million and we expect to receive approximately $5.0 million in tenant allowances to offset these expenditures. Our budget includes approximately $13.7 million, excluding any allowance, related to the opening of 19 DXL retail stores and 1 DXL outlet stores, and approximately $8.3 million for continued information technology projects and general overhead projects. In addition, we expect to close approximately 16 Casual Male XL stores and 3 Casual Male XL outlet stores, the majority of which are in connection with the opening of the DXL retail and outlet stores in the same geographic market.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There have been no material changes to the critical accounting policies and estimates disclosed in our Fiscal 2016 Annual Report. See Note 1 to the Consolidated Financial Statements included in this report for information on recent accounting pronouncements and changes in accounting principles.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Adjusted net income (loss), adjusted net income (loss) per diluted share, free cash flow, free cash flow before DXL capital expenditures and EBITDA are non-GAAP measures. These non-GAAP measures are not presented in accordance with GAAP and should not be considered superior to or as a substitute for income (loss)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 Reconciliations of these non-GAAP measures are presented in the following tables </w:t>
      </w:r>
      <w:r>
        <w:rPr>
          <w:rFonts w:ascii="Arial" w:cs="Arial" w:eastAsia="Arial" w:hAnsi="Arial"/>
          <w:sz w:val="17"/>
          <w:szCs w:val="17"/>
          <w:i w:val="1"/>
          <w:iCs w:val="1"/>
          <w:color w:val="auto"/>
        </w:rPr>
        <w:t>(certain columns may not foot due to rounding)</w:t>
      </w:r>
      <w:r>
        <w:rPr>
          <w:rFonts w:ascii="Arial" w:cs="Arial" w:eastAsia="Arial" w:hAnsi="Arial"/>
          <w:sz w:val="17"/>
          <w:szCs w:val="17"/>
          <w:color w:val="auto"/>
        </w:rPr>
        <w:t>:</w:t>
      </w:r>
    </w:p>
    <w:p>
      <w:pPr>
        <w:spacing w:after="0" w:line="1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u w:val="single" w:color="auto"/>
          <w:color w:val="auto"/>
        </w:rPr>
        <w:t>Adjusted net income (loss) and adjusted net income (loss) per diluted share</w:t>
      </w:r>
      <w:r>
        <w:rPr>
          <w:rFonts w:ascii="Arial" w:cs="Arial" w:eastAsia="Arial" w:hAnsi="Arial"/>
          <w:sz w:val="18"/>
          <w:szCs w:val="18"/>
          <w:color w:val="auto"/>
        </w:rPr>
        <w:t>. The above discussion includes an adjusted net income (loss) for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and first six months of fiscal 2017 and fiscal 2016 on a non-GAAP basis, which reflected an adjustment assuming a normal tax rate of 40%. We have fully reserved against our deferred tax assets and, therefore, net loss is not reflective of earnings assuming a “normal” tax position. Adjusted net income (loss) provides investors with a useful indication of the financial performance of the business, on a comparative basis, assuming a normalized effective tax rate of 40%.</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is a reconciliation of net income (loss) to adjusted net income (loss), assuming a normal tax rate of 40% for the first six months of fiscal 2017 and fiscal 2016:</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6"/>
          </w:tcPr>
          <w:p>
            <w:pPr>
              <w:jc w:val="right"/>
              <w:ind w:right="240"/>
              <w:spacing w:after="0"/>
              <w:rPr>
                <w:sz w:val="20"/>
                <w:szCs w:val="20"/>
                <w:color w:val="auto"/>
              </w:rPr>
            </w:pPr>
            <w:r>
              <w:rPr>
                <w:rFonts w:ascii="Arial" w:cs="Arial" w:eastAsia="Arial" w:hAnsi="Arial"/>
                <w:sz w:val="14"/>
                <w:szCs w:val="14"/>
                <w:color w:val="auto"/>
                <w:w w:val="90"/>
              </w:rPr>
              <w:t>For the 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color w:val="auto"/>
                <w:w w:val="91"/>
              </w:rPr>
              <w:t>For the six months ended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jc w:val="right"/>
              <w:ind w:right="620"/>
              <w:spacing w:after="0"/>
              <w:rPr>
                <w:sz w:val="20"/>
                <w:szCs w:val="20"/>
                <w:color w:val="auto"/>
              </w:rPr>
            </w:pPr>
            <w:r>
              <w:rPr>
                <w:rFonts w:ascii="Arial" w:cs="Arial" w:eastAsia="Arial" w:hAnsi="Arial"/>
                <w:sz w:val="14"/>
                <w:szCs w:val="14"/>
                <w:color w:val="auto"/>
              </w:rPr>
              <w:t>July 29, 2017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6"/>
          </w:tcPr>
          <w:p>
            <w:pPr>
              <w:ind w:left="240"/>
              <w:spacing w:after="0"/>
              <w:rPr>
                <w:sz w:val="20"/>
                <w:szCs w:val="20"/>
                <w:color w:val="auto"/>
              </w:rPr>
            </w:pPr>
            <w:r>
              <w:rPr>
                <w:rFonts w:ascii="Arial" w:cs="Arial" w:eastAsia="Arial" w:hAnsi="Arial"/>
                <w:sz w:val="14"/>
                <w:szCs w:val="14"/>
                <w:color w:val="auto"/>
              </w:rPr>
              <w:t>July 30, 2016</w:t>
            </w:r>
          </w:p>
        </w:tc>
        <w:tc>
          <w:tcPr>
            <w:tcW w:w="200" w:type="dxa"/>
            <w:vAlign w:val="bottom"/>
          </w:tcPr>
          <w:p>
            <w:pPr>
              <w:spacing w:after="0"/>
              <w:rPr>
                <w:sz w:val="14"/>
                <w:szCs w:val="14"/>
                <w:color w:val="auto"/>
              </w:rPr>
            </w:pPr>
          </w:p>
        </w:tc>
        <w:tc>
          <w:tcPr>
            <w:tcW w:w="1800" w:type="dxa"/>
            <w:vAlign w:val="bottom"/>
            <w:gridSpan w:val="6"/>
          </w:tcPr>
          <w:p>
            <w:pPr>
              <w:jc w:val="right"/>
              <w:ind w:right="740"/>
              <w:spacing w:after="0"/>
              <w:rPr>
                <w:sz w:val="20"/>
                <w:szCs w:val="20"/>
                <w:color w:val="auto"/>
              </w:rPr>
            </w:pPr>
            <w:r>
              <w:rPr>
                <w:rFonts w:ascii="Arial" w:cs="Arial" w:eastAsia="Arial" w:hAnsi="Arial"/>
                <w:sz w:val="14"/>
                <w:szCs w:val="14"/>
                <w:color w:val="auto"/>
              </w:rPr>
              <w:t>July 29, 2017</w:t>
            </w:r>
          </w:p>
        </w:tc>
        <w:tc>
          <w:tcPr>
            <w:tcW w:w="440" w:type="dxa"/>
            <w:vAlign w:val="bottom"/>
          </w:tcPr>
          <w:p>
            <w:pPr>
              <w:spacing w:after="0"/>
              <w:rPr>
                <w:sz w:val="14"/>
                <w:szCs w:val="14"/>
                <w:color w:val="auto"/>
              </w:rPr>
            </w:pPr>
          </w:p>
        </w:tc>
        <w:tc>
          <w:tcPr>
            <w:tcW w:w="1460" w:type="dxa"/>
            <w:vAlign w:val="bottom"/>
            <w:gridSpan w:val="5"/>
          </w:tcPr>
          <w:p>
            <w:pPr>
              <w:ind w:left="60"/>
              <w:spacing w:after="0"/>
              <w:rPr>
                <w:sz w:val="20"/>
                <w:szCs w:val="20"/>
                <w:color w:val="auto"/>
              </w:rPr>
            </w:pPr>
            <w:r>
              <w:rPr>
                <w:rFonts w:ascii="Arial" w:cs="Arial" w:eastAsia="Arial" w:hAnsi="Arial"/>
                <w:sz w:val="14"/>
                <w:szCs w:val="14"/>
                <w:color w:val="auto"/>
              </w:rPr>
              <w:t>July 30, 2016</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rPr>
              <w:t>Per diluted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spacing w:after="0" w:line="137" w:lineRule="exact"/>
              <w:rPr>
                <w:sz w:val="20"/>
                <w:szCs w:val="20"/>
                <w:color w:val="auto"/>
              </w:rPr>
            </w:pPr>
            <w:r>
              <w:rPr>
                <w:rFonts w:ascii="Arial" w:cs="Arial" w:eastAsia="Arial" w:hAnsi="Arial"/>
                <w:sz w:val="14"/>
                <w:szCs w:val="14"/>
                <w:color w:val="auto"/>
                <w:w w:val="95"/>
              </w:rPr>
              <w:t>Per diluted</w:t>
            </w:r>
          </w:p>
        </w:tc>
        <w:tc>
          <w:tcPr>
            <w:tcW w:w="2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w w:val="95"/>
              </w:rPr>
              <w:t>Per diluted</w:t>
            </w:r>
          </w:p>
        </w:tc>
        <w:tc>
          <w:tcPr>
            <w:tcW w:w="2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spacing w:after="0" w:line="137" w:lineRule="exact"/>
              <w:rPr>
                <w:sz w:val="20"/>
                <w:szCs w:val="20"/>
                <w:color w:val="auto"/>
              </w:rPr>
            </w:pPr>
            <w:r>
              <w:rPr>
                <w:rFonts w:ascii="Arial" w:cs="Arial" w:eastAsia="Arial" w:hAnsi="Arial"/>
                <w:sz w:val="14"/>
                <w:szCs w:val="14"/>
                <w:color w:val="auto"/>
                <w:w w:val="92"/>
              </w:rPr>
              <w:t>Per diluted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80" w:type="dxa"/>
            <w:vAlign w:val="bottom"/>
          </w:tcPr>
          <w:p>
            <w:pPr>
              <w:spacing w:after="0"/>
              <w:rPr>
                <w:sz w:val="14"/>
                <w:szCs w:val="14"/>
                <w:color w:val="auto"/>
              </w:rPr>
            </w:pPr>
          </w:p>
        </w:tc>
        <w:tc>
          <w:tcPr>
            <w:tcW w:w="5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rPr>
              <w:t>share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share</w:t>
            </w:r>
          </w:p>
        </w:tc>
        <w:tc>
          <w:tcPr>
            <w:tcW w:w="200" w:type="dxa"/>
            <w:vAlign w:val="bottom"/>
          </w:tcPr>
          <w:p>
            <w:pPr>
              <w:spacing w:after="0"/>
              <w:rPr>
                <w:sz w:val="14"/>
                <w:szCs w:val="14"/>
                <w:color w:val="auto"/>
              </w:rPr>
            </w:pPr>
          </w:p>
        </w:tc>
        <w:tc>
          <w:tcPr>
            <w:tcW w:w="5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color w:val="auto"/>
              </w:rPr>
              <w:t>share</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share</w:t>
            </w:r>
          </w:p>
        </w:tc>
        <w:tc>
          <w:tcPr>
            <w:tcW w:w="0" w:type="dxa"/>
            <w:vAlign w:val="bottom"/>
          </w:tcPr>
          <w:p>
            <w:pPr>
              <w:spacing w:after="0"/>
              <w:rPr>
                <w:sz w:val="1"/>
                <w:szCs w:val="1"/>
                <w:color w:val="auto"/>
              </w:rPr>
            </w:pPr>
          </w:p>
        </w:tc>
      </w:tr>
      <w:tr>
        <w:trPr>
          <w:trHeight w:val="142"/>
        </w:trPr>
        <w:tc>
          <w:tcPr>
            <w:tcW w:w="3620" w:type="dxa"/>
            <w:vAlign w:val="bottom"/>
            <w:gridSpan w:val="3"/>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Net income (loss) (GAAP basis)</w:t>
            </w:r>
          </w:p>
        </w:tc>
        <w:tc>
          <w:tcPr>
            <w:tcW w:w="148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(3,731)</w:t>
            </w: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(0.08)</w:t>
            </w:r>
          </w:p>
        </w:tc>
        <w:tc>
          <w:tcPr>
            <w:tcW w:w="300" w:type="dxa"/>
            <w:vAlign w:val="bottom"/>
            <w:gridSpan w:val="2"/>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199</w:t>
            </w:r>
          </w:p>
        </w:tc>
        <w:tc>
          <w:tcPr>
            <w:tcW w:w="16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0.00</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(9,796)</w:t>
            </w:r>
          </w:p>
        </w:tc>
        <w:tc>
          <w:tcPr>
            <w:tcW w:w="2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(0.20)</w:t>
            </w:r>
          </w:p>
        </w:tc>
        <w:tc>
          <w:tcPr>
            <w:tcW w:w="440" w:type="dxa"/>
            <w:vAlign w:val="bottom"/>
            <w:shd w:val="clear" w:color="auto" w:fill="CFF0FC"/>
          </w:tcPr>
          <w:p>
            <w:pPr>
              <w:jc w:val="right"/>
              <w:ind w:right="322"/>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413</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0.01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 Actual income tax provision</w:t>
            </w: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0" w:type="dxa"/>
            <w:vAlign w:val="bottom"/>
            <w:gridSpan w:val="2"/>
          </w:tcPr>
          <w:p>
            <w:pPr>
              <w:ind w:left="280"/>
              <w:spacing w:after="0"/>
              <w:rPr>
                <w:sz w:val="20"/>
                <w:szCs w:val="20"/>
                <w:color w:val="auto"/>
              </w:rPr>
            </w:pPr>
            <w:r>
              <w:rPr>
                <w:rFonts w:ascii="Arial" w:cs="Arial" w:eastAsia="Arial" w:hAnsi="Arial"/>
                <w:sz w:val="14"/>
                <w:szCs w:val="14"/>
                <w:color w:val="auto"/>
              </w:rPr>
              <w:t>Income tax (provision) benefit, assuming</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0" w:type="dxa"/>
            <w:vAlign w:val="bottom"/>
            <w:gridSpan w:val="2"/>
            <w:shd w:val="clear" w:color="auto" w:fill="CFF0FC"/>
          </w:tcPr>
          <w:p>
            <w:pPr>
              <w:jc w:val="center"/>
              <w:ind w:right="1700"/>
              <w:spacing w:after="0"/>
              <w:rPr>
                <w:sz w:val="20"/>
                <w:szCs w:val="20"/>
                <w:color w:val="auto"/>
              </w:rPr>
            </w:pPr>
            <w:r>
              <w:rPr>
                <w:rFonts w:ascii="Arial" w:cs="Arial" w:eastAsia="Arial" w:hAnsi="Arial"/>
                <w:sz w:val="14"/>
                <w:szCs w:val="14"/>
                <w:color w:val="auto"/>
                <w:w w:val="93"/>
              </w:rPr>
              <w:t>a normal tax rate of 40%</w:t>
            </w: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1,478</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3,893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(202)</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gridSpan w:val="2"/>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Adjusted net income (loss) (non-GAAP basis)</w:t>
            </w: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(2,218)</w:t>
            </w: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(0.05)</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140</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0.00</w:t>
            </w: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(5,839)</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(0.12)</w:t>
            </w:r>
          </w:p>
        </w:tc>
        <w:tc>
          <w:tcPr>
            <w:tcW w:w="260" w:type="dxa"/>
            <w:vAlign w:val="bottom"/>
            <w:tcBorders>
              <w:top w:val="single" w:sz="8" w:color="CFF0FC"/>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jc w:val="right"/>
              <w:ind w:right="322"/>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303</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0.01</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Weighted average number of common shares</w:t>
            </w: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0" w:type="dxa"/>
            <w:vAlign w:val="bottom"/>
            <w:gridSpan w:val="2"/>
          </w:tcPr>
          <w:p>
            <w:pPr>
              <w:jc w:val="center"/>
              <w:ind w:right="1700"/>
              <w:spacing w:after="0"/>
              <w:rPr>
                <w:sz w:val="20"/>
                <w:szCs w:val="20"/>
                <w:color w:val="auto"/>
              </w:rPr>
            </w:pPr>
            <w:r>
              <w:rPr>
                <w:rFonts w:ascii="Arial" w:cs="Arial" w:eastAsia="Arial" w:hAnsi="Arial"/>
                <w:sz w:val="14"/>
                <w:szCs w:val="14"/>
                <w:color w:val="auto"/>
                <w:w w:val="91"/>
              </w:rPr>
              <w:t>outstanding on a diluted basis</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48,556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49,953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49,146</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49,902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u w:val="single" w:color="auto"/>
          <w:color w:val="auto"/>
        </w:rPr>
        <w:t>Free Cash Flow and Free Cash Flow Before DXL Capital Expenditures.</w:t>
      </w:r>
      <w:r>
        <w:rPr>
          <w:rFonts w:ascii="Arial" w:cs="Arial" w:eastAsia="Arial" w:hAnsi="Arial"/>
          <w:sz w:val="17"/>
          <w:szCs w:val="17"/>
          <w:i w:val="1"/>
          <w:iCs w:val="1"/>
          <w:color w:val="auto"/>
        </w:rPr>
        <w:t xml:space="preserve"> </w:t>
      </w:r>
      <w:r>
        <w:rPr>
          <w:rFonts w:ascii="Arial" w:cs="Arial" w:eastAsia="Arial" w:hAnsi="Arial"/>
          <w:sz w:val="17"/>
          <w:szCs w:val="17"/>
          <w:color w:val="auto"/>
        </w:rPr>
        <w:t>We define free cash flow as cash flow from operating activities less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expenditures. Free cash flow before DXL capital expenditures is free cash flow with DXL capital expenditures added back. Free cash flow excludes the mandatory and discretionary repayment of debt. Free cash flow and free cash flow before DXL capital expenditures are metrics that management uses to monitor liquidity. We expect to fund our ongoing DXL capital expenditures with cash flow from operations. We believe this metric is important to investors because it demonstrates our ability to strengthen liquidity while also contributing to the funding of the DXL store growth.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free cash flow and free cash flow before DXL capital expenditures: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40" w:type="dxa"/>
            <w:vAlign w:val="bottom"/>
            <w:gridSpan w:val="4"/>
          </w:tcPr>
          <w:p>
            <w:pPr>
              <w:jc w:val="right"/>
              <w:ind w:right="9"/>
              <w:spacing w:after="0"/>
              <w:rPr>
                <w:sz w:val="20"/>
                <w:szCs w:val="20"/>
                <w:color w:val="auto"/>
              </w:rPr>
            </w:pPr>
            <w:r>
              <w:rPr>
                <w:rFonts w:ascii="Arial" w:cs="Arial" w:eastAsia="Arial" w:hAnsi="Arial"/>
                <w:sz w:val="14"/>
                <w:szCs w:val="14"/>
                <w:color w:val="auto"/>
              </w:rPr>
              <w:t>For the six months ended</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6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4"/>
                <w:szCs w:val="14"/>
                <w:color w:val="auto"/>
              </w:rPr>
            </w:pPr>
          </w:p>
        </w:tc>
        <w:tc>
          <w:tcPr>
            <w:tcW w:w="1980" w:type="dxa"/>
            <w:vAlign w:val="bottom"/>
            <w:gridSpan w:val="2"/>
          </w:tcPr>
          <w:p>
            <w:pPr>
              <w:jc w:val="right"/>
              <w:ind w:right="900"/>
              <w:spacing w:after="0"/>
              <w:rPr>
                <w:sz w:val="20"/>
                <w:szCs w:val="20"/>
                <w:color w:val="auto"/>
              </w:rPr>
            </w:pPr>
            <w:r>
              <w:rPr>
                <w:rFonts w:ascii="Arial" w:cs="Arial" w:eastAsia="Arial" w:hAnsi="Arial"/>
                <w:sz w:val="14"/>
                <w:szCs w:val="14"/>
                <w:color w:val="auto"/>
              </w:rPr>
              <w:t>July 29, 2017</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4"/>
                <w:szCs w:val="14"/>
                <w:color w:val="auto"/>
              </w:rPr>
              <w:t>July 30, 2016</w:t>
            </w:r>
          </w:p>
        </w:tc>
      </w:tr>
      <w:tr>
        <w:trPr>
          <w:trHeight w:val="156"/>
        </w:trPr>
        <w:tc>
          <w:tcPr>
            <w:tcW w:w="66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 from operating activities (GAAP basis)</w:t>
            </w:r>
            <w:r>
              <w:rPr>
                <w:rFonts w:ascii="Arial" w:cs="Arial" w:eastAsia="Arial" w:hAnsi="Arial"/>
                <w:sz w:val="12"/>
                <w:szCs w:val="12"/>
                <w:color w:val="auto"/>
              </w:rPr>
              <w:t>(1)</w:t>
            </w:r>
          </w:p>
        </w:tc>
        <w:tc>
          <w:tcPr>
            <w:tcW w:w="380" w:type="dxa"/>
            <w:vAlign w:val="bottom"/>
            <w:tcBorders>
              <w:top w:val="single" w:sz="8" w:color="auto"/>
            </w:tcBorders>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14.3</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ind w:right="48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19.1</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infrastructure projects</w:t>
            </w:r>
          </w:p>
        </w:tc>
        <w:tc>
          <w:tcPr>
            <w:tcW w:w="380" w:type="dxa"/>
            <w:vAlign w:val="bottom"/>
          </w:tcPr>
          <w:p>
            <w:pPr>
              <w:spacing w:after="0"/>
              <w:rPr>
                <w:sz w:val="14"/>
                <w:szCs w:val="14"/>
                <w:color w:val="auto"/>
              </w:rPr>
            </w:pPr>
          </w:p>
        </w:tc>
        <w:tc>
          <w:tcPr>
            <w:tcW w:w="1980" w:type="dxa"/>
            <w:vAlign w:val="bottom"/>
            <w:gridSpan w:val="2"/>
          </w:tcPr>
          <w:p>
            <w:pPr>
              <w:jc w:val="right"/>
              <w:ind w:right="160"/>
              <w:spacing w:after="0"/>
              <w:rPr>
                <w:sz w:val="20"/>
                <w:szCs w:val="20"/>
                <w:color w:val="auto"/>
              </w:rPr>
            </w:pPr>
            <w:r>
              <w:rPr>
                <w:rFonts w:ascii="Arial" w:cs="Arial" w:eastAsia="Arial" w:hAnsi="Arial"/>
                <w:sz w:val="14"/>
                <w:szCs w:val="14"/>
                <w:color w:val="auto"/>
              </w:rPr>
              <w:t>(3.6)</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(4.1)</w:t>
            </w:r>
          </w:p>
        </w:tc>
      </w:tr>
      <w:tr>
        <w:trPr>
          <w:trHeight w:val="156"/>
        </w:trPr>
        <w:tc>
          <w:tcPr>
            <w:tcW w:w="6640" w:type="dxa"/>
            <w:vAlign w:val="bottom"/>
            <w:tcBorders>
              <w:top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before DXL capital expenditures</w:t>
            </w:r>
          </w:p>
        </w:tc>
        <w:tc>
          <w:tcPr>
            <w:tcW w:w="380" w:type="dxa"/>
            <w:vAlign w:val="bottom"/>
            <w:tcBorders>
              <w:top w:val="single" w:sz="8" w:color="auto"/>
            </w:tcBorders>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10.8</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ind w:right="48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15.0</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for DXL stores</w:t>
            </w:r>
          </w:p>
        </w:tc>
        <w:tc>
          <w:tcPr>
            <w:tcW w:w="380" w:type="dxa"/>
            <w:vAlign w:val="bottom"/>
          </w:tcPr>
          <w:p>
            <w:pPr>
              <w:spacing w:after="0"/>
              <w:rPr>
                <w:sz w:val="14"/>
                <w:szCs w:val="14"/>
                <w:color w:val="auto"/>
              </w:rPr>
            </w:pPr>
          </w:p>
        </w:tc>
        <w:tc>
          <w:tcPr>
            <w:tcW w:w="1980" w:type="dxa"/>
            <w:vAlign w:val="bottom"/>
            <w:gridSpan w:val="2"/>
          </w:tcPr>
          <w:p>
            <w:pPr>
              <w:jc w:val="right"/>
              <w:ind w:right="160"/>
              <w:spacing w:after="0"/>
              <w:rPr>
                <w:sz w:val="20"/>
                <w:szCs w:val="20"/>
                <w:color w:val="auto"/>
              </w:rPr>
            </w:pPr>
            <w:r>
              <w:rPr>
                <w:rFonts w:ascii="Arial" w:cs="Arial" w:eastAsia="Arial" w:hAnsi="Arial"/>
                <w:sz w:val="14"/>
                <w:szCs w:val="14"/>
                <w:color w:val="auto"/>
              </w:rPr>
              <w:t>(10.2)</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(9.7)</w:t>
            </w:r>
          </w:p>
        </w:tc>
      </w:tr>
      <w:tr>
        <w:trPr>
          <w:trHeight w:val="156"/>
        </w:trPr>
        <w:tc>
          <w:tcPr>
            <w:tcW w:w="6640" w:type="dxa"/>
            <w:vAlign w:val="bottom"/>
            <w:tcBorders>
              <w:top w:val="single" w:sz="8" w:color="CFF0FC"/>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380" w:type="dxa"/>
            <w:vAlign w:val="bottom"/>
            <w:tcBorders>
              <w:top w:val="single" w:sz="8" w:color="auto"/>
              <w:bottom w:val="single" w:sz="8" w:color="auto"/>
            </w:tcBorders>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0.6</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ind w:right="48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6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1040" w:hanging="654"/>
        <w:spacing w:after="0" w:line="220" w:lineRule="auto"/>
        <w:tabs>
          <w:tab w:leader="none" w:pos="1040" w:val="left"/>
        </w:tabs>
        <w:numPr>
          <w:ilvl w:val="0"/>
          <w:numId w:val="9"/>
        </w:numPr>
        <w:rPr>
          <w:rFonts w:ascii="Arial" w:cs="Arial" w:eastAsia="Arial" w:hAnsi="Arial"/>
          <w:sz w:val="36"/>
          <w:szCs w:val="36"/>
          <w:color w:val="auto"/>
          <w:vertAlign w:val="subscript"/>
        </w:rPr>
      </w:pPr>
      <w:r>
        <w:rPr>
          <w:rFonts w:ascii="Arial" w:cs="Arial" w:eastAsia="Arial" w:hAnsi="Arial"/>
          <w:sz w:val="14"/>
          <w:szCs w:val="14"/>
          <w:color w:val="auto"/>
        </w:rPr>
        <w:t>Cash flow from operating activities includes lease incentives received against our capital expenditures.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24" w:name="page25"/>
    <w:bookmarkEnd w:id="24"/>
    <w:p>
      <w:pPr>
        <w:ind w:right="20"/>
        <w:spacing w:after="0" w:line="264" w:lineRule="auto"/>
        <w:rPr>
          <w:sz w:val="20"/>
          <w:szCs w:val="20"/>
          <w:color w:val="auto"/>
        </w:rPr>
      </w:pPr>
      <w:r>
        <w:rPr>
          <w:rFonts w:ascii="Arial" w:cs="Arial" w:eastAsia="Arial" w:hAnsi="Arial"/>
          <w:sz w:val="18"/>
          <w:szCs w:val="18"/>
          <w:i w:val="1"/>
          <w:iCs w:val="1"/>
          <w:u w:val="single" w:color="auto"/>
          <w:color w:val="auto"/>
        </w:rPr>
        <w:t>EBITDA</w:t>
      </w:r>
      <w:r>
        <w:rPr>
          <w:rFonts w:ascii="Arial" w:cs="Arial" w:eastAsia="Arial" w:hAnsi="Arial"/>
          <w:sz w:val="18"/>
          <w:szCs w:val="18"/>
          <w:i w:val="1"/>
          <w:iCs w:val="1"/>
          <w:color w:val="auto"/>
        </w:rPr>
        <w:t xml:space="preserve">. </w:t>
      </w:r>
      <w:r>
        <w:rPr>
          <w:rFonts w:ascii="Arial" w:cs="Arial" w:eastAsia="Arial" w:hAnsi="Arial"/>
          <w:sz w:val="18"/>
          <w:szCs w:val="18"/>
          <w:color w:val="auto"/>
        </w:rPr>
        <w:t>EBITDA is calculated as earnings before interest, taxes, depreciation and amortization. We believe that EBITDA is useful to investors in evaluating</w:t>
      </w:r>
      <w:r>
        <w:rPr>
          <w:rFonts w:ascii="Arial" w:cs="Arial" w:eastAsia="Arial" w:hAnsi="Arial"/>
          <w:sz w:val="18"/>
          <w:szCs w:val="18"/>
          <w:i w:val="1"/>
          <w:iCs w:val="1"/>
          <w:color w:val="auto"/>
        </w:rPr>
        <w:t xml:space="preserve"> </w:t>
      </w:r>
      <w:r>
        <w:rPr>
          <w:rFonts w:ascii="Arial" w:cs="Arial" w:eastAsia="Arial" w:hAnsi="Arial"/>
          <w:sz w:val="18"/>
          <w:szCs w:val="18"/>
          <w:color w:val="auto"/>
        </w:rPr>
        <w:t>our performance. With the significant capital investment associated with the DXL transformation and, therefore, increasing levels of depreciation and interest, management uses EBITDA as a key metric to measure profitability and economic productivity.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net income (loss) to EBITDA: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920" w:type="dxa"/>
            <w:vAlign w:val="bottom"/>
            <w:gridSpan w:val="5"/>
          </w:tcPr>
          <w:p>
            <w:pPr>
              <w:jc w:val="right"/>
              <w:ind w:right="478"/>
              <w:spacing w:after="0"/>
              <w:rPr>
                <w:sz w:val="20"/>
                <w:szCs w:val="20"/>
                <w:color w:val="auto"/>
              </w:rPr>
            </w:pPr>
            <w:r>
              <w:rPr>
                <w:rFonts w:ascii="Arial" w:cs="Arial" w:eastAsia="Arial" w:hAnsi="Arial"/>
                <w:sz w:val="14"/>
                <w:szCs w:val="14"/>
                <w:color w:val="auto"/>
              </w:rPr>
              <w:t>For the three months ended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6"/>
          </w:tcPr>
          <w:p>
            <w:pPr>
              <w:ind w:left="66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July 29, 2017</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July 30, 2016</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July 29, 2017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July 30, 2016</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millions)</w:t>
            </w:r>
          </w:p>
        </w:tc>
        <w:tc>
          <w:tcPr>
            <w:tcW w:w="1140" w:type="dxa"/>
            <w:vAlign w:val="bottom"/>
            <w:vMerge w:val="restart"/>
          </w:tcPr>
          <w:p>
            <w:pPr>
              <w:jc w:val="right"/>
              <w:ind w:right="988"/>
              <w:spacing w:after="0"/>
              <w:rPr>
                <w:sz w:val="20"/>
                <w:szCs w:val="20"/>
                <w:color w:val="auto"/>
              </w:rPr>
            </w:pPr>
            <w:r>
              <w:rPr>
                <w:rFonts w:ascii="Arial" w:cs="Arial" w:eastAsia="Arial" w:hAnsi="Arial"/>
                <w:sz w:val="14"/>
                <w:szCs w:val="14"/>
                <w:color w:val="auto"/>
                <w:w w:val="76"/>
              </w:rPr>
              <w:t>$</w:t>
            </w: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(3.7)</w:t>
            </w:r>
          </w:p>
        </w:tc>
        <w:tc>
          <w:tcPr>
            <w:tcW w:w="1320" w:type="dxa"/>
            <w:vAlign w:val="bottom"/>
            <w:gridSpan w:val="2"/>
            <w:vMerge w:val="restart"/>
          </w:tcPr>
          <w:p>
            <w:pPr>
              <w:jc w:val="right"/>
              <w:ind w:right="107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220" w:type="dxa"/>
            <w:vAlign w:val="bottom"/>
          </w:tcPr>
          <w:p>
            <w:pPr>
              <w:spacing w:after="0"/>
              <w:rPr>
                <w:sz w:val="13"/>
                <w:szCs w:val="13"/>
                <w:color w:val="auto"/>
              </w:rPr>
            </w:pPr>
          </w:p>
        </w:tc>
        <w:tc>
          <w:tcPr>
            <w:tcW w:w="180" w:type="dxa"/>
            <w:vAlign w:val="bottom"/>
            <w:vMerge w:val="restart"/>
          </w:tcPr>
          <w:p>
            <w:pPr>
              <w:jc w:val="right"/>
              <w:ind w:right="69"/>
              <w:spacing w:after="0"/>
              <w:rPr>
                <w:sz w:val="20"/>
                <w:szCs w:val="20"/>
                <w:color w:val="auto"/>
              </w:rPr>
            </w:pPr>
            <w:r>
              <w:rPr>
                <w:rFonts w:ascii="Arial" w:cs="Arial" w:eastAsia="Arial" w:hAnsi="Arial"/>
                <w:sz w:val="10"/>
                <w:szCs w:val="10"/>
                <w:color w:val="auto"/>
                <w:w w:val="71"/>
              </w:rPr>
              <w:t>$</w:t>
            </w: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(9.8)</w:t>
            </w:r>
          </w:p>
        </w:tc>
        <w:tc>
          <w:tcPr>
            <w:tcW w:w="3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98"/>
              </w:rPr>
              <w:t>Net income</w:t>
            </w:r>
          </w:p>
        </w:tc>
        <w:tc>
          <w:tcPr>
            <w:tcW w:w="3840" w:type="dxa"/>
            <w:vAlign w:val="bottom"/>
          </w:tcPr>
          <w:p>
            <w:pPr>
              <w:spacing w:after="0" w:line="155" w:lineRule="exact"/>
              <w:rPr>
                <w:sz w:val="20"/>
                <w:szCs w:val="20"/>
                <w:color w:val="auto"/>
              </w:rPr>
            </w:pPr>
            <w:r>
              <w:rPr>
                <w:rFonts w:ascii="Arial" w:cs="Arial" w:eastAsia="Arial" w:hAnsi="Arial"/>
                <w:sz w:val="14"/>
                <w:szCs w:val="14"/>
                <w:color w:val="auto"/>
              </w:rPr>
              <w:t>(loss) (GAAP basis)</w:t>
            </w:r>
          </w:p>
        </w:tc>
        <w:tc>
          <w:tcPr>
            <w:tcW w:w="1140" w:type="dxa"/>
            <w:vAlign w:val="bottom"/>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w:t>
            </w:r>
          </w:p>
        </w:tc>
        <w:tc>
          <w:tcPr>
            <w:tcW w:w="1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11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11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Depreciation and amortization</w:t>
            </w: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2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6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EBITDA (non-GAAP basis)</w:t>
            </w:r>
          </w:p>
        </w:tc>
        <w:tc>
          <w:tcPr>
            <w:tcW w:w="1140" w:type="dxa"/>
            <w:vAlign w:val="bottom"/>
            <w:tcBorders>
              <w:bottom w:val="single" w:sz="8" w:color="auto"/>
            </w:tcBorders>
            <w:shd w:val="clear" w:color="auto" w:fill="CFF0FC"/>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ind w:right="1078"/>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8.5</w:t>
            </w: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16.9</w:t>
            </w:r>
          </w:p>
        </w:tc>
        <w:tc>
          <w:tcPr>
            <w:tcW w:w="2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2017 Outlook - GAAP to Non-GAAP Reconciliations.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non-GAAP measures used in our Fiscal 2017 Outlook:</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920" w:type="dxa"/>
            <w:vAlign w:val="bottom"/>
            <w:gridSpan w:val="2"/>
          </w:tcPr>
          <w:p>
            <w:pPr>
              <w:jc w:val="right"/>
              <w:ind w:right="280"/>
              <w:spacing w:after="0"/>
              <w:rPr>
                <w:sz w:val="20"/>
                <w:szCs w:val="20"/>
                <w:color w:val="auto"/>
              </w:rPr>
            </w:pPr>
            <w:r>
              <w:rPr>
                <w:rFonts w:ascii="Arial" w:cs="Arial" w:eastAsia="Arial" w:hAnsi="Arial"/>
                <w:sz w:val="14"/>
                <w:szCs w:val="14"/>
                <w:color w:val="auto"/>
              </w:rPr>
              <w:t>Projected</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9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Fiscal 2017</w:t>
            </w:r>
          </w:p>
        </w:tc>
        <w:tc>
          <w:tcPr>
            <w:tcW w:w="1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60" w:type="dxa"/>
            <w:vAlign w:val="bottom"/>
            <w:gridSpan w:val="3"/>
          </w:tcPr>
          <w:p>
            <w:pPr>
              <w:spacing w:after="0" w:line="155" w:lineRule="exact"/>
              <w:rPr>
                <w:sz w:val="20"/>
                <w:szCs w:val="20"/>
                <w:color w:val="auto"/>
              </w:rPr>
            </w:pPr>
            <w:r>
              <w:rPr>
                <w:rFonts w:ascii="Arial" w:cs="Arial" w:eastAsia="Arial" w:hAnsi="Arial"/>
                <w:sz w:val="14"/>
                <w:szCs w:val="14"/>
                <w:i w:val="1"/>
                <w:iCs w:val="1"/>
                <w:color w:val="auto"/>
              </w:rPr>
              <w:t>(in millions, except per share data)</w:t>
            </w:r>
          </w:p>
        </w:tc>
        <w:tc>
          <w:tcPr>
            <w:tcW w:w="2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40" w:type="dxa"/>
            <w:vAlign w:val="bottom"/>
          </w:tcPr>
          <w:p>
            <w:pPr>
              <w:jc w:val="right"/>
              <w:ind w:right="568"/>
              <w:spacing w:after="0" w:line="155" w:lineRule="exact"/>
              <w:rPr>
                <w:sz w:val="20"/>
                <w:szCs w:val="20"/>
                <w:color w:val="auto"/>
              </w:rPr>
            </w:pPr>
            <w:r>
              <w:rPr>
                <w:rFonts w:ascii="Arial" w:cs="Arial" w:eastAsia="Arial" w:hAnsi="Arial"/>
                <w:sz w:val="14"/>
                <w:szCs w:val="14"/>
                <w:i w:val="1"/>
                <w:iCs w:val="1"/>
                <w:color w:val="auto"/>
              </w:rPr>
              <w:t>per diluted share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Net loss (GAAP basis)</w:t>
            </w:r>
          </w:p>
        </w:tc>
        <w:tc>
          <w:tcPr>
            <w:tcW w:w="4640" w:type="dxa"/>
            <w:vAlign w:val="bottom"/>
            <w:shd w:val="clear" w:color="auto" w:fill="CFF0FC"/>
          </w:tcPr>
          <w:p>
            <w:pPr>
              <w:spacing w:after="0"/>
              <w:rPr>
                <w:sz w:val="13"/>
                <w:szCs w:val="13"/>
                <w:color w:val="auto"/>
              </w:rPr>
            </w:pPr>
          </w:p>
        </w:tc>
        <w:tc>
          <w:tcPr>
            <w:tcW w:w="2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$(11.7)-$(16.7)</w:t>
            </w:r>
          </w:p>
        </w:tc>
        <w:tc>
          <w:tcPr>
            <w:tcW w:w="78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Add back:</w:t>
            </w:r>
          </w:p>
        </w:tc>
        <w:tc>
          <w:tcPr>
            <w:tcW w:w="2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2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78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2140" w:type="dxa"/>
            <w:vAlign w:val="bottom"/>
          </w:tcPr>
          <w:p>
            <w:pPr>
              <w:jc w:val="right"/>
              <w:spacing w:after="0"/>
              <w:rPr>
                <w:sz w:val="20"/>
                <w:szCs w:val="20"/>
                <w:color w:val="auto"/>
              </w:rPr>
            </w:pPr>
            <w:r>
              <w:rPr>
                <w:rFonts w:ascii="Arial" w:cs="Arial" w:eastAsia="Arial" w:hAnsi="Arial"/>
                <w:sz w:val="14"/>
                <w:szCs w:val="14"/>
                <w:color w:val="auto"/>
              </w:rPr>
              <w:t>3.0</w:t>
            </w:r>
          </w:p>
        </w:tc>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33.7</w:t>
            </w:r>
          </w:p>
        </w:tc>
        <w:tc>
          <w:tcPr>
            <w:tcW w:w="78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60" w:type="dxa"/>
            <w:vAlign w:val="bottom"/>
            <w:gridSpan w:val="3"/>
          </w:tcPr>
          <w:p>
            <w:pPr>
              <w:spacing w:after="0" w:line="155" w:lineRule="exact"/>
              <w:rPr>
                <w:sz w:val="20"/>
                <w:szCs w:val="20"/>
                <w:color w:val="auto"/>
              </w:rPr>
            </w:pPr>
            <w:r>
              <w:rPr>
                <w:rFonts w:ascii="Arial" w:cs="Arial" w:eastAsia="Arial" w:hAnsi="Arial"/>
                <w:sz w:val="14"/>
                <w:szCs w:val="14"/>
                <w:color w:val="auto"/>
              </w:rPr>
              <w:t>EBITDA (non-GAAP basis)</w:t>
            </w:r>
          </w:p>
        </w:tc>
        <w:tc>
          <w:tcPr>
            <w:tcW w:w="2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$20.0-$25.0</w:t>
            </w:r>
          </w:p>
        </w:tc>
        <w:tc>
          <w:tcPr>
            <w:tcW w:w="7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2000" w:type="dxa"/>
            <w:vAlign w:val="bottom"/>
            <w:tcBorders>
              <w:top w:val="single" w:sz="8" w:color="CFF0FC"/>
            </w:tcBorders>
            <w:shd w:val="clear" w:color="auto" w:fill="CFF0FC"/>
          </w:tcPr>
          <w:p>
            <w:pPr>
              <w:spacing w:after="0"/>
              <w:rPr>
                <w:sz w:val="12"/>
                <w:szCs w:val="12"/>
                <w:color w:val="auto"/>
              </w:rPr>
            </w:pPr>
          </w:p>
        </w:tc>
        <w:tc>
          <w:tcPr>
            <w:tcW w:w="4640" w:type="dxa"/>
            <w:vAlign w:val="bottom"/>
            <w:tcBorders>
              <w:top w:val="single" w:sz="8" w:color="CFF0FC"/>
            </w:tcBorders>
            <w:shd w:val="clear" w:color="auto" w:fill="CFF0FC"/>
          </w:tcPr>
          <w:p>
            <w:pPr>
              <w:spacing w:after="0"/>
              <w:rPr>
                <w:sz w:val="12"/>
                <w:szCs w:val="12"/>
                <w:color w:val="auto"/>
              </w:rPr>
            </w:pPr>
          </w:p>
        </w:tc>
        <w:tc>
          <w:tcPr>
            <w:tcW w:w="214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CFF0FC"/>
            </w:tcBorders>
            <w:shd w:val="clear" w:color="auto" w:fill="CFF0FC"/>
          </w:tcPr>
          <w:p>
            <w:pPr>
              <w:spacing w:after="0"/>
              <w:rPr>
                <w:sz w:val="12"/>
                <w:szCs w:val="12"/>
                <w:color w:val="auto"/>
              </w:rPr>
            </w:pPr>
          </w:p>
        </w:tc>
        <w:tc>
          <w:tcPr>
            <w:tcW w:w="18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Net loss (GAAP basis)</w:t>
            </w:r>
          </w:p>
        </w:tc>
        <w:tc>
          <w:tcPr>
            <w:tcW w:w="2140" w:type="dxa"/>
            <w:vAlign w:val="bottom"/>
          </w:tcPr>
          <w:p>
            <w:pPr>
              <w:jc w:val="right"/>
              <w:spacing w:after="0"/>
              <w:rPr>
                <w:sz w:val="20"/>
                <w:szCs w:val="20"/>
                <w:color w:val="auto"/>
              </w:rPr>
            </w:pPr>
            <w:r>
              <w:rPr>
                <w:rFonts w:ascii="Arial" w:cs="Arial" w:eastAsia="Arial" w:hAnsi="Arial"/>
                <w:sz w:val="14"/>
                <w:szCs w:val="14"/>
                <w:color w:val="auto"/>
              </w:rPr>
              <w:t>$(11.7)-$(16.7)</w:t>
            </w:r>
          </w:p>
        </w:tc>
        <w:tc>
          <w:tcPr>
            <w:tcW w:w="78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$(0.24)-$(0.34)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tax benefit, assuming 40% rate</w:t>
            </w:r>
          </w:p>
        </w:tc>
        <w:tc>
          <w:tcPr>
            <w:tcW w:w="2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$4.7-$6.7</w:t>
            </w:r>
          </w:p>
        </w:tc>
        <w:tc>
          <w:tcPr>
            <w:tcW w:w="780" w:type="dxa"/>
            <w:vAlign w:val="bottom"/>
            <w:shd w:val="clear" w:color="auto" w:fill="CFF0FC"/>
          </w:tcPr>
          <w:p>
            <w:pPr>
              <w:spacing w:after="0"/>
              <w:rPr>
                <w:sz w:val="14"/>
                <w:szCs w:val="14"/>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$0.10-$0.13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Adjusted net loss (non-GAAP basis)</w:t>
            </w:r>
          </w:p>
        </w:tc>
        <w:tc>
          <w:tcPr>
            <w:tcW w:w="2140" w:type="dxa"/>
            <w:vAlign w:val="bottom"/>
          </w:tcPr>
          <w:p>
            <w:pPr>
              <w:jc w:val="right"/>
              <w:spacing w:after="0"/>
              <w:rPr>
                <w:sz w:val="20"/>
                <w:szCs w:val="20"/>
                <w:color w:val="auto"/>
              </w:rPr>
            </w:pPr>
            <w:r>
              <w:rPr>
                <w:rFonts w:ascii="Arial" w:cs="Arial" w:eastAsia="Arial" w:hAnsi="Arial"/>
                <w:sz w:val="14"/>
                <w:szCs w:val="14"/>
                <w:color w:val="auto"/>
              </w:rPr>
              <w:t>$(7.0)-$(10.0)</w:t>
            </w:r>
          </w:p>
        </w:tc>
        <w:tc>
          <w:tcPr>
            <w:tcW w:w="78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$(0.14)-$(0.21)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48.5</w:t>
            </w:r>
          </w:p>
        </w:tc>
        <w:tc>
          <w:tcPr>
            <w:tcW w:w="78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Cash flow from operating activities (GAAP basis)</w:t>
            </w:r>
          </w:p>
        </w:tc>
        <w:tc>
          <w:tcPr>
            <w:tcW w:w="2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$35.0-$40.0</w:t>
            </w:r>
          </w:p>
        </w:tc>
        <w:tc>
          <w:tcPr>
            <w:tcW w:w="78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Capital expenditures, infrastructure projects</w:t>
            </w:r>
          </w:p>
        </w:tc>
        <w:tc>
          <w:tcPr>
            <w:tcW w:w="2920" w:type="dxa"/>
            <w:vAlign w:val="bottom"/>
            <w:gridSpan w:val="2"/>
          </w:tcPr>
          <w:p>
            <w:pPr>
              <w:jc w:val="right"/>
              <w:ind w:right="740"/>
              <w:spacing w:after="0"/>
              <w:rPr>
                <w:sz w:val="20"/>
                <w:szCs w:val="20"/>
                <w:color w:val="auto"/>
              </w:rPr>
            </w:pPr>
            <w:r>
              <w:rPr>
                <w:rFonts w:ascii="Arial" w:cs="Arial" w:eastAsia="Arial" w:hAnsi="Arial"/>
                <w:sz w:val="14"/>
                <w:szCs w:val="14"/>
                <w:color w:val="auto"/>
              </w:rPr>
              <w:t>(8.3)</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tcBorders>
              <w:top w:val="single" w:sz="8" w:color="CFF0FC"/>
            </w:tcBorders>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Free Cash Flow, before DXL capital expenditures (non-GAAP basis)</w:t>
            </w:r>
          </w:p>
        </w:tc>
        <w:tc>
          <w:tcPr>
            <w:tcW w:w="2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$26.7-$31.7</w:t>
            </w:r>
          </w:p>
        </w:tc>
        <w:tc>
          <w:tcPr>
            <w:tcW w:w="780" w:type="dxa"/>
            <w:vAlign w:val="bottom"/>
            <w:tcBorders>
              <w:top w:val="single" w:sz="8" w:color="CFF0FC"/>
            </w:tcBorders>
            <w:shd w:val="clear" w:color="auto" w:fill="CFF0FC"/>
          </w:tcPr>
          <w:p>
            <w:pPr>
              <w:spacing w:after="0"/>
              <w:rPr>
                <w:sz w:val="13"/>
                <w:szCs w:val="13"/>
                <w:color w:val="auto"/>
              </w:rPr>
            </w:pPr>
          </w:p>
        </w:tc>
        <w:tc>
          <w:tcPr>
            <w:tcW w:w="18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Capital expenditures for DXL stores</w:t>
            </w:r>
          </w:p>
        </w:tc>
        <w:tc>
          <w:tcPr>
            <w:tcW w:w="2920" w:type="dxa"/>
            <w:vAlign w:val="bottom"/>
            <w:gridSpan w:val="2"/>
          </w:tcPr>
          <w:p>
            <w:pPr>
              <w:jc w:val="right"/>
              <w:ind w:right="740"/>
              <w:spacing w:after="0"/>
              <w:rPr>
                <w:sz w:val="20"/>
                <w:szCs w:val="20"/>
                <w:color w:val="auto"/>
              </w:rPr>
            </w:pPr>
            <w:r>
              <w:rPr>
                <w:rFonts w:ascii="Arial" w:cs="Arial" w:eastAsia="Arial" w:hAnsi="Arial"/>
                <w:sz w:val="14"/>
                <w:szCs w:val="14"/>
                <w:color w:val="auto"/>
              </w:rPr>
              <w:t>(13.7)</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tcBorders>
              <w:top w:val="single" w:sz="8" w:color="CFF0FC"/>
              <w:bottom w:val="single" w:sz="8" w:color="CFF0FC"/>
            </w:tcBorders>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Free Cash Flow (non-GAAP basis)</w:t>
            </w:r>
          </w:p>
        </w:tc>
        <w:tc>
          <w:tcPr>
            <w:tcW w:w="2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$13.0-$18.0</w:t>
            </w:r>
          </w:p>
        </w:tc>
        <w:tc>
          <w:tcPr>
            <w:tcW w:w="780" w:type="dxa"/>
            <w:vAlign w:val="bottom"/>
            <w:tcBorders>
              <w:top w:val="single" w:sz="8" w:color="CFF0FC"/>
              <w:bottom w:val="single" w:sz="8" w:color="CFF0FC"/>
            </w:tcBorders>
            <w:shd w:val="clear" w:color="auto" w:fill="CFF0FC"/>
          </w:tcPr>
          <w:p>
            <w:pPr>
              <w:spacing w:after="0"/>
              <w:rPr>
                <w:sz w:val="13"/>
                <w:szCs w:val="13"/>
                <w:color w:val="auto"/>
              </w:rPr>
            </w:pPr>
          </w:p>
        </w:tc>
        <w:tc>
          <w:tcPr>
            <w:tcW w:w="184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2019, bear interest at variable rates based on Bank of America’s prime rate or LIBOR. At July 29, 2017, the interest rate on our prime based borrowings was 4.75%. At July 29, 2017, approximately $47.0 million of our outstanding borrowings were in LIBOR contracts with an interest rate of 2.69%. At July 29, 2017, we also had $12.3 million outstanding under a term loan, which bears interest at a variable rate based on one-month LIBOR rates plus 6.5%.</w:t>
      </w:r>
    </w:p>
    <w:p>
      <w:pPr>
        <w:spacing w:after="0" w:line="8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Based upon a sensitivity analysis as of July 29, 2017, assuming average outstanding borrowing during the first six months of fiscal 2017 of $58.6 million under our Credit Facility and $12.3 million outstanding under our term loan, a 50 basis point increase in interest rates would have resulted in a potential increase in interest expense of approximately $354,500 on an annualized basis.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Foreign Currency</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Rochester Clothing store located in London, England conducts business in British pounds and our two DXL stores located in Ontario, Canada conduct business in Canadian dollars. As of July 29, 2017, sales from these stores were immaterial to consolidated sales. As such, we believe that movement in foreign currency exchange rates will not have a material adverse effect on our financial position or results of operations.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July 29, 2017.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July 29, 2017, our disclosure controls and procedures were effective.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quarter ended July 29, 2017 that has materially affected, or is reasonably likely to materially affect, our internal control over financial reporting.</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have been no material changes to the risk factors as previously disclosed in Part I, Item 1A of our Fiscal 2016 Annual Report.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 activity during the three months ended July 29, 2017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446"/>
        </w:trPr>
        <w:tc>
          <w:tcPr>
            <w:tcW w:w="20" w:type="dxa"/>
            <w:vAlign w:val="bottom"/>
          </w:tcPr>
          <w:p>
            <w:pPr>
              <w:spacing w:after="0"/>
              <w:rPr>
                <w:sz w:val="24"/>
                <w:szCs w:val="24"/>
                <w:color w:val="auto"/>
              </w:rPr>
            </w:pPr>
          </w:p>
        </w:tc>
        <w:tc>
          <w:tcPr>
            <w:tcW w:w="39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5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9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89"/>
              </w:rPr>
              <w:t>Total number of shares</w:t>
            </w:r>
          </w:p>
        </w:tc>
        <w:tc>
          <w:tcPr>
            <w:tcW w:w="20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w w:val="99"/>
              </w:rPr>
              <w:t>Approximate 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87"/>
              </w:rPr>
              <w:t>purchased as part of</w:t>
            </w:r>
          </w:p>
        </w:tc>
        <w:tc>
          <w:tcPr>
            <w:tcW w:w="2020" w:type="dxa"/>
            <w:vAlign w:val="bottom"/>
            <w:gridSpan w:val="3"/>
            <w:shd w:val="clear" w:color="auto" w:fill="CFF0FC"/>
          </w:tcPr>
          <w:p>
            <w:pPr>
              <w:jc w:val="center"/>
              <w:ind w:right="140"/>
              <w:spacing w:after="0"/>
              <w:rPr>
                <w:sz w:val="20"/>
                <w:szCs w:val="20"/>
                <w:color w:val="auto"/>
              </w:rPr>
            </w:pPr>
            <w:r>
              <w:rPr>
                <w:rFonts w:ascii="Arial" w:cs="Arial" w:eastAsia="Arial" w:hAnsi="Arial"/>
                <w:sz w:val="18"/>
                <w:szCs w:val="18"/>
                <w:color w:val="auto"/>
                <w:w w:val="89"/>
              </w:rPr>
              <w:t>of shares that 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1"/>
              </w:rPr>
              <w:t>Total number of</w:t>
            </w:r>
          </w:p>
        </w:tc>
        <w:tc>
          <w:tcPr>
            <w:tcW w:w="1760" w:type="dxa"/>
            <w:vAlign w:val="bottom"/>
            <w:gridSpan w:val="3"/>
            <w:shd w:val="clear" w:color="auto" w:fill="CFF0FC"/>
          </w:tcPr>
          <w:p>
            <w:pPr>
              <w:jc w:val="center"/>
              <w:ind w:right="240"/>
              <w:spacing w:after="0"/>
              <w:rPr>
                <w:sz w:val="20"/>
                <w:szCs w:val="20"/>
                <w:color w:val="auto"/>
              </w:rPr>
            </w:pPr>
            <w:r>
              <w:rPr>
                <w:rFonts w:ascii="Arial" w:cs="Arial" w:eastAsia="Arial" w:hAnsi="Arial"/>
                <w:sz w:val="18"/>
                <w:szCs w:val="18"/>
                <w:color w:val="auto"/>
                <w:w w:val="90"/>
              </w:rPr>
              <w:t>Average price paid</w:t>
            </w:r>
          </w:p>
        </w:tc>
        <w:tc>
          <w:tcPr>
            <w:tcW w:w="19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2"/>
              </w:rPr>
              <w:t>publicly announced</w:t>
            </w:r>
          </w:p>
        </w:tc>
        <w:tc>
          <w:tcPr>
            <w:tcW w:w="2020" w:type="dxa"/>
            <w:vAlign w:val="bottom"/>
            <w:gridSpan w:val="3"/>
            <w:shd w:val="clear" w:color="auto" w:fill="CFF0FC"/>
          </w:tcPr>
          <w:p>
            <w:pPr>
              <w:jc w:val="center"/>
              <w:ind w:right="140"/>
              <w:spacing w:after="0"/>
              <w:rPr>
                <w:sz w:val="20"/>
                <w:szCs w:val="20"/>
                <w:color w:val="auto"/>
              </w:rPr>
            </w:pPr>
            <w:r>
              <w:rPr>
                <w:rFonts w:ascii="Arial" w:cs="Arial" w:eastAsia="Arial" w:hAnsi="Arial"/>
                <w:sz w:val="18"/>
                <w:szCs w:val="18"/>
                <w:color w:val="auto"/>
                <w:w w:val="88"/>
              </w:rPr>
              <w:t>purchased under the 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FF0FC"/>
          </w:tcPr>
          <w:p>
            <w:pPr>
              <w:ind w:left="1720"/>
              <w:spacing w:after="0"/>
              <w:rPr>
                <w:sz w:val="20"/>
                <w:szCs w:val="20"/>
                <w:color w:val="auto"/>
              </w:rPr>
            </w:pPr>
            <w:r>
              <w:rPr>
                <w:rFonts w:ascii="Arial" w:cs="Arial" w:eastAsia="Arial" w:hAnsi="Arial"/>
                <w:sz w:val="18"/>
                <w:szCs w:val="18"/>
                <w:color w:val="auto"/>
              </w:rPr>
              <w:t>Period</w:t>
            </w:r>
          </w:p>
        </w:tc>
        <w:tc>
          <w:tcPr>
            <w:tcW w:w="16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5"/>
              </w:rPr>
              <w:t>shares purchased</w:t>
            </w: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center"/>
              <w:ind w:right="520"/>
              <w:spacing w:after="0"/>
              <w:rPr>
                <w:sz w:val="20"/>
                <w:szCs w:val="20"/>
                <w:color w:val="auto"/>
              </w:rPr>
            </w:pPr>
            <w:r>
              <w:rPr>
                <w:rFonts w:ascii="Arial" w:cs="Arial" w:eastAsia="Arial" w:hAnsi="Arial"/>
                <w:sz w:val="18"/>
                <w:szCs w:val="18"/>
                <w:color w:val="auto"/>
                <w:w w:val="86"/>
              </w:rPr>
              <w:t>per share</w:t>
            </w:r>
          </w:p>
        </w:tc>
        <w:tc>
          <w:tcPr>
            <w:tcW w:w="19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88"/>
              </w:rPr>
              <w:t>plan</w:t>
            </w:r>
          </w:p>
        </w:tc>
        <w:tc>
          <w:tcPr>
            <w:tcW w:w="460" w:type="dxa"/>
            <w:vAlign w:val="bottom"/>
            <w:shd w:val="clear" w:color="auto" w:fill="CFF0FC"/>
          </w:tcPr>
          <w:p>
            <w:pPr>
              <w:spacing w:after="0"/>
              <w:rPr>
                <w:sz w:val="18"/>
                <w:szCs w:val="18"/>
                <w:color w:val="auto"/>
              </w:rPr>
            </w:pPr>
          </w:p>
        </w:tc>
        <w:tc>
          <w:tcPr>
            <w:tcW w:w="1440" w:type="dxa"/>
            <w:vAlign w:val="bottom"/>
            <w:shd w:val="clear" w:color="auto" w:fill="CFF0FC"/>
          </w:tcPr>
          <w:p>
            <w:pPr>
              <w:jc w:val="center"/>
              <w:ind w:right="393"/>
              <w:spacing w:after="0"/>
              <w:rPr>
                <w:sz w:val="20"/>
                <w:szCs w:val="20"/>
                <w:color w:val="auto"/>
              </w:rPr>
            </w:pPr>
            <w:r>
              <w:rPr>
                <w:rFonts w:ascii="Arial" w:cs="Arial" w:eastAsia="Arial" w:hAnsi="Arial"/>
                <w:sz w:val="15"/>
                <w:szCs w:val="15"/>
                <w:color w:val="auto"/>
                <w:w w:val="87"/>
              </w:rPr>
              <w:t>(1)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30, 2017 to May 27, 2017</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492,157</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492,157</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9,039,264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May 28, 2017 to July 1, 2017</w:t>
            </w:r>
          </w:p>
        </w:tc>
        <w:tc>
          <w:tcPr>
            <w:tcW w:w="1500" w:type="dxa"/>
            <w:vAlign w:val="bottom"/>
          </w:tcPr>
          <w:p>
            <w:pPr>
              <w:jc w:val="right"/>
              <w:spacing w:after="0"/>
              <w:rPr>
                <w:sz w:val="20"/>
                <w:szCs w:val="20"/>
                <w:color w:val="auto"/>
              </w:rPr>
            </w:pPr>
            <w:r>
              <w:rPr>
                <w:rFonts w:ascii="Arial" w:cs="Arial" w:eastAsia="Arial" w:hAnsi="Arial"/>
                <w:sz w:val="18"/>
                <w:szCs w:val="18"/>
                <w:color w:val="auto"/>
              </w:rPr>
              <w:t>637,850</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637,850</w:t>
            </w:r>
          </w:p>
        </w:tc>
        <w:tc>
          <w:tcPr>
            <w:tcW w:w="20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7,503,644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July 2, 2017 to July 29, 2017</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79,080</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79,080</w:t>
            </w:r>
          </w:p>
        </w:tc>
        <w:tc>
          <w:tcPr>
            <w:tcW w:w="2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7,319,343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gridSpan w:val="3"/>
          </w:tcPr>
          <w:p>
            <w:pPr>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1,209,087</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1,209,087</w:t>
            </w: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7,319,343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60" w:right="180" w:hanging="374"/>
        <w:spacing w:after="0" w:line="257"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8"/>
          <w:szCs w:val="18"/>
          <w:color w:val="auto"/>
        </w:rPr>
        <w:t>On March 17, 2017, our Board of Directors approved a stock repurchase plan, which we announced on March 20, 2017. Under the stock repurchase plan, we may purchase up to $12.0 million of our common stock through open market and privately negotiated transactions during fiscal 2017. The timing and the amount of any repurchases of common stock will be determined based on the Company’s evaluation of market conditions and other factors. The stock repurchase will expire on February 3, 2018, but may be suspended, terminated or modified at any time for any reason. All repurchased common stock will be held as treasury stock.</w:t>
      </w:r>
    </w:p>
    <w:p>
      <w:pPr>
        <w:spacing w:after="0" w:line="174"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All shares purchased during the second quarter of fiscal 2017 were open market transactions.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131" w:lineRule="exact"/>
        <w:rPr>
          <w:sz w:val="20"/>
          <w:szCs w:val="20"/>
          <w:color w:val="auto"/>
        </w:rPr>
      </w:pPr>
    </w:p>
    <w:p>
      <w:pPr>
        <w:ind w:left="540" w:hanging="532"/>
        <w:spacing w:after="0" w:line="25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quarter ended July 29, 2017, formatted in XBRL (eXtensible Business Reporting Language): (i) Consolidated Balance Sheets, (ii) Consolidated Statements of Operations, (iii) Consolidated Statements of Comprehensive Income, (iv) Consolidated Statements of Changes in Stockholders’ Equity, (v) Consolidated Statements of Cash Flows,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7360" w:type="dxa"/>
            <w:vAlign w:val="bottom"/>
            <w:gridSpan w:val="2"/>
          </w:tcPr>
          <w:p>
            <w:pPr>
              <w:ind w:left="2420"/>
              <w:spacing w:after="0"/>
              <w:rPr>
                <w:sz w:val="20"/>
                <w:szCs w:val="20"/>
                <w:color w:val="auto"/>
              </w:rPr>
            </w:pPr>
            <w:r>
              <w:rPr>
                <w:rFonts w:ascii="Arial" w:cs="Arial" w:eastAsia="Arial" w:hAnsi="Arial"/>
                <w:sz w:val="18"/>
                <w:szCs w:val="18"/>
                <w:color w:val="auto"/>
              </w:rPr>
              <w:t>DESTINATION XL GROUP, INC.</w:t>
            </w:r>
          </w:p>
        </w:tc>
      </w:tr>
      <w:tr>
        <w:trPr>
          <w:trHeight w:val="459"/>
        </w:trPr>
        <w:tc>
          <w:tcPr>
            <w:tcW w:w="4060" w:type="dxa"/>
            <w:vAlign w:val="bottom"/>
          </w:tcPr>
          <w:p>
            <w:pPr>
              <w:spacing w:after="0"/>
              <w:rPr>
                <w:sz w:val="20"/>
                <w:szCs w:val="20"/>
                <w:color w:val="auto"/>
              </w:rPr>
            </w:pPr>
            <w:r>
              <w:rPr>
                <w:rFonts w:ascii="Arial" w:cs="Arial" w:eastAsia="Arial" w:hAnsi="Arial"/>
                <w:sz w:val="18"/>
                <w:szCs w:val="18"/>
                <w:color w:val="auto"/>
              </w:rPr>
              <w:t>Date: August 24, 2017</w:t>
            </w:r>
          </w:p>
        </w:tc>
        <w:tc>
          <w:tcPr>
            <w:tcW w:w="7360" w:type="dxa"/>
            <w:vAlign w:val="bottom"/>
            <w:gridSpan w:val="2"/>
          </w:tcPr>
          <w:p>
            <w:pPr>
              <w:ind w:left="2420"/>
              <w:spacing w:after="0"/>
              <w:rPr>
                <w:sz w:val="20"/>
                <w:szCs w:val="20"/>
                <w:color w:val="auto"/>
              </w:rPr>
            </w:pPr>
            <w:r>
              <w:rPr>
                <w:rFonts w:ascii="Arial" w:cs="Arial" w:eastAsia="Arial" w:hAnsi="Arial"/>
                <w:sz w:val="18"/>
                <w:szCs w:val="18"/>
                <w:color w:val="auto"/>
              </w:rPr>
              <w:t>By:  /S/ John F. Cooney</w:t>
            </w:r>
          </w:p>
        </w:tc>
      </w:tr>
      <w:tr>
        <w:trPr>
          <w:trHeight w:val="195"/>
        </w:trPr>
        <w:tc>
          <w:tcPr>
            <w:tcW w:w="40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F. Cooney</w:t>
            </w:r>
          </w:p>
        </w:tc>
      </w:tr>
      <w:tr>
        <w:trPr>
          <w:trHeight w:val="216"/>
        </w:trPr>
        <w:tc>
          <w:tcPr>
            <w:tcW w:w="40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 Chief Accounting Officer and Corporate</w:t>
            </w:r>
          </w:p>
        </w:tc>
      </w:tr>
      <w:tr>
        <w:trPr>
          <w:trHeight w:val="216"/>
        </w:trPr>
        <w:tc>
          <w:tcPr>
            <w:tcW w:w="40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Controller (Duly Authorized Officer and Chief Accounting</w:t>
            </w:r>
          </w:p>
        </w:tc>
      </w:tr>
      <w:tr>
        <w:trPr>
          <w:trHeight w:val="230"/>
        </w:trPr>
        <w:tc>
          <w:tcPr>
            <w:tcW w:w="40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117"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Date:August 24,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 Levin</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H. Stratton, Jr., certify that:</w:t>
      </w:r>
    </w:p>
    <w:p>
      <w:pPr>
        <w:spacing w:after="0" w:line="117"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20" w:val="left"/>
          <w:tab w:leader="none" w:pos="8400" w:val="left"/>
        </w:tabs>
        <w:rPr>
          <w:sz w:val="20"/>
          <w:szCs w:val="20"/>
          <w:color w:val="auto"/>
        </w:rPr>
      </w:pPr>
      <w:r>
        <w:rPr>
          <w:rFonts w:ascii="Arial" w:cs="Arial" w:eastAsia="Arial" w:hAnsi="Arial"/>
          <w:sz w:val="18"/>
          <w:szCs w:val="18"/>
          <w:color w:val="auto"/>
        </w:rPr>
        <w:t>Date:August 24,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July 29, 2017, as filed with the Securities and Exchange Commission on the date hereof (the “Report”), I, David A. Levin, Chief Executive Officer of the Company, certify pursuant to 18 U.S.C. § 1350, as adopted pursuant to § 906 of the Sarbanes-Oxley Act of 2002, that:</w:t>
      </w:r>
    </w:p>
    <w:p>
      <w:pPr>
        <w:spacing w:after="0" w:line="73" w:lineRule="exact"/>
        <w:rPr>
          <w:sz w:val="20"/>
          <w:szCs w:val="20"/>
          <w:color w:val="auto"/>
        </w:rPr>
      </w:pPr>
    </w:p>
    <w:p>
      <w:pPr>
        <w:ind w:left="1420" w:right="620" w:hanging="330"/>
        <w:spacing w:after="0" w:line="277" w:lineRule="auto"/>
        <w:tabs>
          <w:tab w:leader="none" w:pos="13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420" w:right="400" w:hanging="330"/>
        <w:spacing w:after="0" w:line="277" w:lineRule="auto"/>
        <w:tabs>
          <w:tab w:leader="none" w:pos="13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5"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Date:August 24,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 Levin</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Executive Officer</w:t>
      </w:r>
    </w:p>
    <w:p>
      <w:pPr>
        <w:spacing w:after="0" w:line="196"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July 29, 2017,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73" w:lineRule="exact"/>
        <w:rPr>
          <w:sz w:val="20"/>
          <w:szCs w:val="20"/>
          <w:color w:val="auto"/>
        </w:rPr>
      </w:pPr>
    </w:p>
    <w:p>
      <w:pPr>
        <w:ind w:left="1420" w:right="620" w:hanging="330"/>
        <w:spacing w:after="0" w:line="277" w:lineRule="auto"/>
        <w:tabs>
          <w:tab w:leader="none" w:pos="134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420" w:right="400" w:hanging="330"/>
        <w:spacing w:after="0" w:line="277" w:lineRule="auto"/>
        <w:tabs>
          <w:tab w:leader="none" w:pos="134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5" w:lineRule="exact"/>
        <w:rPr>
          <w:sz w:val="20"/>
          <w:szCs w:val="20"/>
          <w:color w:val="auto"/>
        </w:rPr>
      </w:pPr>
    </w:p>
    <w:p>
      <w:pPr>
        <w:spacing w:after="0"/>
        <w:tabs>
          <w:tab w:leader="none" w:pos="6820" w:val="left"/>
          <w:tab w:leader="none" w:pos="8400" w:val="left"/>
        </w:tabs>
        <w:rPr>
          <w:sz w:val="20"/>
          <w:szCs w:val="20"/>
          <w:color w:val="auto"/>
        </w:rPr>
      </w:pPr>
      <w:r>
        <w:rPr>
          <w:rFonts w:ascii="Arial" w:cs="Arial" w:eastAsia="Arial" w:hAnsi="Arial"/>
          <w:sz w:val="18"/>
          <w:szCs w:val="18"/>
          <w:color w:val="auto"/>
        </w:rPr>
        <w:t>Date:August 24,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Financial Officer</w:t>
      </w:r>
    </w:p>
    <w:p>
      <w:pPr>
        <w:spacing w:after="0" w:line="196"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0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2019-12-05T15:02:21Z</dcterms:created>
  <dcterms:modified xsi:type="dcterms:W3CDTF">2019-12-05T15:02:21Z</dcterms:modified>
</cp:coreProperties>
</file>