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November 19,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622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22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2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22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0"/>
              </w:rPr>
              <w:t>555 Turnpike Street, Canton, MA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622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29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6"/>
        </w:trPr>
        <w:tc>
          <w:tcPr>
            <w:tcW w:w="6220" w:type="dxa"/>
            <w:vAlign w:val="bottom"/>
            <w:gridSpan w:val="3"/>
          </w:tcPr>
          <w:p>
            <w:pPr>
              <w:jc w:val="center"/>
              <w:ind w:left="1942"/>
              <w:spacing w:after="0"/>
              <w:rPr>
                <w:sz w:val="20"/>
                <w:szCs w:val="20"/>
                <w:color w:val="auto"/>
              </w:rPr>
            </w:pPr>
            <w:r>
              <w:rPr>
                <w:rFonts w:ascii="Arial" w:cs="Arial" w:eastAsia="Arial" w:hAnsi="Arial"/>
                <w:sz w:val="18"/>
                <w:szCs w:val="18"/>
                <w:b w:val="1"/>
                <w:bCs w:val="1"/>
                <w:color w:val="auto"/>
                <w:w w:val="98"/>
              </w:rPr>
              <w:t>CASUAL MALE RETAIL GROUP, INC.</w:t>
            </w:r>
          </w:p>
        </w:tc>
        <w:tc>
          <w:tcPr>
            <w:tcW w:w="1400" w:type="dxa"/>
            <w:vAlign w:val="bottom"/>
          </w:tcPr>
          <w:p>
            <w:pPr>
              <w:spacing w:after="0"/>
              <w:rPr>
                <w:sz w:val="24"/>
                <w:szCs w:val="24"/>
                <w:color w:val="auto"/>
              </w:rPr>
            </w:pPr>
          </w:p>
        </w:tc>
      </w:tr>
      <w:tr>
        <w:trPr>
          <w:trHeight w:val="218"/>
        </w:trPr>
        <w:tc>
          <w:tcPr>
            <w:tcW w:w="6220" w:type="dxa"/>
            <w:vAlign w:val="bottom"/>
            <w:gridSpan w:val="3"/>
          </w:tcPr>
          <w:p>
            <w:pPr>
              <w:jc w:val="center"/>
              <w:ind w:left="1942"/>
              <w:spacing w:after="0"/>
              <w:rPr>
                <w:sz w:val="20"/>
                <w:szCs w:val="20"/>
                <w:color w:val="auto"/>
              </w:rPr>
            </w:pPr>
            <w:r>
              <w:rPr>
                <w:rFonts w:ascii="Arial" w:cs="Arial" w:eastAsia="Arial" w:hAnsi="Arial"/>
                <w:sz w:val="18"/>
                <w:szCs w:val="18"/>
                <w:b w:val="1"/>
                <w:bCs w:val="1"/>
                <w:color w:val="auto"/>
                <w:w w:val="97"/>
              </w:rPr>
              <w:t>2006 INCENTIVE COMPENSATION PLAN</w:t>
            </w:r>
          </w:p>
        </w:tc>
        <w:tc>
          <w:tcPr>
            <w:tcW w:w="140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(Full title of the plan)</w:t>
            </w:r>
          </w:p>
        </w:tc>
        <w:tc>
          <w:tcPr>
            <w:tcW w:w="1400" w:type="dxa"/>
            <w:vAlign w:val="bottom"/>
          </w:tcPr>
          <w:p>
            <w:pPr>
              <w:spacing w:after="0"/>
              <w:rPr>
                <w:sz w:val="15"/>
                <w:szCs w:val="15"/>
                <w:color w:val="auto"/>
              </w:rPr>
            </w:pPr>
          </w:p>
        </w:tc>
      </w:tr>
      <w:tr>
        <w:trPr>
          <w:trHeight w:val="351"/>
        </w:trPr>
        <w:tc>
          <w:tcPr>
            <w:tcW w:w="2920" w:type="dxa"/>
            <w:vAlign w:val="bottom"/>
          </w:tcPr>
          <w:p>
            <w:pPr>
              <w:spacing w:after="0"/>
              <w:rPr>
                <w:sz w:val="24"/>
                <w:szCs w:val="24"/>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Dennis R. Hernreich</w:t>
            </w:r>
          </w:p>
        </w:tc>
        <w:tc>
          <w:tcPr>
            <w:tcW w:w="140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Chief Financial Officer</w:t>
            </w:r>
          </w:p>
        </w:tc>
        <w:tc>
          <w:tcPr>
            <w:tcW w:w="14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Casual Male Retail Group, Inc.</w:t>
            </w:r>
          </w:p>
        </w:tc>
        <w:tc>
          <w:tcPr>
            <w:tcW w:w="14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555 Turnpike Street</w:t>
            </w:r>
          </w:p>
        </w:tc>
        <w:tc>
          <w:tcPr>
            <w:tcW w:w="1400" w:type="dxa"/>
            <w:vAlign w:val="bottom"/>
          </w:tcPr>
          <w:p>
            <w:pPr>
              <w:spacing w:after="0"/>
              <w:rPr>
                <w:sz w:val="18"/>
                <w:szCs w:val="18"/>
                <w:color w:val="auto"/>
              </w:rPr>
            </w:pPr>
          </w:p>
        </w:tc>
      </w:tr>
      <w:tr>
        <w:trPr>
          <w:trHeight w:val="218"/>
        </w:trPr>
        <w:tc>
          <w:tcPr>
            <w:tcW w:w="2920" w:type="dxa"/>
            <w:vAlign w:val="bottom"/>
          </w:tcPr>
          <w:p>
            <w:pPr>
              <w:spacing w:after="0"/>
              <w:rPr>
                <w:sz w:val="18"/>
                <w:szCs w:val="18"/>
                <w:color w:val="auto"/>
              </w:rPr>
            </w:pPr>
          </w:p>
        </w:tc>
        <w:tc>
          <w:tcPr>
            <w:tcW w:w="33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6"/>
              </w:rPr>
              <w:t>Canton, Massachusetts 02021</w:t>
            </w:r>
          </w:p>
        </w:tc>
        <w:tc>
          <w:tcPr>
            <w:tcW w:w="140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33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400" w:type="dxa"/>
            <w:vAlign w:val="bottom"/>
          </w:tcPr>
          <w:p>
            <w:pPr>
              <w:spacing w:after="0"/>
              <w:rPr>
                <w:sz w:val="15"/>
                <w:szCs w:val="15"/>
                <w:color w:val="auto"/>
              </w:rPr>
            </w:pPr>
          </w:p>
        </w:tc>
      </w:tr>
      <w:tr>
        <w:trPr>
          <w:trHeight w:val="352"/>
        </w:trPr>
        <w:tc>
          <w:tcPr>
            <w:tcW w:w="2920" w:type="dxa"/>
            <w:vAlign w:val="bottom"/>
          </w:tcPr>
          <w:p>
            <w:pPr>
              <w:spacing w:after="0"/>
              <w:rPr>
                <w:sz w:val="24"/>
                <w:szCs w:val="24"/>
                <w:color w:val="auto"/>
              </w:rPr>
            </w:pPr>
          </w:p>
        </w:tc>
        <w:tc>
          <w:tcPr>
            <w:tcW w:w="33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(781) 828–9300</w:t>
            </w:r>
          </w:p>
        </w:tc>
        <w:tc>
          <w:tcPr>
            <w:tcW w:w="1400" w:type="dxa"/>
            <w:vAlign w:val="bottom"/>
          </w:tcPr>
          <w:p>
            <w:pPr>
              <w:spacing w:after="0"/>
              <w:rPr>
                <w:sz w:val="24"/>
                <w:szCs w:val="24"/>
                <w:color w:val="auto"/>
              </w:rPr>
            </w:pPr>
          </w:p>
        </w:tc>
      </w:tr>
      <w:tr>
        <w:trPr>
          <w:trHeight w:val="174"/>
        </w:trPr>
        <w:tc>
          <w:tcPr>
            <w:tcW w:w="6220" w:type="dxa"/>
            <w:vAlign w:val="bottom"/>
            <w:gridSpan w:val="3"/>
          </w:tcPr>
          <w:p>
            <w:pPr>
              <w:jc w:val="center"/>
              <w:ind w:left="192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00" w:space="420"/>
            <w:col w:w="160" w:space="100"/>
            <w:col w:w="5960" w:space="720"/>
            <w:col w:w="1920" w:space="480"/>
            <w:col w:w="16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right"/>
              <w:ind w:right="1966"/>
              <w:spacing w:after="0" w:line="149" w:lineRule="exact"/>
              <w:rPr>
                <w:sz w:val="20"/>
                <w:szCs w:val="20"/>
                <w:color w:val="auto"/>
              </w:rPr>
            </w:pPr>
            <w:r>
              <w:rPr>
                <w:rFonts w:ascii="Arial" w:cs="Arial" w:eastAsia="Arial" w:hAnsi="Arial"/>
                <w:sz w:val="14"/>
                <w:szCs w:val="14"/>
                <w:b w:val="1"/>
                <w:bCs w:val="1"/>
                <w:color w:val="auto"/>
              </w:rPr>
              <w:t>Title of securities</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offering</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4"/>
                <w:szCs w:val="14"/>
                <w:b w:val="1"/>
                <w:bCs w:val="1"/>
                <w:color w:val="auto"/>
              </w:rPr>
              <w:t>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7"/>
              </w:rPr>
              <w:t>price per share (2)</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price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8"/>
                <w:szCs w:val="18"/>
                <w:color w:val="auto"/>
                <w:w w:val="86"/>
              </w:rPr>
              <w:t>Common Stock, $0.01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2,500,000 shares</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$ 4.76</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$ 11,900,000</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88"/>
              </w:rPr>
              <w:t>$ 848.47</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20" w:hanging="452"/>
        <w:spacing w:after="0" w:line="28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(this “Registration Statement”) covers 2,500,000 shares of the Registrant’s common stock which may be offered or sold from time to time pursuant to the Registrant’s 2006 Incentive Compensation Plan, as amended (“2006 Plan”). The maximum number of shares of common stock reserved and available for issuance under the 2006 Plan is 5,750,000, of which 2,500,000 shares were previously registered by the Registrant pursuant to a Registration Statement on Form S-8, filed with the Securities and Exchange Commission (“SEC”) on August 25, 2006, and 750,000 shares were previously registered by the Registrant pursuant to a Registration Statement on Form S-8, filed with the SEC on November 20, 2009.</w:t>
      </w:r>
    </w:p>
    <w:p>
      <w:pPr>
        <w:spacing w:after="0" w:line="2" w:lineRule="exact"/>
        <w:rPr>
          <w:rFonts w:ascii="Arial" w:cs="Arial" w:eastAsia="Arial" w:hAnsi="Arial"/>
          <w:sz w:val="16"/>
          <w:szCs w:val="16"/>
          <w:color w:val="auto"/>
        </w:rPr>
      </w:pPr>
    </w:p>
    <w:p>
      <w:pPr>
        <w:ind w:left="460" w:right="10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and 457(h) of the Securities Act of 1933, as amended. The price per share and aggregate offering price are calculated on the basis of the average of the high and low prices of the Registrant’s Common Stock on the Nasdaq Global Select Market on November 15, 2010, in accordance with Rule 457(c)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as amended, for the fiscal year ended January 30,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83"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 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ectPr>
          <w:pgSz w:w="11900" w:h="16838" w:orient="portrait"/>
          <w:cols w:equalWidth="0" w:num="1">
            <w:col w:w="11420"/>
          </w:cols>
          <w:pgMar w:left="240" w:top="274" w:right="23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Delaware General Corporation Law, as amended,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Item 512(a) of Regulation S–K</w:t>
      </w:r>
      <w:r>
        <w:rPr>
          <w:rFonts w:ascii="Arial" w:cs="Arial" w:eastAsia="Arial" w:hAnsi="Arial"/>
          <w:sz w:val="18"/>
          <w:szCs w:val="18"/>
          <w:color w:val="auto"/>
        </w:rPr>
        <w:t>. The undersigned Registrant hereby undertakes:</w:t>
      </w:r>
    </w:p>
    <w:p>
      <w:pPr>
        <w:spacing w:after="0" w:line="17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60" w:firstLine="4"/>
        <w:spacing w:after="0" w:line="357" w:lineRule="auto"/>
        <w:tabs>
          <w:tab w:leader="none" w:pos="719" w:val="left"/>
        </w:tabs>
        <w:numPr>
          <w:ilvl w:val="1"/>
          <w:numId w:val="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ind w:left="460" w:right="420" w:firstLine="4"/>
        <w:spacing w:after="0" w:line="268" w:lineRule="auto"/>
        <w:tabs>
          <w:tab w:leader="none" w:pos="7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and (ii)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periodic reports filed with or furnished to the Commission by the Registrant pursuant to Section 13 or Section 15(d) of the Exchange Act that are incorporated by reference in the Registration Statement.</w:t>
      </w:r>
    </w:p>
    <w:p>
      <w:pPr>
        <w:spacing w:after="0" w:line="140" w:lineRule="exact"/>
        <w:rPr>
          <w:sz w:val="20"/>
          <w:szCs w:val="20"/>
          <w:color w:val="auto"/>
        </w:rPr>
      </w:pPr>
    </w:p>
    <w:p>
      <w:pPr>
        <w:jc w:val="both"/>
        <w:ind w:right="420" w:firstLine="8"/>
        <w:spacing w:after="0" w:line="370" w:lineRule="auto"/>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right="36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320" w:firstLine="8"/>
        <w:spacing w:after="0" w:line="256"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ectPr>
          <w:pgSz w:w="11900" w:h="16838" w:orient="portrait"/>
          <w:cols w:equalWidth="0" w:num="1">
            <w:col w:w="11400"/>
          </w:cols>
          <w:pgMar w:left="240" w:top="280" w:right="259" w:bottom="1440" w:gutter="0" w:footer="0" w:header="0"/>
        </w:sectPr>
      </w:pPr>
    </w:p>
    <w:bookmarkStart w:id="4" w:name="page5"/>
    <w:bookmarkEnd w:id="4"/>
    <w:p>
      <w:pPr>
        <w:ind w:left="-8" w:firstLine="8"/>
        <w:spacing w:after="0" w:line="289" w:lineRule="auto"/>
        <w:tabs>
          <w:tab w:leader="none" w:pos="16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512(h) of Regulation S–K</w:t>
      </w:r>
      <w:r>
        <w:rPr>
          <w:rFonts w:ascii="Arial" w:cs="Arial" w:eastAsia="Arial" w:hAnsi="Arial"/>
          <w:sz w:val="16"/>
          <w:szCs w:val="16"/>
          <w:color w:val="auto"/>
        </w:rPr>
        <w:t>. Insofar as indemnification for liabilities arising under the Securities Act may be permitted to directors, officers and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312"/>
          </w:cols>
          <w:pgMar w:left="248" w:top="28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19 day of November,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Chief Operating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 Chief Financial Officer and Treasurer</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the date indicated.</w:t>
      </w:r>
    </w:p>
    <w:p>
      <w:pPr>
        <w:spacing w:after="0" w:line="170" w:lineRule="exact"/>
        <w:rPr>
          <w:sz w:val="20"/>
          <w:szCs w:val="20"/>
          <w:color w:val="auto"/>
        </w:rPr>
      </w:pPr>
    </w:p>
    <w:p>
      <w:pPr>
        <w:spacing w:after="0"/>
        <w:tabs>
          <w:tab w:leader="none" w:pos="4460" w:val="left"/>
          <w:tab w:leader="none" w:pos="8900" w:val="left"/>
        </w:tabs>
        <w:rPr>
          <w:sz w:val="20"/>
          <w:szCs w:val="20"/>
          <w:color w:val="auto"/>
        </w:rPr>
      </w:pPr>
      <w:r>
        <w:rPr>
          <w:rFonts w:ascii="Arial" w:cs="Arial" w:eastAsia="Arial" w:hAnsi="Arial"/>
          <w:sz w:val="14"/>
          <w:szCs w:val="14"/>
          <w:u w:val="single" w:color="auto"/>
          <w:color w:val="auto"/>
        </w:rPr>
        <w:t>Signatures</w:t>
      </w:r>
      <w:r>
        <w:rPr>
          <w:sz w:val="20"/>
          <w:szCs w:val="20"/>
          <w:color w:val="auto"/>
        </w:rPr>
        <w:tab/>
      </w:r>
      <w:r>
        <w:rPr>
          <w:rFonts w:ascii="Arial" w:cs="Arial" w:eastAsia="Arial" w:hAnsi="Arial"/>
          <w:sz w:val="14"/>
          <w:szCs w:val="14"/>
          <w:u w:val="single" w:color="auto"/>
          <w:color w:val="auto"/>
        </w:rPr>
        <w:t>Title</w:t>
      </w:r>
      <w:r>
        <w:rPr>
          <w:sz w:val="20"/>
          <w:szCs w:val="20"/>
          <w:color w:val="auto"/>
        </w:rPr>
        <w:tab/>
      </w:r>
      <w:r>
        <w:rPr>
          <w:rFonts w:ascii="Arial" w:cs="Arial" w:eastAsia="Arial" w:hAnsi="Arial"/>
          <w:sz w:val="12"/>
          <w:szCs w:val="12"/>
          <w:u w:val="single" w:color="auto"/>
          <w:color w:val="auto"/>
        </w:rPr>
        <w:t>Date</w:t>
      </w:r>
    </w:p>
    <w:p>
      <w:pPr>
        <w:sectPr>
          <w:pgSz w:w="11900" w:h="16838" w:orient="portrait"/>
          <w:cols w:equalWidth="0" w:num="1">
            <w:col w:w="11400"/>
          </w:cols>
          <w:pgMar w:left="240" w:top="274" w:right="2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Seymour Holtzman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S. Bernikow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S. Bernikow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324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Jesse H. Choper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241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Ward K. Mooney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3241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George T. Porter, Jr.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Mitchell S. Presser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3241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Mitchell S. Presser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19"/>
                <w:szCs w:val="19"/>
                <w:color w:val="auto"/>
              </w:rPr>
            </w:pPr>
          </w:p>
        </w:tc>
      </w:tr>
      <w:tr>
        <w:trPr>
          <w:trHeight w:val="439"/>
        </w:trPr>
        <w:tc>
          <w:tcPr>
            <w:tcW w:w="4280" w:type="dxa"/>
            <w:vAlign w:val="bottom"/>
          </w:tcPr>
          <w:p>
            <w:pPr>
              <w:spacing w:after="0"/>
              <w:rPr>
                <w:sz w:val="20"/>
                <w:szCs w:val="20"/>
                <w:color w:val="auto"/>
              </w:rPr>
            </w:pPr>
            <w:r>
              <w:rPr>
                <w:rFonts w:ascii="Arial" w:cs="Arial" w:eastAsia="Arial" w:hAnsi="Arial"/>
                <w:sz w:val="18"/>
                <w:szCs w:val="18"/>
                <w:color w:val="auto"/>
                <w:w w:val="95"/>
              </w:rPr>
              <w:t>Executive Vice President, Chief Operating Officer, Chief</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Financial Officer and Treasurer (Principal Financial</w:t>
            </w:r>
          </w:p>
        </w:tc>
        <w:tc>
          <w:tcPr>
            <w:tcW w:w="15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Officer)</w:t>
            </w:r>
          </w:p>
        </w:tc>
        <w:tc>
          <w:tcPr>
            <w:tcW w:w="15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color w:val="auto"/>
                <w:w w:val="91"/>
              </w:rPr>
              <w:t>Senior Vice President of Finance and Corporate Controller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19"/>
                <w:szCs w:val="19"/>
                <w:color w:val="auto"/>
              </w:rPr>
            </w:pPr>
          </w:p>
        </w:tc>
      </w:tr>
      <w:tr>
        <w:trPr>
          <w:trHeight w:val="567"/>
        </w:trPr>
        <w:tc>
          <w:tcPr>
            <w:tcW w:w="42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560" w:type="dxa"/>
            <w:vAlign w:val="bottom"/>
          </w:tcPr>
          <w:p>
            <w:pPr>
              <w:spacing w:after="0"/>
              <w:rPr>
                <w:sz w:val="24"/>
                <w:szCs w:val="24"/>
                <w:color w:val="auto"/>
              </w:rPr>
            </w:pP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17, 2010</w:t>
            </w: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4"/>
                <w:szCs w:val="24"/>
                <w:color w:val="auto"/>
              </w:rPr>
            </w:pP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r>
        <w:trPr>
          <w:trHeight w:val="675"/>
        </w:trPr>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16, 2010</w:t>
            </w:r>
          </w:p>
        </w:tc>
      </w:tr>
    </w:tbl>
    <w:p>
      <w:pPr>
        <w:sectPr>
          <w:pgSz w:w="11900" w:h="16838" w:orient="portrait"/>
          <w:cols w:equalWidth="0" w:num="2">
            <w:col w:w="3760" w:space="720"/>
            <w:col w:w="6920"/>
          </w:cols>
          <w:pgMar w:left="240" w:top="274" w:right="259" w:bottom="1440" w:gutter="0" w:footer="0" w:header="0"/>
          <w:type w:val="continuous"/>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80"/>
        <w:spacing w:after="0"/>
        <w:tabs>
          <w:tab w:leader="none" w:pos="570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Casual Male Retail Group, Inc. 2006 Incentive Compensation Plan, as amended (included as Exhibit 10.1 to the Registrant’s Quarterly Report on Form</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10-Q filed on August 20, 2010 and incorporated herein by reference).</w:t>
      </w:r>
    </w:p>
    <w:p>
      <w:pPr>
        <w:spacing w:after="0" w:line="11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Greenberg Traurig LLP, counsel to the Registrant.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1320"/>
          </w:cols>
          <w:pgMar w:left="240" w:top="27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[Greenberg Traurig, LLP Letterhead]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9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Shares to be Issued Under the Casual Male Retail Group, Inc.</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2006 Incentive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2,500,000 shares (the “Shares”) of common stock, $0.01 par value per share (the “Common Stock”), of Casual Male Retail Group, Inc., a Delaware corporation (the “Company”), that may be issued under the Casual Male Retail Group, Inc. 2006 Incentive Compensation Plan, as amended (the “Plan”).</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77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3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320"/>
          </w:cols>
          <w:pgMar w:left="240" w:top="28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Casual Male Retail Group, Inc. 2006 Incentive Compensation Plan to register 2,500,000 shares of common stock, of our reports dated March 19, 2010, with respect to the consolidated financial statements of Casual Male Retail Group, Inc. and the effectiveness of internal control over financial reporting of Casual Male Retail Group, Inc. included in its Annual Report (Form 10-K) for the year ended January 30, 2010, filed with the Securities and Exchange Commission.</w:t>
      </w:r>
    </w:p>
    <w:p>
      <w:pPr>
        <w:spacing w:after="0" w:line="113"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2019-12-10T07:38:16Z</dcterms:created>
  <dcterms:modified xsi:type="dcterms:W3CDTF">2019-12-10T07:38:16Z</dcterms:modified>
</cp:coreProperties>
</file>