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186055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77"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3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CASUAL MALE RETAIL GROUP, INC. 401(K) HOURLY SAVINGS PLAN</w:t>
      </w:r>
    </w:p>
    <w:p>
      <w:pPr>
        <w:spacing w:after="0" w:line="3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80" w:type="dxa"/>
            <w:vAlign w:val="bottom"/>
            <w:gridSpan w:val="5"/>
          </w:tcPr>
          <w:p>
            <w:pPr>
              <w:jc w:val="center"/>
              <w:ind w:right="1272"/>
              <w:spacing w:after="0"/>
              <w:rPr>
                <w:sz w:val="20"/>
                <w:szCs w:val="20"/>
                <w:color w:val="auto"/>
              </w:rPr>
            </w:pPr>
            <w:r>
              <w:rPr>
                <w:rFonts w:ascii="Arial" w:cs="Arial" w:eastAsia="Arial" w:hAnsi="Arial"/>
                <w:sz w:val="18"/>
                <w:szCs w:val="18"/>
                <w:color w:val="auto"/>
                <w:w w:val="89"/>
              </w:rPr>
              <w:t>Casual Male Retail Group 401(k) Hourly Savings Plan</w:t>
            </w:r>
          </w:p>
        </w:tc>
        <w:tc>
          <w:tcPr>
            <w:tcW w:w="1980" w:type="dxa"/>
            <w:vAlign w:val="bottom"/>
          </w:tcPr>
          <w:p>
            <w:pPr>
              <w:spacing w:after="0"/>
              <w:rPr>
                <w:sz w:val="19"/>
                <w:szCs w:val="19"/>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gridSpan w:val="5"/>
          </w:tcPr>
          <w:p>
            <w:pPr>
              <w:jc w:val="center"/>
              <w:ind w:right="1292"/>
              <w:spacing w:after="0"/>
              <w:rPr>
                <w:sz w:val="20"/>
                <w:szCs w:val="20"/>
                <w:color w:val="auto"/>
              </w:rPr>
            </w:pPr>
            <w:r>
              <w:rPr>
                <w:rFonts w:ascii="Arial" w:cs="Arial" w:eastAsia="Arial" w:hAnsi="Arial"/>
                <w:sz w:val="18"/>
                <w:szCs w:val="18"/>
                <w:color w:val="auto"/>
                <w:w w:val="86"/>
              </w:rPr>
              <w:t>Financial Statements and Supplemental Schedule</w:t>
            </w:r>
          </w:p>
        </w:tc>
        <w:tc>
          <w:tcPr>
            <w:tcW w:w="1980" w:type="dxa"/>
            <w:vAlign w:val="bottom"/>
          </w:tcPr>
          <w:p>
            <w:pPr>
              <w:spacing w:after="0"/>
              <w:rPr>
                <w:sz w:val="24"/>
                <w:szCs w:val="24"/>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Pr>
          <w:p>
            <w:pPr>
              <w:jc w:val="center"/>
              <w:ind w:right="2412"/>
              <w:spacing w:after="0"/>
              <w:rPr>
                <w:sz w:val="20"/>
                <w:szCs w:val="20"/>
                <w:color w:val="auto"/>
              </w:rPr>
            </w:pPr>
            <w:r>
              <w:rPr>
                <w:rFonts w:ascii="Arial" w:cs="Arial" w:eastAsia="Arial" w:hAnsi="Arial"/>
                <w:sz w:val="18"/>
                <w:szCs w:val="18"/>
                <w:color w:val="auto"/>
                <w:w w:val="86"/>
              </w:rPr>
              <w:t>Year ended December 31, 2004</w:t>
            </w:r>
          </w:p>
        </w:tc>
        <w:tc>
          <w:tcPr>
            <w:tcW w:w="1980" w:type="dxa"/>
            <w:vAlign w:val="bottom"/>
          </w:tcPr>
          <w:p>
            <w:pPr>
              <w:spacing w:after="0"/>
              <w:rPr>
                <w:sz w:val="24"/>
                <w:szCs w:val="24"/>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Pr>
          <w:p>
            <w:pPr>
              <w:jc w:val="center"/>
              <w:ind w:right="2392"/>
              <w:spacing w:after="0"/>
              <w:rPr>
                <w:sz w:val="20"/>
                <w:szCs w:val="20"/>
                <w:color w:val="auto"/>
              </w:rPr>
            </w:pPr>
            <w:r>
              <w:rPr>
                <w:rFonts w:ascii="Arial" w:cs="Arial" w:eastAsia="Arial" w:hAnsi="Arial"/>
                <w:sz w:val="18"/>
                <w:szCs w:val="18"/>
                <w:b w:val="1"/>
                <w:bCs w:val="1"/>
                <w:color w:val="auto"/>
                <w:w w:val="86"/>
              </w:rPr>
              <w:t>Table of Contents</w:t>
            </w:r>
          </w:p>
        </w:tc>
        <w:tc>
          <w:tcPr>
            <w:tcW w:w="1980" w:type="dxa"/>
            <w:vAlign w:val="bottom"/>
          </w:tcPr>
          <w:p>
            <w:pPr>
              <w:spacing w:after="0"/>
              <w:rPr>
                <w:sz w:val="24"/>
                <w:szCs w:val="24"/>
                <w:color w:val="auto"/>
              </w:rPr>
            </w:pPr>
          </w:p>
        </w:tc>
      </w:tr>
      <w:tr>
        <w:trPr>
          <w:trHeight w:val="326"/>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Reports of Independent Registered Public Accounting Firm</w:t>
              </w:r>
            </w:hyperlink>
          </w:p>
        </w:tc>
        <w:tc>
          <w:tcPr>
            <w:tcW w:w="524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94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980" w:type="dxa"/>
            <w:vAlign w:val="bottom"/>
          </w:tcPr>
          <w:p>
            <w:pPr>
              <w:spacing w:after="0"/>
              <w:rPr>
                <w:sz w:val="24"/>
                <w:szCs w:val="24"/>
                <w:color w:val="auto"/>
              </w:rPr>
            </w:pPr>
          </w:p>
        </w:tc>
      </w:tr>
      <w:tr>
        <w:trPr>
          <w:trHeight w:val="286"/>
        </w:trPr>
        <w:tc>
          <w:tcPr>
            <w:tcW w:w="33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Net Assets Available for Benefits</w:t>
              </w:r>
            </w:hyperlink>
          </w:p>
        </w:tc>
        <w:tc>
          <w:tcPr>
            <w:tcW w:w="608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44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532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Supplemental Schedules</w:t>
              </w:r>
            </w:hyperlink>
          </w:p>
        </w:tc>
        <w:tc>
          <w:tcPr>
            <w:tcW w:w="734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94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448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Schedule G, Part III-Schedule of Nonexempt Transactions</w:t>
              </w:r>
            </w:hyperlink>
          </w:p>
        </w:tc>
        <w:tc>
          <w:tcPr>
            <w:tcW w:w="49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Casual Male Retail Group, Inc. 401 (k) Hourly Savings Plan as of December 31, 2004, and the related statement of changes in net assets available for benefits for the year ended December 31, 2004. These financial statements are the responsibility of the Plan’s management. Our responsibility is to express an opinion on these financial statements based on our audit.</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2004 and the changes in its net assets available for benefits for the year ended December 31, 2004, in conformity with accounting principles generally accepted in the United States.</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audit was performed for the purpose of forming an opinion on the financial statements taken as a whole. The accompanying supplemental schedules of assets held at end of year (as of December 31, 2004) and nonexempt transactions for the year ended December 31, 2004 are presented for the purpose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These supplemental schedules have been subjected to the auditing procedures applied in our audit of the financial statements and, in our opinion, are fairly stated in all material respects in relation to the financial statements taken as a whole.</w:t>
      </w:r>
    </w:p>
    <w:p>
      <w:pPr>
        <w:spacing w:after="0" w:line="107"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10, 2005</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 401(k) Hourly Savings Plan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Casual Male Retail Group, Inc. 401(k) Hourly Savings Plan as of December 31, 2003. This financial statement is the responsibility of the Plan’s management. Our responsibility is to express an opinion on this financial statement based on our audit.</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at December 31, 2003, in conformity with U.S. generally accepted accounting principles.</w:t>
      </w:r>
    </w:p>
    <w:p>
      <w:pPr>
        <w:spacing w:after="0" w:line="118"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5, 2004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88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82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4"/>
              </w:rPr>
              <w:t>$ 9,388,776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$ 9,330,563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$ 9,497,677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$ 9,459,096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580" w:type="dxa"/>
            <w:vAlign w:val="bottom"/>
          </w:tcPr>
          <w:p>
            <w:pPr>
              <w:jc w:val="center"/>
              <w:ind w:left="732"/>
              <w:spacing w:after="0"/>
              <w:rPr>
                <w:sz w:val="20"/>
                <w:szCs w:val="20"/>
                <w:color w:val="auto"/>
              </w:rPr>
            </w:pPr>
            <w:r>
              <w:rPr>
                <w:rFonts w:ascii="Arial" w:cs="Arial" w:eastAsia="Arial" w:hAnsi="Arial"/>
                <w:sz w:val="18"/>
                <w:szCs w:val="18"/>
                <w:color w:val="auto"/>
                <w:w w:val="89"/>
              </w:rPr>
              <w:t>Casual Male Retail Group, Inc. 401(k) Hourly Savings Plan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580" w:type="dxa"/>
            <w:vAlign w:val="bottom"/>
          </w:tcPr>
          <w:p>
            <w:pPr>
              <w:jc w:val="center"/>
              <w:ind w:left="73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580" w:type="dxa"/>
            <w:vAlign w:val="bottom"/>
          </w:tcPr>
          <w:p>
            <w:pPr>
              <w:jc w:val="center"/>
              <w:ind w:left="712"/>
              <w:spacing w:after="0"/>
              <w:rPr>
                <w:sz w:val="20"/>
                <w:szCs w:val="20"/>
                <w:color w:val="auto"/>
              </w:rPr>
            </w:pPr>
            <w:r>
              <w:rPr>
                <w:rFonts w:ascii="Arial" w:cs="Arial" w:eastAsia="Arial" w:hAnsi="Arial"/>
                <w:sz w:val="18"/>
                <w:szCs w:val="18"/>
                <w:color w:val="auto"/>
                <w:w w:val="86"/>
              </w:rPr>
              <w:t>For the year ended December 31, 2004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60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Employer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 xml:space="preserve">Net transfers </w:t>
            </w:r>
            <w:r>
              <w:rPr>
                <w:rFonts w:ascii="Arial" w:cs="Arial" w:eastAsia="Arial" w:hAnsi="Arial"/>
                <w:sz w:val="18"/>
                <w:szCs w:val="18"/>
                <w:i w:val="1"/>
                <w:iCs w:val="1"/>
                <w:color w:val="auto"/>
              </w:rPr>
              <w:t>(Note 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6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9,459,096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9,497,677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Plan</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regular, full-time (as defined in the Plan) employees, excluding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transferring during 2004 to the Casual Male Retail Group, Inc. 401(k) Salaried Savings Plan was $107,673,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2004, the Company matching contribution was 50% up to the first 6% of compensation that a participant contributes to the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8480" w:firstLine="8"/>
        <w:spacing w:after="0" w:line="373"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Plan (continued) Participants’ Accounts</w:t>
      </w:r>
    </w:p>
    <w:p>
      <w:pPr>
        <w:spacing w:after="0" w:line="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the Company’s matching contribution, and a pro rata allocation of investment gains or losses. Forfeitures available to reduce employer match at December 31, 2004 were $720. The benefit to which a participant is entitled is the benefit that can be provided from the participant’s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A participant is 100 percent vested after three years of credited service (no service requirement prior to January 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Upon enrollment in the Plan, a participant may direct their elective contribution into various investment options offered by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Other restrictions, as specified in the Plan agreement, may apply to a participant’s loan transaction. Principal and interest is paid ratably through payroll deductions.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8540" w:firstLine="8"/>
        <w:spacing w:after="0" w:line="33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 (continued) Payment of Benefits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termination of service, or upon death, disability or retirement, a participant may receive a lump sum amount equal to the vested value of his or her account, or elect to receive alternative benefit payments as described in the plan document.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percent vested in their accounts.</w:t>
      </w:r>
    </w:p>
    <w:p>
      <w:pPr>
        <w:spacing w:after="0" w:line="66" w:lineRule="exact"/>
        <w:rPr>
          <w:sz w:val="20"/>
          <w:szCs w:val="20"/>
          <w:color w:val="auto"/>
        </w:rPr>
      </w:pPr>
    </w:p>
    <w:p>
      <w:pPr>
        <w:ind w:right="8720" w:firstLine="8"/>
        <w:spacing w:after="0" w:line="332"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on the accrual basis of accounting.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8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Investments are stated at fair value. Mutual funds are stated at fair value which equals the quoted market price on the last business day of the Plan year. The fair value of participation units owned by the Plan in the common collective trust fund are based on the redemption value of the funds on the last business day of the Plan year. Participant loans are valued at their outstanding balances, which approximate fair value.</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7780" w:firstLine="8"/>
        <w:spacing w:after="0" w:line="332"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(continued) Use of Estimates</w:t>
      </w:r>
    </w:p>
    <w:p>
      <w:pPr>
        <w:spacing w:after="0" w:line="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that affect the amounts reported in the financial statements and accompanying notes. Actual results could differ from those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2004, the Plan’s investments (including investments purchased, sold as well as held during the year) depreciated in fair value as follows:</w:t>
      </w:r>
    </w:p>
    <w:p>
      <w:pPr>
        <w:spacing w:after="0" w:line="16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2"/>
              </w:rPr>
              <w:t>Net Depreciation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individual investments that represent 5% or more of the Plan’s net assets available for benefits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3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$ 5,119,330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$ 5,289,958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Putnam S&amp;P 500 Fund</w:t>
            </w:r>
          </w:p>
        </w:tc>
        <w:tc>
          <w:tcPr>
            <w:tcW w:w="5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1,564,625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869,179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869,643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80" w:type="dxa"/>
            <w:vAlign w:val="bottom"/>
          </w:tcPr>
          <w:p>
            <w:pPr>
              <w:jc w:val="right"/>
              <w:ind w:right="3036"/>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Risks and Uncertainties</w:t>
      </w:r>
    </w:p>
    <w:p>
      <w:pPr>
        <w:spacing w:after="0" w:line="83"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Status</w:t>
      </w:r>
    </w:p>
    <w:p>
      <w:pPr>
        <w:spacing w:after="0" w:line="8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spacing w:after="0" w:line="302" w:lineRule="auto"/>
        <w:rPr>
          <w:sz w:val="20"/>
          <w:szCs w:val="20"/>
          <w:color w:val="auto"/>
        </w:rPr>
      </w:pPr>
      <w:r>
        <w:rPr>
          <w:rFonts w:ascii="Arial" w:cs="Arial" w:eastAsia="Arial" w:hAnsi="Arial"/>
          <w:sz w:val="16"/>
          <w:szCs w:val="16"/>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administrator believes the Plan is being operated in compliance with the applicable requirements of the Code and, therefore, believes that the Plan is qualified and the related trust is tax-exempt.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Non Exempt Transactions</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the year ended December 31, 2004, approximately $22,000 of participants’ contributions was not deposited on a timely basis. The Company has corrected the administrative problem that causes the late deposits, so that participants’ contributions can be deposited on a timely basis.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Supplemental Schedules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investment including</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or Similar Party</w:t>
            </w: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collateral, par, or maturity value</w:t>
            </w:r>
          </w:p>
        </w:tc>
        <w:tc>
          <w:tcPr>
            <w:tcW w:w="9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6"/>
              </w:rPr>
              <w:t>Shares/Units</w:t>
            </w:r>
          </w:p>
        </w:tc>
        <w:tc>
          <w:tcPr>
            <w:tcW w:w="1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1"/>
              </w:rPr>
              <w:t>Current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Commingled funds held through Putnam Investments:</w:t>
            </w:r>
          </w:p>
        </w:tc>
        <w:tc>
          <w:tcPr>
            <w:tcW w:w="2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Stable Value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$5,119,330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$ 5,119,330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Mutual funds held through Putnam Investments:</w:t>
            </w:r>
          </w:p>
        </w:tc>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International Equity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7,356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Capital Opportunities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Voyager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21,757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361,376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Victory Diversified Stock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U.S. Government Income Trust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14,836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Equity Income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Capital Opportunities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Mid Cap Value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Artisan Mid Cap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MSIF Small Company Growth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Ariel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2010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Retirementready 2015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2020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Retirementready 2025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2035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*Putnam Retirementready 2040 Fund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2045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*Casual Male Retail Group, Inc. – Common Stock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47,421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258,444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PIMCO Total Return Fund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 Participant loans</w:t>
            </w:r>
          </w:p>
        </w:tc>
        <w:tc>
          <w:tcPr>
            <w:tcW w:w="4460" w:type="dxa"/>
            <w:vAlign w:val="bottom"/>
            <w:gridSpan w:val="2"/>
          </w:tcPr>
          <w:p>
            <w:pPr>
              <w:spacing w:after="0"/>
              <w:rPr>
                <w:sz w:val="20"/>
                <w:szCs w:val="20"/>
                <w:color w:val="auto"/>
              </w:rPr>
            </w:pPr>
            <w:r>
              <w:rPr>
                <w:rFonts w:ascii="Arial" w:cs="Arial" w:eastAsia="Arial" w:hAnsi="Arial"/>
                <w:sz w:val="18"/>
                <w:szCs w:val="18"/>
                <w:color w:val="auto"/>
              </w:rPr>
              <w:t>5.0% – 10.5%</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$ 9,388,776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-172720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G, Part III – Schedule of Nonexempt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w:t>
            </w: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Description of</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Expenses</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49"/>
        </w:trPr>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Relationship to</w:t>
            </w: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transactions including</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incurred in</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w:t>
            </w: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Net gain or</w:t>
            </w:r>
          </w:p>
        </w:tc>
        <w:tc>
          <w:tcPr>
            <w:tcW w:w="0" w:type="dxa"/>
            <w:vAlign w:val="bottom"/>
          </w:tcPr>
          <w:p>
            <w:pPr>
              <w:spacing w:after="0"/>
              <w:rPr>
                <w:sz w:val="1"/>
                <w:szCs w:val="1"/>
                <w:color w:val="auto"/>
              </w:rPr>
            </w:pPr>
          </w:p>
        </w:tc>
      </w:tr>
      <w:tr>
        <w:trPr>
          <w:trHeight w:val="149"/>
        </w:trPr>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Identity of</w:t>
            </w: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 employer</w:t>
            </w: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maturity date, rate of</w:t>
            </w:r>
          </w:p>
        </w:tc>
        <w:tc>
          <w:tcPr>
            <w:tcW w:w="4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w:t>
            </w: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w:t>
            </w: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w:t>
            </w: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connection</w:t>
            </w:r>
          </w:p>
        </w:tc>
        <w:tc>
          <w:tcPr>
            <w:tcW w:w="5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w:t>
            </w: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(loss) on</w:t>
            </w:r>
          </w:p>
        </w:tc>
        <w:tc>
          <w:tcPr>
            <w:tcW w:w="0" w:type="dxa"/>
            <w:vAlign w:val="bottom"/>
          </w:tcPr>
          <w:p>
            <w:pPr>
              <w:spacing w:after="0"/>
              <w:rPr>
                <w:sz w:val="1"/>
                <w:szCs w:val="1"/>
                <w:color w:val="auto"/>
              </w:rPr>
            </w:pPr>
          </w:p>
        </w:tc>
      </w:tr>
      <w:tr>
        <w:trPr>
          <w:trHeight w:val="149"/>
        </w:trPr>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party</w:t>
            </w: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other party-</w:t>
            </w: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 collateral, par</w:t>
            </w:r>
          </w:p>
        </w:tc>
        <w:tc>
          <w:tcPr>
            <w:tcW w:w="4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Selling</w:t>
            </w:r>
          </w:p>
        </w:tc>
        <w:tc>
          <w:tcPr>
            <w:tcW w:w="4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Lease</w:t>
            </w: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5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 of</w:t>
            </w: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w:t>
            </w:r>
          </w:p>
        </w:tc>
        <w:tc>
          <w:tcPr>
            <w:tcW w:w="4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each</w:t>
            </w:r>
          </w:p>
        </w:tc>
        <w:tc>
          <w:tcPr>
            <w:tcW w:w="0" w:type="dxa"/>
            <w:vAlign w:val="bottom"/>
          </w:tcPr>
          <w:p>
            <w:pPr>
              <w:spacing w:after="0"/>
              <w:rPr>
                <w:sz w:val="1"/>
                <w:szCs w:val="1"/>
                <w:color w:val="auto"/>
              </w:rPr>
            </w:pPr>
          </w:p>
        </w:tc>
      </w:tr>
      <w:tr>
        <w:trPr>
          <w:trHeight w:val="174"/>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involved</w:t>
            </w: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in-interest</w:t>
            </w:r>
          </w:p>
        </w:tc>
        <w:tc>
          <w:tcPr>
            <w:tcW w:w="4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or maturity value</w:t>
            </w:r>
          </w:p>
        </w:tc>
        <w:tc>
          <w:tcPr>
            <w:tcW w:w="4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Rental</w:t>
            </w:r>
          </w:p>
        </w:tc>
        <w:tc>
          <w:tcPr>
            <w:tcW w:w="4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transaction</w:t>
            </w:r>
          </w:p>
        </w:tc>
        <w:tc>
          <w:tcPr>
            <w:tcW w:w="50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4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4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transaction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w:t>
            </w:r>
          </w:p>
        </w:tc>
        <w:tc>
          <w:tcPr>
            <w:tcW w:w="12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Plan Sponsor</w:t>
            </w:r>
          </w:p>
        </w:tc>
        <w:tc>
          <w:tcPr>
            <w:tcW w:w="2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9"/>
              </w:rPr>
              <w:t>Participant contributions</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Male Retail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of $22,000 were not</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 Inc.</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deposited with the</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custodian on a timely</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basis</w:t>
            </w: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Hourly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David A. Levin, President of Casual Male Retail</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Group, Inc., the Plan Administer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28, 2005</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59" w:right="5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Hourly Savings Plan of Casual Male Retail Group, Inc. of our report dated June 10, 2005, with respect to the financial statements and schedules of the Casual Male Retail Group, Inc. 401(k) Hourly Savings Plan included in this Annual Report (Form 11-K) for the year ended December 31, 2004.</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Mahoney Cohen &amp; Company, CPA,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333-112218) pertaining to the Casual Male Retail Group, Inc. 401(k) Hourly Savings Plan of our report dated October 5, 2004, with respect to the statement of net assets available for benefits of the Casual Male Retail Group, Inc. 401(k) Hourly Savings Plan included in this Annual Report (Form 11-K) for the year ended December 31, 2003.</w:t>
      </w:r>
    </w:p>
    <w:p>
      <w:pPr>
        <w:spacing w:after="0" w:line="9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2005</w:t>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Annual Report on Form 11-K of the Casual Male Retail Group, Inc. 401(k) Salaried Saving Plan (the “Plan”) for the period ending December 31, 2004, as filed with the Securities and Exchange Commission on the date hereof (the “Report”), I, David A. Levin, President of Casual Male Retail Group, Inc., the Plan Administer, certify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15(d) of the Securities Exchange Act of 1934, as amended; and</w:t>
      </w:r>
    </w:p>
    <w:p>
      <w:pPr>
        <w:spacing w:after="0" w:line="76"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1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June 28,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President of Casual Male</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Retail Group, Inc.,</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the Plan Administer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2019-12-12T11:05:05Z</dcterms:created>
  <dcterms:modified xsi:type="dcterms:W3CDTF">2019-12-12T11:05:05Z</dcterms:modified>
</cp:coreProperties>
</file>