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5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January 24,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DESTINATION XL GROUP, INC.</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80" w:lineRule="exact"/>
        <w:rPr>
          <w:sz w:val="24"/>
          <w:szCs w:val="24"/>
          <w:color w:val="auto"/>
        </w:rPr>
      </w:pPr>
    </w:p>
    <w:tbl>
      <w:tblPr>
        <w:tblLayout w:type="fixed"/>
        <w:tblInd w:w="760" w:type="dxa"/>
        <w:tblCellMar>
          <w:top w:w="0" w:type="dxa"/>
          <w:left w:w="0" w:type="dxa"/>
          <w:bottom w:w="0" w:type="dxa"/>
          <w:right w:w="0" w:type="dxa"/>
        </w:tblCellMar>
      </w:tblPr>
      <w:tr>
        <w:trPr>
          <w:trHeight w:val="258"/>
        </w:trPr>
        <w:tc>
          <w:tcPr>
            <w:tcW w:w="3240" w:type="dxa"/>
            <w:vAlign w:val="bottom"/>
          </w:tcPr>
          <w:p>
            <w:pPr>
              <w:jc w:val="center"/>
              <w:ind w:right="878"/>
              <w:spacing w:after="0"/>
              <w:rPr>
                <w:sz w:val="20"/>
                <w:szCs w:val="20"/>
                <w:color w:val="auto"/>
              </w:rPr>
            </w:pPr>
            <w:r>
              <w:rPr>
                <w:rFonts w:ascii="Arial" w:cs="Arial" w:eastAsia="Arial" w:hAnsi="Arial"/>
                <w:sz w:val="22"/>
                <w:szCs w:val="22"/>
                <w:b w:val="1"/>
                <w:bCs w:val="1"/>
                <w:color w:val="auto"/>
                <w:w w:val="91"/>
              </w:rPr>
              <w:t>Delaware</w:t>
            </w:r>
          </w:p>
        </w:tc>
        <w:tc>
          <w:tcPr>
            <w:tcW w:w="3740" w:type="dxa"/>
            <w:vAlign w:val="bottom"/>
          </w:tcPr>
          <w:p>
            <w:pPr>
              <w:jc w:val="right"/>
              <w:ind w:right="1532"/>
              <w:spacing w:after="0"/>
              <w:rPr>
                <w:sz w:val="20"/>
                <w:szCs w:val="20"/>
                <w:color w:val="auto"/>
              </w:rPr>
            </w:pPr>
            <w:r>
              <w:rPr>
                <w:rFonts w:ascii="Arial" w:cs="Arial" w:eastAsia="Arial" w:hAnsi="Arial"/>
                <w:sz w:val="22"/>
                <w:szCs w:val="22"/>
                <w:b w:val="1"/>
                <w:bCs w:val="1"/>
                <w:color w:val="auto"/>
              </w:rPr>
              <w:t>01-34219</w:t>
            </w:r>
          </w:p>
        </w:tc>
        <w:tc>
          <w:tcPr>
            <w:tcW w:w="2300" w:type="dxa"/>
            <w:vAlign w:val="bottom"/>
          </w:tcPr>
          <w:p>
            <w:pPr>
              <w:jc w:val="right"/>
              <w:spacing w:after="0"/>
              <w:rPr>
                <w:sz w:val="20"/>
                <w:szCs w:val="20"/>
                <w:color w:val="auto"/>
              </w:rPr>
            </w:pPr>
            <w:r>
              <w:rPr>
                <w:rFonts w:ascii="Arial" w:cs="Arial" w:eastAsia="Arial" w:hAnsi="Arial"/>
                <w:sz w:val="22"/>
                <w:szCs w:val="22"/>
                <w:b w:val="1"/>
                <w:bCs w:val="1"/>
                <w:color w:val="auto"/>
              </w:rPr>
              <w:t>04-2623104</w:t>
            </w:r>
          </w:p>
        </w:tc>
        <w:tc>
          <w:tcPr>
            <w:tcW w:w="0" w:type="dxa"/>
            <w:vAlign w:val="bottom"/>
          </w:tcPr>
          <w:p>
            <w:pPr>
              <w:spacing w:after="0"/>
              <w:rPr>
                <w:sz w:val="1"/>
                <w:szCs w:val="1"/>
                <w:color w:val="auto"/>
              </w:rPr>
            </w:pPr>
          </w:p>
        </w:tc>
      </w:tr>
      <w:tr>
        <w:trPr>
          <w:trHeight w:val="149"/>
        </w:trPr>
        <w:tc>
          <w:tcPr>
            <w:tcW w:w="3240" w:type="dxa"/>
            <w:vAlign w:val="bottom"/>
          </w:tcPr>
          <w:p>
            <w:pPr>
              <w:jc w:val="center"/>
              <w:ind w:right="878"/>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3740" w:type="dxa"/>
            <w:vAlign w:val="bottom"/>
          </w:tcPr>
          <w:p>
            <w:pPr>
              <w:spacing w:after="0"/>
              <w:rPr>
                <w:sz w:val="12"/>
                <w:szCs w:val="12"/>
                <w:color w:val="auto"/>
              </w:rPr>
            </w:pPr>
          </w:p>
        </w:tc>
        <w:tc>
          <w:tcPr>
            <w:tcW w:w="2300" w:type="dxa"/>
            <w:vAlign w:val="bottom"/>
          </w:tcPr>
          <w:p>
            <w:pPr>
              <w:jc w:val="center"/>
              <w:ind w:left="1176"/>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0" w:type="dxa"/>
            <w:vAlign w:val="bottom"/>
          </w:tcPr>
          <w:p>
            <w:pPr>
              <w:spacing w:after="0"/>
              <w:rPr>
                <w:sz w:val="1"/>
                <w:szCs w:val="1"/>
                <w:color w:val="auto"/>
              </w:rPr>
            </w:pPr>
          </w:p>
        </w:tc>
      </w:tr>
      <w:tr>
        <w:trPr>
          <w:trHeight w:val="174"/>
        </w:trPr>
        <w:tc>
          <w:tcPr>
            <w:tcW w:w="3240" w:type="dxa"/>
            <w:vAlign w:val="bottom"/>
          </w:tcPr>
          <w:p>
            <w:pPr>
              <w:jc w:val="center"/>
              <w:ind w:right="878"/>
              <w:spacing w:after="0"/>
              <w:rPr>
                <w:sz w:val="20"/>
                <w:szCs w:val="20"/>
                <w:color w:val="auto"/>
              </w:rPr>
            </w:pPr>
            <w:r>
              <w:rPr>
                <w:rFonts w:ascii="Arial" w:cs="Arial" w:eastAsia="Arial" w:hAnsi="Arial"/>
                <w:sz w:val="14"/>
                <w:szCs w:val="14"/>
                <w:b w:val="1"/>
                <w:bCs w:val="1"/>
                <w:color w:val="auto"/>
                <w:w w:val="89"/>
              </w:rPr>
              <w:t>of Incorporation)</w:t>
            </w:r>
          </w:p>
        </w:tc>
        <w:tc>
          <w:tcPr>
            <w:tcW w:w="3740" w:type="dxa"/>
            <w:vAlign w:val="bottom"/>
          </w:tcPr>
          <w:p>
            <w:pPr>
              <w:jc w:val="center"/>
              <w:ind w:right="232"/>
              <w:spacing w:after="0"/>
              <w:rPr>
                <w:sz w:val="20"/>
                <w:szCs w:val="20"/>
                <w:color w:val="auto"/>
              </w:rPr>
            </w:pPr>
            <w:r>
              <w:rPr>
                <w:rFonts w:ascii="Arial" w:cs="Arial" w:eastAsia="Arial" w:hAnsi="Arial"/>
                <w:sz w:val="14"/>
                <w:szCs w:val="14"/>
                <w:b w:val="1"/>
                <w:bCs w:val="1"/>
                <w:color w:val="auto"/>
                <w:w w:val="88"/>
              </w:rPr>
              <w:t>(Commission File Number)</w:t>
            </w:r>
          </w:p>
        </w:tc>
        <w:tc>
          <w:tcPr>
            <w:tcW w:w="2300" w:type="dxa"/>
            <w:vAlign w:val="bottom"/>
          </w:tcPr>
          <w:p>
            <w:pPr>
              <w:jc w:val="center"/>
              <w:ind w:left="1156"/>
              <w:spacing w:after="0"/>
              <w:rPr>
                <w:sz w:val="20"/>
                <w:szCs w:val="20"/>
                <w:color w:val="auto"/>
              </w:rPr>
            </w:pPr>
            <w:r>
              <w:rPr>
                <w:rFonts w:ascii="Arial" w:cs="Arial" w:eastAsia="Arial" w:hAnsi="Arial"/>
                <w:sz w:val="14"/>
                <w:szCs w:val="14"/>
                <w:b w:val="1"/>
                <w:bCs w:val="1"/>
                <w:color w:val="auto"/>
                <w:w w:val="89"/>
              </w:rPr>
              <w:t>Identification No.)</w:t>
            </w:r>
          </w:p>
        </w:tc>
        <w:tc>
          <w:tcPr>
            <w:tcW w:w="0" w:type="dxa"/>
            <w:vAlign w:val="bottom"/>
          </w:tcPr>
          <w:p>
            <w:pPr>
              <w:spacing w:after="0"/>
              <w:rPr>
                <w:sz w:val="1"/>
                <w:szCs w:val="1"/>
                <w:color w:val="auto"/>
              </w:rPr>
            </w:pPr>
          </w:p>
        </w:tc>
      </w:tr>
      <w:tr>
        <w:trPr>
          <w:trHeight w:val="428"/>
        </w:trPr>
        <w:tc>
          <w:tcPr>
            <w:tcW w:w="3240" w:type="dxa"/>
            <w:vAlign w:val="bottom"/>
          </w:tcPr>
          <w:p>
            <w:pPr>
              <w:jc w:val="center"/>
              <w:ind w:right="858"/>
              <w:spacing w:after="0"/>
              <w:rPr>
                <w:sz w:val="20"/>
                <w:szCs w:val="20"/>
                <w:color w:val="auto"/>
              </w:rPr>
            </w:pPr>
            <w:r>
              <w:rPr>
                <w:rFonts w:ascii="Arial" w:cs="Arial" w:eastAsia="Arial" w:hAnsi="Arial"/>
                <w:sz w:val="18"/>
                <w:szCs w:val="18"/>
                <w:b w:val="1"/>
                <w:bCs w:val="1"/>
                <w:color w:val="auto"/>
                <w:w w:val="91"/>
              </w:rPr>
              <w:t>555 Turnpike Street</w:t>
            </w:r>
            <w:r>
              <w:rPr>
                <w:rFonts w:ascii="Arial" w:cs="Arial" w:eastAsia="Arial" w:hAnsi="Arial"/>
                <w:sz w:val="21"/>
                <w:szCs w:val="21"/>
                <w:b w:val="1"/>
                <w:bCs w:val="1"/>
                <w:color w:val="auto"/>
                <w:w w:val="91"/>
              </w:rPr>
              <w:t>,</w:t>
            </w:r>
          </w:p>
        </w:tc>
        <w:tc>
          <w:tcPr>
            <w:tcW w:w="3740" w:type="dxa"/>
            <w:vAlign w:val="bottom"/>
          </w:tcPr>
          <w:p>
            <w:pPr>
              <w:spacing w:after="0"/>
              <w:rPr>
                <w:sz w:val="24"/>
                <w:szCs w:val="24"/>
                <w:color w:val="auto"/>
              </w:rPr>
            </w:pPr>
          </w:p>
        </w:tc>
        <w:tc>
          <w:tcPr>
            <w:tcW w:w="2300" w:type="dxa"/>
            <w:vAlign w:val="bottom"/>
            <w:vMerge w:val="restart"/>
          </w:tcPr>
          <w:p>
            <w:pPr>
              <w:jc w:val="right"/>
              <w:ind w:right="176"/>
              <w:spacing w:after="0"/>
              <w:rPr>
                <w:sz w:val="20"/>
                <w:szCs w:val="20"/>
                <w:color w:val="auto"/>
              </w:rPr>
            </w:pPr>
            <w:r>
              <w:rPr>
                <w:rFonts w:ascii="Arial" w:cs="Arial" w:eastAsia="Arial" w:hAnsi="Arial"/>
                <w:sz w:val="22"/>
                <w:szCs w:val="22"/>
                <w:b w:val="1"/>
                <w:bCs w:val="1"/>
                <w:color w:val="auto"/>
              </w:rPr>
              <w:t>02021</w:t>
            </w:r>
          </w:p>
        </w:tc>
        <w:tc>
          <w:tcPr>
            <w:tcW w:w="0" w:type="dxa"/>
            <w:vAlign w:val="bottom"/>
          </w:tcPr>
          <w:p>
            <w:pPr>
              <w:spacing w:after="0"/>
              <w:rPr>
                <w:sz w:val="1"/>
                <w:szCs w:val="1"/>
                <w:color w:val="auto"/>
              </w:rPr>
            </w:pPr>
          </w:p>
        </w:tc>
      </w:tr>
      <w:tr>
        <w:trPr>
          <w:trHeight w:val="222"/>
        </w:trPr>
        <w:tc>
          <w:tcPr>
            <w:tcW w:w="3240" w:type="dxa"/>
            <w:vAlign w:val="bottom"/>
          </w:tcPr>
          <w:p>
            <w:pPr>
              <w:jc w:val="center"/>
              <w:ind w:right="858"/>
              <w:spacing w:after="0"/>
              <w:rPr>
                <w:sz w:val="20"/>
                <w:szCs w:val="20"/>
                <w:color w:val="auto"/>
              </w:rPr>
            </w:pPr>
            <w:r>
              <w:rPr>
                <w:rFonts w:ascii="Arial" w:cs="Arial" w:eastAsia="Arial" w:hAnsi="Arial"/>
                <w:sz w:val="18"/>
                <w:szCs w:val="18"/>
                <w:b w:val="1"/>
                <w:bCs w:val="1"/>
                <w:color w:val="auto"/>
                <w:w w:val="88"/>
              </w:rPr>
              <w:t>Canton, Massachusetts</w:t>
            </w:r>
          </w:p>
        </w:tc>
        <w:tc>
          <w:tcPr>
            <w:tcW w:w="3740" w:type="dxa"/>
            <w:vAlign w:val="bottom"/>
          </w:tcPr>
          <w:p>
            <w:pPr>
              <w:spacing w:after="0"/>
              <w:rPr>
                <w:sz w:val="19"/>
                <w:szCs w:val="19"/>
                <w:color w:val="auto"/>
              </w:rPr>
            </w:pPr>
          </w:p>
        </w:tc>
        <w:tc>
          <w:tcPr>
            <w:tcW w:w="2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3240" w:type="dxa"/>
            <w:vAlign w:val="bottom"/>
          </w:tcPr>
          <w:p>
            <w:pPr>
              <w:jc w:val="center"/>
              <w:ind w:right="858"/>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740" w:type="dxa"/>
            <w:vAlign w:val="bottom"/>
          </w:tcPr>
          <w:p>
            <w:pPr>
              <w:spacing w:after="0"/>
              <w:rPr>
                <w:sz w:val="15"/>
                <w:szCs w:val="15"/>
                <w:color w:val="auto"/>
              </w:rPr>
            </w:pPr>
          </w:p>
        </w:tc>
        <w:tc>
          <w:tcPr>
            <w:tcW w:w="2300" w:type="dxa"/>
            <w:vAlign w:val="bottom"/>
          </w:tcPr>
          <w:p>
            <w:pPr>
              <w:jc w:val="center"/>
              <w:ind w:left="1156"/>
              <w:spacing w:after="0"/>
              <w:rPr>
                <w:sz w:val="20"/>
                <w:szCs w:val="20"/>
                <w:color w:val="auto"/>
              </w:rPr>
            </w:pPr>
            <w:r>
              <w:rPr>
                <w:rFonts w:ascii="Arial" w:cs="Arial" w:eastAsia="Arial" w:hAnsi="Arial"/>
                <w:sz w:val="14"/>
                <w:szCs w:val="14"/>
                <w:b w:val="1"/>
                <w:bCs w:val="1"/>
                <w:color w:val="auto"/>
                <w:w w:val="89"/>
              </w:rPr>
              <w:t>(Zip Code)</w:t>
            </w:r>
          </w:p>
        </w:tc>
        <w:tc>
          <w:tcPr>
            <w:tcW w:w="0" w:type="dxa"/>
            <w:vAlign w:val="bottom"/>
          </w:tcPr>
          <w:p>
            <w:pPr>
              <w:spacing w:after="0"/>
              <w:rPr>
                <w:sz w:val="1"/>
                <w:szCs w:val="1"/>
                <w:color w:val="auto"/>
              </w:rPr>
            </w:pPr>
          </w:p>
        </w:tc>
      </w:tr>
    </w:tbl>
    <w:p>
      <w:pPr>
        <w:spacing w:after="0" w:line="12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Registrant’s Telephone Number, Including Area Code: </w:t>
      </w:r>
      <w:r>
        <w:rPr>
          <w:rFonts w:ascii="Arial" w:cs="Arial" w:eastAsia="Arial" w:hAnsi="Arial"/>
          <w:sz w:val="18"/>
          <w:szCs w:val="18"/>
          <w:b w:val="1"/>
          <w:bCs w:val="1"/>
          <w:color w:val="auto"/>
        </w:rPr>
        <w:t>(781) 828-9300</w:t>
      </w:r>
    </w:p>
    <w:p>
      <w:pPr>
        <w:spacing w:after="0" w:line="16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Not Applicable</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16" w:lineRule="exact"/>
        <w:rPr>
          <w:sz w:val="24"/>
          <w:szCs w:val="24"/>
          <w:color w:val="auto"/>
        </w:rPr>
      </w:pPr>
    </w:p>
    <w:p>
      <w:pPr>
        <w:ind w:left="480" w:hanging="404"/>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480" w:hanging="404"/>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480" w:hanging="404"/>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480" w:hanging="404"/>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4" w:lineRule="exact"/>
        <w:rPr>
          <w:sz w:val="24"/>
          <w:szCs w:val="24"/>
          <w:color w:val="auto"/>
        </w:rPr>
      </w:pPr>
    </w:p>
    <w:p>
      <w:pPr>
        <w:ind w:right="1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489585</wp:posOffset>
            </wp:positionV>
            <wp:extent cx="72891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06" w:right="25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8.01 Other Events</w:t>
      </w:r>
    </w:p>
    <w:p>
      <w:pPr>
        <w:spacing w:after="0" w:line="240" w:lineRule="exact"/>
        <w:rPr>
          <w:sz w:val="20"/>
          <w:szCs w:val="20"/>
          <w:color w:val="auto"/>
        </w:rPr>
      </w:pPr>
    </w:p>
    <w:p>
      <w:pPr>
        <w:spacing w:after="0" w:line="282" w:lineRule="auto"/>
        <w:rPr>
          <w:sz w:val="20"/>
          <w:szCs w:val="20"/>
          <w:color w:val="auto"/>
        </w:rPr>
      </w:pPr>
      <w:r>
        <w:rPr>
          <w:rFonts w:ascii="Arial" w:cs="Arial" w:eastAsia="Arial" w:hAnsi="Arial"/>
          <w:sz w:val="19"/>
          <w:szCs w:val="19"/>
          <w:color w:val="auto"/>
        </w:rPr>
        <w:t>On January 24, 2019, the Board of Directors (the “Board”) of Destination XL Group, Inc. (the “Company”) voted to adopt an independent Board chairman structure and elected Mr. John Kyees as the Company’s new independent, non-executive Chairman, replacing Mr. Seymour Holtzman, who had served as the Company’s Executive Chairman. While the Board reserves the right to adopt other leadership structures as it deems appropriate from time to time, it believes that having an independent Board Chair is currently in the best interests of the Company and its shareholders. Mr. Holtzman remains a director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360680</wp:posOffset>
            </wp:positionV>
            <wp:extent cx="72891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160"/>
          </w:cols>
          <w:pgMar w:left="240" w:top="111" w:right="49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22"/>
          <w:szCs w:val="22"/>
          <w:color w:val="auto"/>
        </w:rPr>
        <w:t>SIGNATURES</w:t>
      </w:r>
    </w:p>
    <w:p>
      <w:pPr>
        <w:spacing w:after="0" w:line="233" w:lineRule="exact"/>
        <w:rPr>
          <w:sz w:val="20"/>
          <w:szCs w:val="20"/>
          <w:color w:val="auto"/>
        </w:rPr>
      </w:pPr>
    </w:p>
    <w:p>
      <w:pPr>
        <w:ind w:right="140"/>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680"/>
        <w:spacing w:after="0"/>
        <w:rPr>
          <w:sz w:val="20"/>
          <w:szCs w:val="20"/>
          <w:color w:val="auto"/>
        </w:rPr>
      </w:pPr>
      <w:r>
        <w:rPr>
          <w:rFonts w:ascii="Arial" w:cs="Arial" w:eastAsia="Arial" w:hAnsi="Arial"/>
          <w:sz w:val="22"/>
          <w:szCs w:val="22"/>
          <w:color w:val="auto"/>
        </w:rPr>
        <w:t>DESTINATION XL GROUP, INC.</w:t>
      </w:r>
    </w:p>
    <w:p>
      <w:pPr>
        <w:spacing w:after="0" w:line="179" w:lineRule="exact"/>
        <w:rPr>
          <w:sz w:val="20"/>
          <w:szCs w:val="20"/>
          <w:color w:val="auto"/>
        </w:rPr>
      </w:pPr>
    </w:p>
    <w:p>
      <w:pPr>
        <w:spacing w:after="0"/>
        <w:tabs>
          <w:tab w:leader="none" w:pos="780" w:val="left"/>
          <w:tab w:leader="none" w:pos="5860" w:val="left"/>
          <w:tab w:leader="none" w:pos="8140" w:val="left"/>
        </w:tabs>
        <w:rPr>
          <w:sz w:val="20"/>
          <w:szCs w:val="20"/>
          <w:color w:val="auto"/>
        </w:rPr>
      </w:pPr>
      <w:r>
        <w:rPr>
          <w:rFonts w:ascii="Arial" w:cs="Arial" w:eastAsia="Arial" w:hAnsi="Arial"/>
          <w:sz w:val="22"/>
          <w:szCs w:val="22"/>
          <w:color w:val="auto"/>
        </w:rPr>
        <w:t>Date:</w:t>
        <w:tab/>
        <w:t>January 28, 2019</w:t>
      </w:r>
      <w:r>
        <w:rPr>
          <w:sz w:val="20"/>
          <w:szCs w:val="20"/>
          <w:color w:val="auto"/>
        </w:rPr>
        <w:tab/>
      </w: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4241800</wp:posOffset>
            </wp:positionH>
            <wp:positionV relativeFrom="paragraph">
              <wp:posOffset>7620</wp:posOffset>
            </wp:positionV>
            <wp:extent cx="30099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jc w:val="center"/>
        <w:ind w:left="6680"/>
        <w:spacing w:after="0"/>
        <w:rPr>
          <w:sz w:val="20"/>
          <w:szCs w:val="20"/>
          <w:color w:val="auto"/>
        </w:rPr>
      </w:pPr>
      <w:r>
        <w:rPr>
          <w:rFonts w:ascii="Arial" w:cs="Arial" w:eastAsia="Arial" w:hAnsi="Arial"/>
          <w:sz w:val="14"/>
          <w:szCs w:val="14"/>
          <w:b w:val="1"/>
          <w:bCs w:val="1"/>
          <w:color w:val="auto"/>
        </w:rPr>
        <w:t>Robert S. Molloy</w:t>
      </w:r>
    </w:p>
    <w:p>
      <w:pPr>
        <w:jc w:val="center"/>
        <w:ind w:left="6680"/>
        <w:spacing w:after="0"/>
        <w:rPr>
          <w:sz w:val="20"/>
          <w:szCs w:val="20"/>
          <w:color w:val="auto"/>
        </w:rPr>
      </w:pPr>
      <w:r>
        <w:rPr>
          <w:rFonts w:ascii="Arial" w:cs="Arial" w:eastAsia="Arial" w:hAnsi="Arial"/>
          <w:sz w:val="12"/>
          <w:szCs w:val="12"/>
          <w:b w:val="1"/>
          <w:bCs w:val="1"/>
          <w:color w:val="auto"/>
        </w:rPr>
        <w:t>Senior Vice President, Chief Administrative Officer, General Counsel and</w:t>
      </w:r>
    </w:p>
    <w:p>
      <w:pPr>
        <w:spacing w:after="0" w:line="11" w:lineRule="exact"/>
        <w:rPr>
          <w:sz w:val="20"/>
          <w:szCs w:val="20"/>
          <w:color w:val="auto"/>
        </w:rPr>
      </w:pPr>
    </w:p>
    <w:p>
      <w:pPr>
        <w:jc w:val="center"/>
        <w:ind w:left="6680"/>
        <w:spacing w:after="0"/>
        <w:rPr>
          <w:sz w:val="20"/>
          <w:szCs w:val="20"/>
          <w:color w:val="auto"/>
        </w:rPr>
      </w:pPr>
      <w:r>
        <w:rPr>
          <w:rFonts w:ascii="Arial" w:cs="Arial" w:eastAsia="Arial" w:hAnsi="Arial"/>
          <w:sz w:val="14"/>
          <w:szCs w:val="14"/>
          <w:b w:val="1"/>
          <w:bCs w:val="1"/>
          <w:color w:val="auto"/>
        </w:rPr>
        <w:t>Secretary</w:t>
      </w:r>
    </w:p>
    <w:sectPr>
      <w:pgSz w:w="11900" w:h="16838" w:orient="portrait"/>
      <w:cols w:equalWidth="0" w:num="1">
        <w:col w:w="11300"/>
      </w:cols>
      <w:pgMar w:left="240" w:top="36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2019-12-04T23:58:52Z</dcterms:created>
  <dcterms:modified xsi:type="dcterms:W3CDTF">2019-12-04T23:58:52Z</dcterms:modified>
</cp:coreProperties>
</file>