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158"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Exchange Act of 1934</w:t>
      </w:r>
    </w:p>
    <w:p>
      <w:pPr>
        <w:spacing w:after="0" w:line="38"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right="5160" w:firstLine="8"/>
        <w:spacing w:after="0" w:line="216"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under Rule 14a-12</w:t>
      </w:r>
    </w:p>
    <w:p>
      <w:pPr>
        <w:spacing w:after="0" w:line="13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151"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60" w:right="620" w:hanging="452"/>
        <w:spacing w:after="0" w:line="276"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614045</wp:posOffset>
            </wp:positionH>
            <wp:positionV relativeFrom="paragraph">
              <wp:posOffset>-3547110</wp:posOffset>
            </wp:positionV>
            <wp:extent cx="65347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-3023870</wp:posOffset>
            </wp:positionV>
            <wp:extent cx="65347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-2363470</wp:posOffset>
            </wp:positionV>
            <wp:extent cx="65347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-1797685</wp:posOffset>
            </wp:positionV>
            <wp:extent cx="65347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-1231900</wp:posOffset>
            </wp:positionV>
            <wp:extent cx="6534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to be held on July 31, 2006</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Notice is hereby given that the 2006 Annual Meeting of Stockholders of Casual Male Retail Group, Inc. (the “Company”) will be held at the offices of Greenberg Traurig, LLP, 200 Park Avenue, MetLife Building, 15th Floor, New York, New York at 10:00 A.M., local time, on Monday, July 31, 2006 for the following purposes:</w:t>
      </w:r>
    </w:p>
    <w:p>
      <w:pPr>
        <w:spacing w:after="0" w:line="127" w:lineRule="exact"/>
        <w:rPr>
          <w:sz w:val="20"/>
          <w:szCs w:val="20"/>
          <w:color w:val="auto"/>
        </w:rPr>
      </w:pPr>
    </w:p>
    <w:p>
      <w:pPr>
        <w:ind w:left="900" w:right="4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 to serve until the next Annual Meeting of Stockholders and until their respective successors have been duly elected and qualified.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adoption of the Company’s 2006 Incentive Compensation Plan.</w:t>
      </w:r>
    </w:p>
    <w:p>
      <w:pPr>
        <w:spacing w:after="0" w:line="76"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independent registered public accounting firm for the Company for the fiscal year ending February 3, 2007.</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recommends that you vote FOR the election of all seven nominees to serve as directors of the Company, FOR the approval of the adoption of the Company’s 2006 Incentive Compensation Plan and FOR the ratification of the appointment of Ernst &amp; Young LLP as the Company’s independent registered public accounting firm.</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attached Proxy Statement, the Company is sending you copies of its Annual Report on Form 10-K for the fiscal year ended January 28, 2006.</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Board of Directors has fixed the close of business on June 15, 2006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15, 2006 will be available for inspection by any stockholder of the Company for any purpose germane to the Annual Meeting during normal business hours at the Company’s principal executive offices, 555 Turnpike Street, Canton, Massachusetts 02021, beginning on July 15, 2006 and at the Annual Meeting.</w:t>
      </w:r>
    </w:p>
    <w:p>
      <w:pPr>
        <w:spacing w:after="0" w:line="1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Stockholders are cordially invited to attend the Annual Meeting in person. Whether or not you plan to attend the Annual Meeting, please mark, date, sign and return the enclosed proxy to ensure that your shares are represented at the Annual Meeting. Stockholders who attend the Annual Meeting may vote their shares personally, even though they have sent in proxies.</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26, 2006</w:t>
      </w:r>
    </w:p>
    <w:p>
      <w:pPr>
        <w:spacing w:after="0" w:line="15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IMPORTANT: Please mark, date, sign and return the enclosed proxy as soon as possible. The proxy is revocable and it will not be used if you give written notice of revocation to the Secretary of the Company at 555 Turnpike Street, Canton, Massachusetts 02021, prior to the vote to be taken at the Annual Meeting, if you lodge a later-dated proxy or if you attend and vote at the Annual Meeting.</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(781) 828-9300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31, 2006</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PROXIES</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Proxy Statement and the enclosed form of proxy are being mailed to stockholders on or about June 26, 2006, in connection with the solicitation by the Board of Directors of Casual Male Retail Group, Inc. (the “Company”) of proxies to be used at the Annual Meeting of Stockholders, to be held at the offices of Greenberg Traurig, LLP, 200 Park Avenue, MetLife Building, 15th Floor, New York, New York at 10:00 A.M., local time, on Monday, July 31, 2006 and at any and all adjournments thereof (the “Annual Meeting”). When proxies are returned properly executed, the shares represented will be voted in accordance with the stockholders’ instructions.</w:t>
      </w:r>
    </w:p>
    <w:p>
      <w:pPr>
        <w:spacing w:after="0" w:line="1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Stockholders are encouraged to vote on the matters to be considered. However, if no instructions have been specified by a stockholder, the shares covered by an executed proxy will be voted (i) FOR the election of all seven nominees to serve as directors of the Company, (ii) FOR the adoption of the Company’s 2006 Incentive Compensation Plan, (iii) FOR the ratification of the appointment of Ernst &amp; Young LLP as the Company’s independent registered public accounting firm, and (iv) 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10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Only holders of the Company’s Common Stock, par value $0.01 per share (“Common Stock”), of record at the close of business on June 15, 2006, the record date for the Annual Meeting, will be entitled to notice of and to vote at the Annual Meeting. On that date, there were 35,022,367 shares of Common Stock issued and outstanding, excluding shares held by the Company in treasury. Each share is entitled to one vote at the Annual Meeting.</w:t>
      </w:r>
    </w:p>
    <w:p>
      <w:pPr>
        <w:spacing w:after="0" w:line="93"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A plurality of the votes properly cast for the election of directors is required to elect directors, and a majority of the votes properly cast is required for all other matters, including the approval of the adoption of the Company’s 2006 Incentive Compensation Plan and the ratification of the appointment of the Company’s independent registered public accounting firm. No votes may be taken at the Annual Meeting, other than a vote to adjourn, unless a quorum, consisting of a majority of the shares of Common Stock outstanding as of the record date, is present in person or represented by proxy at the Annual Meeting. Any stockholder who attends the Annual Meeting may not withhold such stockholder’s shares from the quorum count by declaring such shares absent from the Annual Meeting.</w:t>
      </w:r>
    </w:p>
    <w:p>
      <w:pPr>
        <w:spacing w:after="0" w:line="8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Shares voted to abstain or to withhold as to a particular matter, or as to which a nominee (such as a broker holding shares in street name for a beneficial owner) has no voting authority in respect of a particular matter, shall be deemed present for quorum purposes. Such shares, however, will not be deemed to be voting with respect to any matter presented at the Annual Meeting and will not count as votes for or against such matter. Votes will be tabulated by the Company’s transfer agent subject to the supervision of persons designated by the Board of Directors as inspectors.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40" w:firstLine="2245"/>
        <w:spacing w:after="0" w:line="379" w:lineRule="auto"/>
        <w:rPr>
          <w:sz w:val="20"/>
          <w:szCs w:val="20"/>
          <w:color w:val="auto"/>
        </w:rPr>
      </w:pPr>
      <w:r>
        <w:rPr>
          <w:rFonts w:ascii="Arial" w:cs="Arial" w:eastAsia="Arial" w:hAnsi="Arial"/>
          <w:sz w:val="18"/>
          <w:szCs w:val="18"/>
          <w:b w:val="1"/>
          <w:bCs w:val="1"/>
          <w:color w:val="auto"/>
        </w:rPr>
        <w:t>SECURITY OWNERSHIP OF CERTAIN BENEFICIAL OWNERS AND MANAGEMENT Security Ownership of Certain Beneficial Owners</w:t>
      </w:r>
    </w:p>
    <w:p>
      <w:pPr>
        <w:spacing w:after="0" w:line="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following table sets forth certain information with respect to persons known to the Company to be the beneficial owners of more than five percent of the issued and outstanding shares of Common Stock as of June 5, 2006. The Company is informed that, except as indicated, each person has sole voting and investment power with respect to all shares of Common Stock shown as beneficially owned by such person, subject to community property laws where applicable.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7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7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Beneficially</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74"/>
        </w:trPr>
        <w:tc>
          <w:tcPr>
            <w:tcW w:w="590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3020" w:type="dxa"/>
            <w:vAlign w:val="bottom"/>
          </w:tcPr>
          <w:p>
            <w:pPr>
              <w:spacing w:after="0"/>
              <w:rPr>
                <w:sz w:val="15"/>
                <w:szCs w:val="15"/>
                <w:color w:val="auto"/>
              </w:rPr>
            </w:pPr>
          </w:p>
        </w:tc>
        <w:tc>
          <w:tcPr>
            <w:tcW w:w="17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9"/>
              </w:rPr>
              <w:t>Owned</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Class(1)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Chilton Investment Company, LLC</w:t>
            </w:r>
          </w:p>
        </w:tc>
        <w:tc>
          <w:tcPr>
            <w:tcW w:w="4780" w:type="dxa"/>
            <w:vAlign w:val="bottom"/>
            <w:gridSpan w:val="3"/>
            <w:shd w:val="clear" w:color="auto" w:fill="CCEEFF"/>
          </w:tcPr>
          <w:p>
            <w:pPr>
              <w:ind w:left="3020"/>
              <w:spacing w:after="0"/>
              <w:rPr>
                <w:sz w:val="20"/>
                <w:szCs w:val="20"/>
                <w:color w:val="auto"/>
              </w:rPr>
            </w:pPr>
            <w:r>
              <w:rPr>
                <w:rFonts w:ascii="Arial" w:cs="Arial" w:eastAsia="Arial" w:hAnsi="Arial"/>
                <w:sz w:val="18"/>
                <w:szCs w:val="18"/>
                <w:color w:val="auto"/>
              </w:rPr>
              <w:t>7,147,945(2)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1266 East Main Street, 7th Floor</w:t>
            </w:r>
          </w:p>
        </w:tc>
        <w:tc>
          <w:tcPr>
            <w:tcW w:w="3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Stamford, Connecticut 06902</w:t>
            </w:r>
          </w:p>
        </w:tc>
        <w:tc>
          <w:tcPr>
            <w:tcW w:w="30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900" w:type="dxa"/>
            <w:vAlign w:val="bottom"/>
            <w:gridSpan w:val="4"/>
          </w:tcPr>
          <w:p>
            <w:pPr>
              <w:spacing w:after="0"/>
              <w:rPr>
                <w:sz w:val="20"/>
                <w:szCs w:val="20"/>
                <w:color w:val="auto"/>
              </w:rPr>
            </w:pPr>
            <w:r>
              <w:rPr>
                <w:rFonts w:ascii="Arial" w:cs="Arial" w:eastAsia="Arial" w:hAnsi="Arial"/>
                <w:sz w:val="18"/>
                <w:szCs w:val="18"/>
                <w:color w:val="auto"/>
              </w:rPr>
              <w:t>Seymour Holtzman</w:t>
            </w:r>
          </w:p>
        </w:tc>
        <w:tc>
          <w:tcPr>
            <w:tcW w:w="4780" w:type="dxa"/>
            <w:vAlign w:val="bottom"/>
            <w:gridSpan w:val="3"/>
          </w:tcPr>
          <w:p>
            <w:pPr>
              <w:ind w:left="3020"/>
              <w:spacing w:after="0"/>
              <w:rPr>
                <w:sz w:val="20"/>
                <w:szCs w:val="20"/>
                <w:color w:val="auto"/>
              </w:rPr>
            </w:pPr>
            <w:r>
              <w:rPr>
                <w:rFonts w:ascii="Arial" w:cs="Arial" w:eastAsia="Arial" w:hAnsi="Arial"/>
                <w:sz w:val="18"/>
                <w:szCs w:val="18"/>
                <w:color w:val="auto"/>
              </w:rPr>
              <w:t>5,873,038(3)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5900" w:type="dxa"/>
            <w:vAlign w:val="bottom"/>
            <w:gridSpan w:val="4"/>
          </w:tcPr>
          <w:p>
            <w:pPr>
              <w:spacing w:after="0"/>
              <w:rPr>
                <w:sz w:val="20"/>
                <w:szCs w:val="20"/>
                <w:color w:val="auto"/>
              </w:rPr>
            </w:pPr>
            <w:r>
              <w:rPr>
                <w:rFonts w:ascii="Arial" w:cs="Arial" w:eastAsia="Arial" w:hAnsi="Arial"/>
                <w:sz w:val="18"/>
                <w:szCs w:val="18"/>
                <w:color w:val="auto"/>
              </w:rPr>
              <w:t>100 N. Wilkes Barre Blvd.</w:t>
            </w:r>
          </w:p>
        </w:tc>
        <w:tc>
          <w:tcPr>
            <w:tcW w:w="3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00" w:type="dxa"/>
            <w:vAlign w:val="bottom"/>
            <w:gridSpan w:val="4"/>
          </w:tcPr>
          <w:p>
            <w:pPr>
              <w:spacing w:after="0"/>
              <w:rPr>
                <w:sz w:val="20"/>
                <w:szCs w:val="20"/>
                <w:color w:val="auto"/>
              </w:rPr>
            </w:pPr>
            <w:r>
              <w:rPr>
                <w:rFonts w:ascii="Arial" w:cs="Arial" w:eastAsia="Arial" w:hAnsi="Arial"/>
                <w:sz w:val="18"/>
                <w:szCs w:val="18"/>
                <w:color w:val="auto"/>
              </w:rPr>
              <w:t>Wilkes Barre, Pennsylvania 18702</w:t>
            </w:r>
          </w:p>
        </w:tc>
        <w:tc>
          <w:tcPr>
            <w:tcW w:w="3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Wellington Management Company, LLP</w:t>
            </w:r>
          </w:p>
        </w:tc>
        <w:tc>
          <w:tcPr>
            <w:tcW w:w="4780" w:type="dxa"/>
            <w:vAlign w:val="bottom"/>
            <w:gridSpan w:val="3"/>
            <w:shd w:val="clear" w:color="auto" w:fill="CCEEFF"/>
          </w:tcPr>
          <w:p>
            <w:pPr>
              <w:ind w:left="3020"/>
              <w:spacing w:after="0"/>
              <w:rPr>
                <w:sz w:val="20"/>
                <w:szCs w:val="20"/>
                <w:color w:val="auto"/>
              </w:rPr>
            </w:pPr>
            <w:r>
              <w:rPr>
                <w:rFonts w:ascii="Arial" w:cs="Arial" w:eastAsia="Arial" w:hAnsi="Arial"/>
                <w:sz w:val="18"/>
                <w:szCs w:val="18"/>
                <w:color w:val="auto"/>
              </w:rPr>
              <w:t>3,089,500(4)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3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Boston, Massachusetts 02109</w:t>
            </w:r>
          </w:p>
        </w:tc>
        <w:tc>
          <w:tcPr>
            <w:tcW w:w="30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900" w:type="dxa"/>
            <w:vAlign w:val="bottom"/>
            <w:gridSpan w:val="4"/>
          </w:tcPr>
          <w:p>
            <w:pPr>
              <w:spacing w:after="0"/>
              <w:rPr>
                <w:sz w:val="20"/>
                <w:szCs w:val="20"/>
                <w:color w:val="auto"/>
              </w:rPr>
            </w:pPr>
            <w:r>
              <w:rPr>
                <w:rFonts w:ascii="Arial" w:cs="Arial" w:eastAsia="Arial" w:hAnsi="Arial"/>
                <w:sz w:val="18"/>
                <w:szCs w:val="18"/>
                <w:color w:val="auto"/>
              </w:rPr>
              <w:t>Baron Capital Group, Inc.</w:t>
            </w:r>
          </w:p>
        </w:tc>
        <w:tc>
          <w:tcPr>
            <w:tcW w:w="4780" w:type="dxa"/>
            <w:vAlign w:val="bottom"/>
            <w:gridSpan w:val="3"/>
          </w:tcPr>
          <w:p>
            <w:pPr>
              <w:ind w:left="3020"/>
              <w:spacing w:after="0"/>
              <w:rPr>
                <w:sz w:val="20"/>
                <w:szCs w:val="20"/>
                <w:color w:val="auto"/>
              </w:rPr>
            </w:pPr>
            <w:r>
              <w:rPr>
                <w:rFonts w:ascii="Arial" w:cs="Arial" w:eastAsia="Arial" w:hAnsi="Arial"/>
                <w:sz w:val="18"/>
                <w:szCs w:val="18"/>
                <w:color w:val="auto"/>
              </w:rPr>
              <w:t>2,664,856(5)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5900" w:type="dxa"/>
            <w:vAlign w:val="bottom"/>
            <w:gridSpan w:val="4"/>
          </w:tcPr>
          <w:p>
            <w:pPr>
              <w:spacing w:after="0"/>
              <w:rPr>
                <w:sz w:val="20"/>
                <w:szCs w:val="20"/>
                <w:color w:val="auto"/>
              </w:rPr>
            </w:pPr>
            <w:r>
              <w:rPr>
                <w:rFonts w:ascii="Arial" w:cs="Arial" w:eastAsia="Arial" w:hAnsi="Arial"/>
                <w:sz w:val="18"/>
                <w:szCs w:val="18"/>
                <w:color w:val="auto"/>
              </w:rPr>
              <w:t>767 Fifth Avenue</w:t>
            </w:r>
          </w:p>
        </w:tc>
        <w:tc>
          <w:tcPr>
            <w:tcW w:w="3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00" w:type="dxa"/>
            <w:vAlign w:val="bottom"/>
            <w:gridSpan w:val="4"/>
          </w:tcPr>
          <w:p>
            <w:pPr>
              <w:spacing w:after="0"/>
              <w:rPr>
                <w:sz w:val="20"/>
                <w:szCs w:val="20"/>
                <w:color w:val="auto"/>
              </w:rPr>
            </w:pPr>
            <w:r>
              <w:rPr>
                <w:rFonts w:ascii="Arial" w:cs="Arial" w:eastAsia="Arial" w:hAnsi="Arial"/>
                <w:sz w:val="18"/>
                <w:szCs w:val="18"/>
                <w:color w:val="auto"/>
              </w:rPr>
              <w:t>New York, New York 10153</w:t>
            </w:r>
          </w:p>
        </w:tc>
        <w:tc>
          <w:tcPr>
            <w:tcW w:w="3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Century Capital Management LLC</w:t>
            </w:r>
          </w:p>
        </w:tc>
        <w:tc>
          <w:tcPr>
            <w:tcW w:w="4780" w:type="dxa"/>
            <w:vAlign w:val="bottom"/>
            <w:gridSpan w:val="3"/>
            <w:shd w:val="clear" w:color="auto" w:fill="CCEEFF"/>
          </w:tcPr>
          <w:p>
            <w:pPr>
              <w:ind w:left="3020"/>
              <w:spacing w:after="0"/>
              <w:rPr>
                <w:sz w:val="20"/>
                <w:szCs w:val="20"/>
                <w:color w:val="auto"/>
              </w:rPr>
            </w:pPr>
            <w:r>
              <w:rPr>
                <w:rFonts w:ascii="Arial" w:cs="Arial" w:eastAsia="Arial" w:hAnsi="Arial"/>
                <w:sz w:val="18"/>
                <w:szCs w:val="18"/>
                <w:color w:val="auto"/>
              </w:rPr>
              <w:t>1,991,750(6)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 Federal Street</w:t>
            </w:r>
          </w:p>
        </w:tc>
        <w:tc>
          <w:tcPr>
            <w:tcW w:w="3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Boston, Massachusetts 02110</w:t>
            </w:r>
          </w:p>
        </w:tc>
        <w:tc>
          <w:tcPr>
            <w:tcW w:w="30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900" w:type="dxa"/>
            <w:vAlign w:val="bottom"/>
            <w:gridSpan w:val="4"/>
          </w:tcPr>
          <w:p>
            <w:pPr>
              <w:spacing w:after="0"/>
              <w:rPr>
                <w:sz w:val="20"/>
                <w:szCs w:val="20"/>
                <w:color w:val="auto"/>
              </w:rPr>
            </w:pPr>
            <w:r>
              <w:rPr>
                <w:rFonts w:ascii="Arial" w:cs="Arial" w:eastAsia="Arial" w:hAnsi="Arial"/>
                <w:sz w:val="18"/>
                <w:szCs w:val="18"/>
                <w:color w:val="auto"/>
              </w:rPr>
              <w:t>Babson Capital Management LLC.</w:t>
            </w:r>
          </w:p>
        </w:tc>
        <w:tc>
          <w:tcPr>
            <w:tcW w:w="4780" w:type="dxa"/>
            <w:vAlign w:val="bottom"/>
            <w:gridSpan w:val="3"/>
          </w:tcPr>
          <w:p>
            <w:pPr>
              <w:ind w:left="3020"/>
              <w:spacing w:after="0"/>
              <w:rPr>
                <w:sz w:val="20"/>
                <w:szCs w:val="20"/>
                <w:color w:val="auto"/>
              </w:rPr>
            </w:pPr>
            <w:r>
              <w:rPr>
                <w:rFonts w:ascii="Arial" w:cs="Arial" w:eastAsia="Arial" w:hAnsi="Arial"/>
                <w:sz w:val="18"/>
                <w:szCs w:val="18"/>
                <w:color w:val="auto"/>
              </w:rPr>
              <w:t>1,903,471(7)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5900" w:type="dxa"/>
            <w:vAlign w:val="bottom"/>
            <w:gridSpan w:val="4"/>
          </w:tcPr>
          <w:p>
            <w:pPr>
              <w:spacing w:after="0"/>
              <w:rPr>
                <w:sz w:val="20"/>
                <w:szCs w:val="20"/>
                <w:color w:val="auto"/>
              </w:rPr>
            </w:pPr>
            <w:r>
              <w:rPr>
                <w:rFonts w:ascii="Arial" w:cs="Arial" w:eastAsia="Arial" w:hAnsi="Arial"/>
                <w:sz w:val="18"/>
                <w:szCs w:val="18"/>
                <w:color w:val="auto"/>
              </w:rPr>
              <w:t>470 Atlantic Avenue</w:t>
            </w:r>
          </w:p>
        </w:tc>
        <w:tc>
          <w:tcPr>
            <w:tcW w:w="3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00" w:type="dxa"/>
            <w:vAlign w:val="bottom"/>
            <w:gridSpan w:val="4"/>
          </w:tcPr>
          <w:p>
            <w:pPr>
              <w:spacing w:after="0"/>
              <w:rPr>
                <w:sz w:val="20"/>
                <w:szCs w:val="20"/>
                <w:color w:val="auto"/>
              </w:rPr>
            </w:pPr>
            <w:r>
              <w:rPr>
                <w:rFonts w:ascii="Arial" w:cs="Arial" w:eastAsia="Arial" w:hAnsi="Arial"/>
                <w:sz w:val="18"/>
                <w:szCs w:val="18"/>
                <w:color w:val="auto"/>
              </w:rPr>
              <w:t>Boston, Massachusetts 02210</w:t>
            </w:r>
          </w:p>
        </w:tc>
        <w:tc>
          <w:tcPr>
            <w:tcW w:w="3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Glenhill Advisors, LLC</w:t>
            </w:r>
          </w:p>
        </w:tc>
        <w:tc>
          <w:tcPr>
            <w:tcW w:w="4780" w:type="dxa"/>
            <w:vAlign w:val="bottom"/>
            <w:gridSpan w:val="3"/>
            <w:shd w:val="clear" w:color="auto" w:fill="CCEEFF"/>
          </w:tcPr>
          <w:p>
            <w:pPr>
              <w:ind w:left="3020"/>
              <w:spacing w:after="0"/>
              <w:rPr>
                <w:sz w:val="20"/>
                <w:szCs w:val="20"/>
                <w:color w:val="auto"/>
              </w:rPr>
            </w:pPr>
            <w:r>
              <w:rPr>
                <w:rFonts w:ascii="Arial" w:cs="Arial" w:eastAsia="Arial" w:hAnsi="Arial"/>
                <w:sz w:val="18"/>
                <w:szCs w:val="18"/>
                <w:color w:val="auto"/>
              </w:rPr>
              <w:t>1,810,541(8)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598 Madison Avenue, 12th Floor</w:t>
            </w:r>
          </w:p>
        </w:tc>
        <w:tc>
          <w:tcPr>
            <w:tcW w:w="3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 New York 10022</w:t>
            </w:r>
          </w:p>
        </w:tc>
        <w:tc>
          <w:tcPr>
            <w:tcW w:w="30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60" w:hanging="452"/>
        <w:spacing w:after="0" w:line="302"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Beneficial ownership is determined in accordance with the rules of the Securities and Exchange Commission (“SEC”) and generally includes voting or investment power with respect to securities. In computing the number of shares beneficially owned by a person and the percentage ownership of that person, shares of Common Stock subject to options held by that person that are currently exercisable, or that become exercisable within 60 days, are deemed outstanding. Such shares, however, are not deemed outstanding for the purpose of computing the percentage ownership of any other person. Percentage ownership is based on 35,325,672 shares of Common Stock outstanding as of June 5, 2006, plus securities deemed to be outstanding with respect to individual stockholders pursuant to Rule 13d-3(d)(1) under the Securities Exchange Act of 1934, as amended (the “Exchange Act”).</w:t>
      </w:r>
    </w:p>
    <w:p>
      <w:pPr>
        <w:ind w:left="460" w:right="8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received a Schedule 13D dated May 5, 2006, stating that Chilton Investment Company, LLC is the beneficial owner of 7,147,945 shares of the Company’s Common Stock. Includes 697,083 shares that may be issued upon conversion of the Company’s 5% convertible notes due 2024 at a conversion rate of $10.65 per share.</w:t>
      </w:r>
    </w:p>
    <w:p>
      <w:pPr>
        <w:spacing w:after="0" w:line="1"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received Amendment No. 53 to Schedule 13D dated April 17, 2006, stating that Seymour Holtzman is the beneficial owner of 5,873,038 shares of the Company’s Common Stock. Includes 1,690,000 shares subject to options exercisable within 60 days. Includes 80,000 shares subject to warrants exercisable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58" w:lineRule="auto"/>
        <w:rPr>
          <w:sz w:val="20"/>
          <w:szCs w:val="20"/>
          <w:color w:val="auto"/>
        </w:rPr>
      </w:pPr>
      <w:r>
        <w:rPr>
          <w:rFonts w:ascii="Arial" w:cs="Arial" w:eastAsia="Arial" w:hAnsi="Arial"/>
          <w:sz w:val="18"/>
          <w:szCs w:val="18"/>
          <w:color w:val="auto"/>
        </w:rPr>
        <w:t>within 60 days. Includes 147,059 shares subject to warrants held by Jewelcor Management, Inc. (“JMI”) exercisable within 60 days. Mr. Holtzman is the chairman, president and chief executive officer and, indirectly with his wife, the primary shareholder of JMI.</w:t>
      </w:r>
    </w:p>
    <w:p>
      <w:pPr>
        <w:spacing w:after="0" w:line="1" w:lineRule="exact"/>
        <w:rPr>
          <w:sz w:val="20"/>
          <w:szCs w:val="20"/>
          <w:color w:val="auto"/>
        </w:rPr>
      </w:pPr>
    </w:p>
    <w:p>
      <w:pPr>
        <w:ind w:left="460" w:right="14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received Form 13F dated March 31, 2006, stating that Wellington Management Company, LLP was the beneficial owner of the number of shares of Common Stock set forth opposite its name in the table.</w:t>
      </w:r>
    </w:p>
    <w:p>
      <w:pPr>
        <w:ind w:left="460" w:hanging="452"/>
        <w:spacing w:after="0" w:line="300"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Company has received Amendment No. 3 to Schedule 13G dated February 13, 2006, stating that Baron Capital Group, Inc. was the beneficial owner of the number of shares of Common Stock set forth opposite its name in the table. Includes 1,507,353 shares subject to warrants exercisable within 60 days.</w:t>
      </w:r>
    </w:p>
    <w:p>
      <w:pPr>
        <w:ind w:left="460" w:right="3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received Form 13F dated March 31, 2006, stating that Century Capital Management LLC was the beneficial owner of the number of shares of Common Stock set forth opposite its name in the table.</w:t>
      </w:r>
    </w:p>
    <w:p>
      <w:pPr>
        <w:ind w:left="460" w:right="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received Schedule 13G dated December 31, 2005, stating that Babson Capital Management LLC was the beneficial owner of the number of shares of Common Stock set forth opposite its name in the table.</w:t>
      </w:r>
    </w:p>
    <w:p>
      <w:pPr>
        <w:ind w:left="460" w:right="46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received Form 13F dated March 31, 2006, stating that Glenhill Advisors, LLC was the beneficial owner of the number of shares of Common Stock set forth opposite its name in the 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table sets forth certain information as of June 5, 2006, with respect to the directors of the Company, the Named Executive Officers (as defined below under “Executive Compensation”) and the directors and executive officers of the Company as a group. Except as indicated, each person has sole voting and investment power with respect to all shares of Common Stock shown as beneficially owned by such person, subject to community property laws where applicable.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74"/>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Name and Title</w:t>
            </w:r>
          </w:p>
        </w:tc>
        <w:tc>
          <w:tcPr>
            <w:tcW w:w="2220" w:type="dxa"/>
            <w:vAlign w:val="bottom"/>
          </w:tcPr>
          <w:p>
            <w:pPr>
              <w:spacing w:after="0"/>
              <w:rPr>
                <w:sz w:val="15"/>
                <w:szCs w:val="15"/>
                <w:color w:val="auto"/>
              </w:rPr>
            </w:pPr>
          </w:p>
        </w:tc>
        <w:tc>
          <w:tcPr>
            <w:tcW w:w="18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9"/>
              </w:rPr>
              <w:t>Owned</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Class(1)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4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406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5,873,038(2)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of the Board and Director</w:t>
            </w:r>
          </w:p>
        </w:tc>
        <w:tc>
          <w:tcPr>
            <w:tcW w:w="2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4060" w:type="dxa"/>
            <w:vAlign w:val="bottom"/>
            <w:gridSpan w:val="3"/>
          </w:tcPr>
          <w:p>
            <w:pPr>
              <w:jc w:val="right"/>
              <w:ind w:right="940"/>
              <w:spacing w:after="0"/>
              <w:rPr>
                <w:sz w:val="20"/>
                <w:szCs w:val="20"/>
                <w:color w:val="auto"/>
              </w:rPr>
            </w:pPr>
            <w:r>
              <w:rPr>
                <w:rFonts w:ascii="Arial" w:cs="Arial" w:eastAsia="Arial" w:hAnsi="Arial"/>
                <w:sz w:val="18"/>
                <w:szCs w:val="18"/>
                <w:color w:val="auto"/>
              </w:rPr>
              <w:t>1,132,806(3)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President and Director</w:t>
            </w:r>
          </w:p>
        </w:tc>
        <w:tc>
          <w:tcPr>
            <w:tcW w:w="2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406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567,200(4)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Executive Vice President,</w:t>
            </w: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 and Treasurer</w:t>
            </w:r>
          </w:p>
        </w:tc>
        <w:tc>
          <w:tcPr>
            <w:tcW w:w="2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Linda B. Carlo</w:t>
            </w:r>
          </w:p>
        </w:tc>
        <w:tc>
          <w:tcPr>
            <w:tcW w:w="4060" w:type="dxa"/>
            <w:vAlign w:val="bottom"/>
            <w:gridSpan w:val="3"/>
          </w:tcPr>
          <w:p>
            <w:pPr>
              <w:jc w:val="right"/>
              <w:ind w:right="940"/>
              <w:spacing w:after="0"/>
              <w:rPr>
                <w:sz w:val="20"/>
                <w:szCs w:val="20"/>
                <w:color w:val="auto"/>
              </w:rPr>
            </w:pPr>
            <w:r>
              <w:rPr>
                <w:rFonts w:ascii="Arial" w:cs="Arial" w:eastAsia="Arial" w:hAnsi="Arial"/>
                <w:sz w:val="18"/>
                <w:szCs w:val="18"/>
                <w:color w:val="auto"/>
              </w:rPr>
              <w:t>77,000(5)</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of Business Development</w:t>
            </w:r>
          </w:p>
        </w:tc>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&amp; Direct-to-Consumer</w:t>
            </w:r>
          </w:p>
        </w:tc>
        <w:tc>
          <w:tcPr>
            <w:tcW w:w="2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H. Cornely III</w:t>
            </w:r>
          </w:p>
        </w:tc>
        <w:tc>
          <w:tcPr>
            <w:tcW w:w="406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50,000(6)</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Director of Store Development</w:t>
            </w:r>
          </w:p>
        </w:tc>
        <w:tc>
          <w:tcPr>
            <w:tcW w:w="2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Robert L. Sockolov</w:t>
            </w:r>
          </w:p>
        </w:tc>
        <w:tc>
          <w:tcPr>
            <w:tcW w:w="4060" w:type="dxa"/>
            <w:vAlign w:val="bottom"/>
            <w:gridSpan w:val="3"/>
          </w:tcPr>
          <w:p>
            <w:pPr>
              <w:jc w:val="right"/>
              <w:ind w:right="940"/>
              <w:spacing w:after="0"/>
              <w:rPr>
                <w:sz w:val="20"/>
                <w:szCs w:val="20"/>
                <w:color w:val="auto"/>
              </w:rPr>
            </w:pPr>
            <w:r>
              <w:rPr>
                <w:rFonts w:ascii="Arial" w:cs="Arial" w:eastAsia="Arial" w:hAnsi="Arial"/>
                <w:sz w:val="18"/>
                <w:szCs w:val="18"/>
                <w:color w:val="auto"/>
              </w:rPr>
              <w:t>177,000(7)</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of Rochester division and Director</w:t>
            </w:r>
          </w:p>
        </w:tc>
        <w:tc>
          <w:tcPr>
            <w:tcW w:w="2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 Director</w:t>
            </w:r>
          </w:p>
        </w:tc>
        <w:tc>
          <w:tcPr>
            <w:tcW w:w="406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77,735(8)</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Jesse Choper, Director</w:t>
            </w:r>
          </w:p>
        </w:tc>
        <w:tc>
          <w:tcPr>
            <w:tcW w:w="4060" w:type="dxa"/>
            <w:vAlign w:val="bottom"/>
            <w:gridSpan w:val="3"/>
          </w:tcPr>
          <w:p>
            <w:pPr>
              <w:jc w:val="right"/>
              <w:ind w:right="940"/>
              <w:spacing w:after="0"/>
              <w:rPr>
                <w:sz w:val="20"/>
                <w:szCs w:val="20"/>
                <w:color w:val="auto"/>
              </w:rPr>
            </w:pPr>
            <w:r>
              <w:rPr>
                <w:rFonts w:ascii="Arial" w:cs="Arial" w:eastAsia="Arial" w:hAnsi="Arial"/>
                <w:sz w:val="18"/>
                <w:szCs w:val="18"/>
                <w:color w:val="auto"/>
              </w:rPr>
              <w:t>158,765(9)</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Frain, Director(10)</w:t>
            </w:r>
          </w:p>
        </w:tc>
        <w:tc>
          <w:tcPr>
            <w:tcW w:w="40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48,435(11)</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Ward K. Mooney, Nominee for Director(12)</w:t>
            </w:r>
          </w:p>
        </w:tc>
        <w:tc>
          <w:tcPr>
            <w:tcW w:w="2220" w:type="dxa"/>
            <w:vAlign w:val="bottom"/>
          </w:tcPr>
          <w:p>
            <w:pPr>
              <w:spacing w:after="0"/>
              <w:rPr>
                <w:sz w:val="18"/>
                <w:szCs w:val="18"/>
                <w:color w:val="auto"/>
              </w:rPr>
            </w:pPr>
          </w:p>
        </w:tc>
        <w:tc>
          <w:tcPr>
            <w:tcW w:w="1840" w:type="dxa"/>
            <w:vAlign w:val="bottom"/>
            <w:gridSpan w:val="2"/>
          </w:tcPr>
          <w:p>
            <w:pPr>
              <w:jc w:val="right"/>
              <w:ind w:right="1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 Director</w:t>
            </w:r>
          </w:p>
        </w:tc>
        <w:tc>
          <w:tcPr>
            <w:tcW w:w="40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139,673(13)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 group (11 persons)</w:t>
            </w:r>
          </w:p>
        </w:tc>
        <w:tc>
          <w:tcPr>
            <w:tcW w:w="4060" w:type="dxa"/>
            <w:vAlign w:val="bottom"/>
            <w:gridSpan w:val="3"/>
          </w:tcPr>
          <w:p>
            <w:pPr>
              <w:jc w:val="right"/>
              <w:ind w:right="840"/>
              <w:spacing w:after="0"/>
              <w:rPr>
                <w:sz w:val="20"/>
                <w:szCs w:val="20"/>
                <w:color w:val="auto"/>
              </w:rPr>
            </w:pPr>
            <w:r>
              <w:rPr>
                <w:rFonts w:ascii="Arial" w:cs="Arial" w:eastAsia="Arial" w:hAnsi="Arial"/>
                <w:sz w:val="18"/>
                <w:szCs w:val="18"/>
                <w:color w:val="auto"/>
              </w:rPr>
              <w:t>8,301,652(14)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2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In computing the number of shares beneficially owned by 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86" w:lineRule="auto"/>
        <w:rPr>
          <w:sz w:val="20"/>
          <w:szCs w:val="20"/>
          <w:color w:val="auto"/>
        </w:rPr>
      </w:pPr>
      <w:r>
        <w:rPr>
          <w:rFonts w:ascii="Arial" w:cs="Arial" w:eastAsia="Arial" w:hAnsi="Arial"/>
          <w:sz w:val="16"/>
          <w:szCs w:val="16"/>
          <w:color w:val="auto"/>
        </w:rPr>
        <w:t>person and the percentage ownership of that person, shares of Common Stock subject to options held by that person that are currently exercisable, or that become exercisable within 60 days, are deemed outstanding. Such shares, however, are not deemed outstanding for the purpose of computing the percentage ownership of any other person. Percentage ownership is based on 35,325,672 shares of Common Stock outstanding as of June 5, 2006, plus securities deemed to be outstanding with respect to individual stockholders pursuant to Rule 13d-3(d)(1) under the Exchange Act.</w:t>
      </w:r>
    </w:p>
    <w:p>
      <w:pPr>
        <w:spacing w:after="0" w:line="1" w:lineRule="exact"/>
        <w:rPr>
          <w:sz w:val="20"/>
          <w:szCs w:val="20"/>
          <w:color w:val="auto"/>
        </w:rPr>
      </w:pPr>
    </w:p>
    <w:p>
      <w:pPr>
        <w:ind w:left="460" w:hanging="452"/>
        <w:spacing w:after="0" w:line="252"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Holtzman may be deemed to have shared voting and investment power over 5,873,038 shares of Common Stock, which includes 147,059 shares subject to warrants exercisable within 60 days beneficially owned by JMI, of which Mr. Holtzman is the chairman, president and chief executive officer and indirectly, with his wife, the primary shareholder. Includes 1,690,000 shares subject to stock options and 80,000 shares subject to warrants, in each case exercisable within 60 days.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925,000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515,000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75,000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50,000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150,000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64,000 shares subject to stock options exercisable within 60 days and 4,000 shares subject to warrants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105,000 shares subject to stock options exercisable within 60 days.</w:t>
      </w:r>
    </w:p>
    <w:p>
      <w:pPr>
        <w:spacing w:after="0" w:line="9" w:lineRule="exact"/>
        <w:rPr>
          <w:rFonts w:ascii="Arial" w:cs="Arial" w:eastAsia="Arial" w:hAnsi="Arial"/>
          <w:sz w:val="18"/>
          <w:szCs w:val="18"/>
          <w:color w:val="auto"/>
        </w:rPr>
      </w:pPr>
    </w:p>
    <w:p>
      <w:pPr>
        <w:ind w:left="460" w:right="20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April 25, 2006, Mr. Frain, whose term expires at the Annual Meeting, informed the Company that he would not stand for re-election as a director. His decision not to stand for re-election was not due to any disagreement on any matters relating to the Company’s operations, policies or procedures.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45,000 shares subject to stock options exercisable within 60 days.</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Mooney is being nominated for election as a director at the 2006 Annual Meeting of Stockholders. Mr. Mooney is not currently an officer or director of the Company.</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75,000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3,694,000 shares subject to stock options and 231,059 shares subject to warrants exercisable within 60 days.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Board of Directors, in accordance with the By-Laws of the Company, as amended (the “By-Laws”), has set the number of members of the Company’s Board of Directors at nine. At the Annual Meeting seven nominees are to be elected to serve on the Board until the 2007 Annual Meeting of Stockholders and until their respective successors have been duly elected and qualified (leaving two vacancies). All of the nominees (other than Ward K. Mooney) currently serve as members of the Board of Directors of the Company. Unless a proxy shall specify that it is not to be voted for a nominee, it is intended that the shares represented by each duly executed and returned proxy will be voted in favor of the election as directors of Seymour Holtzman, David A. Levin, Alan S. Bernikow, Jesse Choper, Ward K. Mooney, George T. Porter Jr., and Robert L. Sockolov. The Board of Directors does not intend to nominate individuals to fill the two vacancies at this time, although, in accordance with the Company’s By-Laws, new directors could be named at a later date following the Annual Meeting. Any such director would serve on the Board until the 2007 Annual Meeting and until his or her successor has been duly elected and qualified. Although management expects all nominees to accept nomination and to serve if elected, proxies will be voted for a substitute if a nominee is unable or unwilling to accept nomination or election. Cumulative voting is not permitted.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unanimously recommends that you vote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seven individuals named below as directors of the Company.</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Set forth below is certain information regarding the Company’s nominees for directors, including information furnished by them as to their principal occupations and business experience for the past five years, certain directorships held by each director, their respective ages as of June 15, 2006 and the year in which each became a director of the Company: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74"/>
        </w:trPr>
        <w:tc>
          <w:tcPr>
            <w:tcW w:w="44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5"/>
              </w:rPr>
              <w:t>Age</w:t>
            </w:r>
          </w:p>
        </w:tc>
        <w:tc>
          <w:tcPr>
            <w:tcW w:w="2660" w:type="dxa"/>
            <w:vAlign w:val="bottom"/>
          </w:tcPr>
          <w:p>
            <w:pPr>
              <w:spacing w:after="0"/>
              <w:rPr>
                <w:sz w:val="15"/>
                <w:szCs w:val="15"/>
                <w:color w:val="auto"/>
              </w:rPr>
            </w:pPr>
          </w:p>
        </w:tc>
        <w:tc>
          <w:tcPr>
            <w:tcW w:w="3460" w:type="dxa"/>
            <w:vAlign w:val="bottom"/>
            <w:gridSpan w:val="2"/>
          </w:tcPr>
          <w:p>
            <w:pPr>
              <w:ind w:left="120"/>
              <w:spacing w:after="0"/>
              <w:rPr>
                <w:sz w:val="20"/>
                <w:szCs w:val="20"/>
                <w:color w:val="auto"/>
              </w:rPr>
            </w:pPr>
            <w:r>
              <w:rPr>
                <w:rFonts w:ascii="Arial" w:cs="Arial" w:eastAsia="Arial" w:hAnsi="Arial"/>
                <w:sz w:val="14"/>
                <w:szCs w:val="14"/>
                <w:b w:val="1"/>
                <w:bCs w:val="1"/>
                <w:color w:val="auto"/>
              </w:rPr>
              <w:t>Position</w:t>
            </w: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70</w:t>
            </w:r>
          </w:p>
        </w:tc>
        <w:tc>
          <w:tcPr>
            <w:tcW w:w="6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Chairman of the Board and Director(1)</w:t>
            </w:r>
          </w:p>
        </w:tc>
        <w:tc>
          <w:tcPr>
            <w:tcW w:w="520" w:type="dxa"/>
            <w:vAlign w:val="bottom"/>
            <w:shd w:val="clear" w:color="auto" w:fill="CCEEFF"/>
          </w:tcPr>
          <w:p>
            <w:pPr>
              <w:jc w:val="center"/>
              <w:ind w:left="77"/>
              <w:spacing w:after="0"/>
              <w:rPr>
                <w:sz w:val="20"/>
                <w:szCs w:val="20"/>
                <w:color w:val="auto"/>
              </w:rPr>
            </w:pPr>
            <w:r>
              <w:rPr>
                <w:rFonts w:ascii="Arial" w:cs="Arial" w:eastAsia="Arial" w:hAnsi="Arial"/>
                <w:sz w:val="18"/>
                <w:szCs w:val="18"/>
                <w:color w:val="auto"/>
                <w:w w:val="89"/>
              </w:rPr>
              <w:t>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55</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520" w:type="dxa"/>
            <w:vAlign w:val="bottom"/>
          </w:tcPr>
          <w:p>
            <w:pPr>
              <w:jc w:val="center"/>
              <w:ind w:left="77"/>
              <w:spacing w:after="0"/>
              <w:rPr>
                <w:sz w:val="20"/>
                <w:szCs w:val="20"/>
                <w:color w:val="auto"/>
              </w:rPr>
            </w:pPr>
            <w:r>
              <w:rPr>
                <w:rFonts w:ascii="Arial" w:cs="Arial" w:eastAsia="Arial" w:hAnsi="Arial"/>
                <w:sz w:val="18"/>
                <w:szCs w:val="18"/>
                <w:color w:val="auto"/>
                <w:w w:val="89"/>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Alan S. Bernikow</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65</w:t>
            </w:r>
          </w:p>
        </w:tc>
        <w:tc>
          <w:tcPr>
            <w:tcW w:w="6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Director(2), (3)</w:t>
            </w:r>
          </w:p>
        </w:tc>
        <w:tc>
          <w:tcPr>
            <w:tcW w:w="520" w:type="dxa"/>
            <w:vAlign w:val="bottom"/>
            <w:shd w:val="clear" w:color="auto" w:fill="CCEEFF"/>
          </w:tcPr>
          <w:p>
            <w:pPr>
              <w:jc w:val="center"/>
              <w:ind w:left="77"/>
              <w:spacing w:after="0"/>
              <w:rPr>
                <w:sz w:val="20"/>
                <w:szCs w:val="20"/>
                <w:color w:val="auto"/>
              </w:rPr>
            </w:pPr>
            <w:r>
              <w:rPr>
                <w:rFonts w:ascii="Arial" w:cs="Arial" w:eastAsia="Arial" w:hAnsi="Arial"/>
                <w:sz w:val="18"/>
                <w:szCs w:val="18"/>
                <w:color w:val="auto"/>
                <w:w w:val="89"/>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Jesse Choper</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70</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Director(2), (3), (4)</w:t>
            </w:r>
          </w:p>
        </w:tc>
        <w:tc>
          <w:tcPr>
            <w:tcW w:w="520" w:type="dxa"/>
            <w:vAlign w:val="bottom"/>
          </w:tcPr>
          <w:p>
            <w:pPr>
              <w:jc w:val="center"/>
              <w:ind w:left="77"/>
              <w:spacing w:after="0"/>
              <w:rPr>
                <w:sz w:val="20"/>
                <w:szCs w:val="20"/>
                <w:color w:val="auto"/>
              </w:rPr>
            </w:pPr>
            <w:r>
              <w:rPr>
                <w:rFonts w:ascii="Arial" w:cs="Arial" w:eastAsia="Arial" w:hAnsi="Arial"/>
                <w:sz w:val="18"/>
                <w:szCs w:val="18"/>
                <w:color w:val="auto"/>
                <w:w w:val="89"/>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Ward K. Mooney(5)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57</w:t>
            </w:r>
          </w:p>
        </w:tc>
        <w:tc>
          <w:tcPr>
            <w:tcW w:w="6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Nominee for Director</w:t>
            </w:r>
          </w:p>
        </w:tc>
        <w:tc>
          <w:tcPr>
            <w:tcW w:w="520" w:type="dxa"/>
            <w:vAlign w:val="bottom"/>
            <w:shd w:val="clear" w:color="auto" w:fill="CCEEFF"/>
          </w:tcPr>
          <w:p>
            <w:pPr>
              <w:jc w:val="center"/>
              <w:ind w:left="97"/>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George T. Porter, Jr.</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59</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Director(2), (4)</w:t>
            </w:r>
          </w:p>
        </w:tc>
        <w:tc>
          <w:tcPr>
            <w:tcW w:w="520" w:type="dxa"/>
            <w:vAlign w:val="bottom"/>
          </w:tcPr>
          <w:p>
            <w:pPr>
              <w:jc w:val="center"/>
              <w:ind w:left="77"/>
              <w:spacing w:after="0"/>
              <w:rPr>
                <w:sz w:val="20"/>
                <w:szCs w:val="20"/>
                <w:color w:val="auto"/>
              </w:rPr>
            </w:pPr>
            <w:r>
              <w:rPr>
                <w:rFonts w:ascii="Arial" w:cs="Arial" w:eastAsia="Arial" w:hAnsi="Arial"/>
                <w:sz w:val="18"/>
                <w:szCs w:val="18"/>
                <w:color w:val="auto"/>
                <w:w w:val="89"/>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L. Sockolov</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75</w:t>
            </w:r>
          </w:p>
        </w:tc>
        <w:tc>
          <w:tcPr>
            <w:tcW w:w="6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 Chief Executive Officer of the Rochester Big &amp; Tall division</w:t>
            </w:r>
          </w:p>
        </w:tc>
        <w:tc>
          <w:tcPr>
            <w:tcW w:w="520" w:type="dxa"/>
            <w:vAlign w:val="bottom"/>
            <w:shd w:val="clear" w:color="auto" w:fill="CCEEFF"/>
          </w:tcPr>
          <w:p>
            <w:pPr>
              <w:jc w:val="center"/>
              <w:ind w:left="77"/>
              <w:spacing w:after="0"/>
              <w:rPr>
                <w:sz w:val="20"/>
                <w:szCs w:val="20"/>
                <w:color w:val="auto"/>
              </w:rPr>
            </w:pPr>
            <w:r>
              <w:rPr>
                <w:rFonts w:ascii="Arial" w:cs="Arial" w:eastAsia="Arial" w:hAnsi="Arial"/>
                <w:sz w:val="18"/>
                <w:szCs w:val="18"/>
                <w:color w:val="auto"/>
                <w:w w:val="89"/>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member of the Investors Relations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9" w:lineRule="exact"/>
        <w:rPr>
          <w:rFonts w:ascii="Arial" w:cs="Arial" w:eastAsia="Arial" w:hAnsi="Arial"/>
          <w:sz w:val="18"/>
          <w:szCs w:val="18"/>
          <w:color w:val="auto"/>
        </w:rPr>
      </w:pPr>
    </w:p>
    <w:p>
      <w:pPr>
        <w:ind w:left="460" w:right="42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Nominating and Corporate Governance Committee recommended and the Board of Directors approved Mr. Mooney as a nominee for director on June 6, 2006.</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Seymour Holtzman</w:t>
      </w:r>
      <w:r>
        <w:rPr>
          <w:rFonts w:ascii="Arial" w:cs="Arial" w:eastAsia="Arial" w:hAnsi="Arial"/>
          <w:sz w:val="16"/>
          <w:szCs w:val="16"/>
          <w:color w:val="auto"/>
        </w:rPr>
        <w:t>, has been a director of the Company since April 7, 2000 and Chairman of the Board since April 11, 2000. On May 25, 2001,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the Company hired Mr. Holtzman as an officer and an employee of the Company. Mr. Holtzman has been involved in the retail business for over 30 years. For many years, he has been the President and Chief Executive Officer of Jewelcor, Inc., a former New York Stock Exchange listed company that operated a chain of retail stores. From 1986 to 1988, Mr. Holtzman was Chairman of the Board and Chief Executive Officer of Gruen Marketing Corporation, an American Stock Exchange listed company involved in the nationwide distribution of watches. For at least the last five years, Mr. Holtzman has served as Chairman and Chief Executive Officer of each of Jewelcor Management, Inc., a company primarily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involved in investment and management services; C.D. Peacock, Inc., a Chicago, Illinois retail jewelry establishment; and S.A. Peck &amp; Company, a retail and mail order jewelry company based in Chicago, Illinois. Mr. Holtzman is currently the Chief Executive Officer and Co-Chairman of the Board of George Foreman Enterprises, Inc. (OTCBB: “GFME.OB”), formerly MM Companies, Inc.; Chairman of the Board of Web.com, Inc. (NASDAQ: “WWWW”), formerly Interland, Inc.; and a member of the Board of Directors of Whitehall Jewellers, Inc. (OTC: “JWLR.PK”). Mr. Holtzman is a well-known shareholder activist who specializes in the banking industry and the retail industry.</w:t>
      </w:r>
    </w:p>
    <w:p>
      <w:pPr>
        <w:spacing w:after="0" w:line="129"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President and Chief Executive Officer of the Company since April 10, 2000 and a director of the Company since April 11, 2000. From</w:t>
      </w:r>
      <w:r>
        <w:rPr>
          <w:rFonts w:ascii="Arial" w:cs="Arial" w:eastAsia="Arial" w:hAnsi="Arial"/>
          <w:sz w:val="16"/>
          <w:szCs w:val="16"/>
          <w:i w:val="1"/>
          <w:iCs w:val="1"/>
          <w:color w:val="auto"/>
        </w:rPr>
        <w:t xml:space="preserve"> </w:t>
      </w:r>
      <w:r>
        <w:rPr>
          <w:rFonts w:ascii="Arial" w:cs="Arial" w:eastAsia="Arial" w:hAnsi="Arial"/>
          <w:sz w:val="16"/>
          <w:szCs w:val="16"/>
          <w:color w:val="auto"/>
        </w:rPr>
        <w:t>1999 to 2000, he served as the 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w:t>
      </w:r>
    </w:p>
    <w:p>
      <w:pPr>
        <w:spacing w:after="0" w:line="99"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of the Company since June 29, 2003. From 1998 until his retirement in May 2003, Mr. Bernikow was the Deputy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at Deloitte &amp; Touche LLP where he was responsible for assisting the firm on special projects such as firm mergers and acquisitions, litigation matters and partner affairs. Mr. Bernikow joined Touche Ross, the predecessor firm of Deloitte &amp; Touche LLP, in 1977, prior to which Mr. Bernikow was the National Administrative Partner in Charge for the accounting firm of J.K. Lasser &amp; Company. Mr. Bernikow is a member of the Board of Directors and Chairman of the Audit Committee of Revlon, Inc.; a member of the Board of Directors of Revlon Consumer Products Corporations; a member of the Board of Directors and Chairman of the Audit Committee of Mack-Cali; a member of the Board of Directors and Chairman of the Audit Committee of UBS Global Asset Management Inc., a wholly owned subsidiary of UBS AG; a member of the Board of Directors and Chairman of the Audit Committee of the FOJP Service Corporation; a member of the Board of Trustees for the Jewish Communal Fund; a member of the Board of Directors and Chairman of the Audit Committee of Saint Vincent Catholic Medical Centers; and a member of the Executive Board for The Sass Foundation Medical Research, Inc.</w:t>
      </w:r>
    </w:p>
    <w:p>
      <w:pPr>
        <w:spacing w:after="0" w:line="10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Jesse Choper </w:t>
      </w:r>
      <w:r>
        <w:rPr>
          <w:rFonts w:ascii="Arial" w:cs="Arial" w:eastAsia="Arial" w:hAnsi="Arial"/>
          <w:sz w:val="16"/>
          <w:szCs w:val="16"/>
          <w:color w:val="auto"/>
        </w:rPr>
        <w:t>has been a director of the Company since October 8, 1999. Mr. Choper is the Earl Warren Professor of Public Law at the University of California at</w:t>
      </w:r>
      <w:r>
        <w:rPr>
          <w:rFonts w:ascii="Arial" w:cs="Arial" w:eastAsia="Arial" w:hAnsi="Arial"/>
          <w:sz w:val="16"/>
          <w:szCs w:val="16"/>
          <w:i w:val="1"/>
          <w:iCs w:val="1"/>
          <w:color w:val="auto"/>
        </w:rPr>
        <w:t xml:space="preserve"> </w:t>
      </w:r>
      <w:r>
        <w:rPr>
          <w:rFonts w:ascii="Arial" w:cs="Arial" w:eastAsia="Arial" w:hAnsi="Arial"/>
          <w:sz w:val="16"/>
          <w:szCs w:val="16"/>
          <w:color w:val="auto"/>
        </w:rPr>
        <w:t>Berkeley School of Law, where he has taught since 1965. From 1960 to 1961, Professor Choper was a law clerk for Supreme Court Chief Justice Earl Warren. Mr. Choper is a member of the Board of Directors of George Foreman Enterprises, Inc. (OTCBB: “GFME.OB”)</w:t>
      </w:r>
    </w:p>
    <w:p>
      <w:pPr>
        <w:spacing w:after="0" w:line="93"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Ward K. Mooney </w:t>
      </w:r>
      <w:r>
        <w:rPr>
          <w:rFonts w:ascii="Arial" w:cs="Arial" w:eastAsia="Arial" w:hAnsi="Arial"/>
          <w:sz w:val="16"/>
          <w:szCs w:val="16"/>
          <w:color w:val="auto"/>
        </w:rPr>
        <w:t>was approved by the Board of Directors on June 6, 2006 as a nominee for director. Since 2005, Mr. Mooney has been the Executive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Crystal Capital Fund. Prior to that, Mr. Mooney was the President of Bank of America Retail Finance Group and Chief Operating Officer of Back Bay Capital, both of which were formerly Bank of Boston businesses which Mr. Mooney founded. Mr. Mooney currently serves on the executive committee of the Turnaround Management Association and serves on the board of advisors of the business school at Elon University, as well as the American Repertory Theatre.</w:t>
      </w:r>
    </w:p>
    <w:p>
      <w:pPr>
        <w:spacing w:after="0" w:line="9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George T. Porter</w:t>
      </w:r>
      <w:r>
        <w:rPr>
          <w:rFonts w:ascii="Arial" w:cs="Arial" w:eastAsia="Arial" w:hAnsi="Arial"/>
          <w:sz w:val="18"/>
          <w:szCs w:val="18"/>
          <w:color w:val="auto"/>
        </w:rPr>
        <w:t>,</w:t>
      </w:r>
      <w:r>
        <w:rPr>
          <w:rFonts w:ascii="Arial" w:cs="Arial" w:eastAsia="Arial" w:hAnsi="Arial"/>
          <w:sz w:val="18"/>
          <w:szCs w:val="18"/>
          <w:i w:val="1"/>
          <w:iCs w:val="1"/>
          <w:color w:val="auto"/>
        </w:rPr>
        <w:t xml:space="preserve"> Jr</w:t>
      </w:r>
      <w:r>
        <w:rPr>
          <w:rFonts w:ascii="Arial" w:cs="Arial" w:eastAsia="Arial" w:hAnsi="Arial"/>
          <w:sz w:val="18"/>
          <w:szCs w:val="18"/>
          <w:color w:val="auto"/>
        </w:rPr>
        <w:t>. has been a director of the Company since October 28, 1999. Mr. Porter was President of Levi’s USA for Levi Strauss &amp; Co. from 1994 to</w:t>
      </w:r>
      <w:r>
        <w:rPr>
          <w:rFonts w:ascii="Arial" w:cs="Arial" w:eastAsia="Arial" w:hAnsi="Arial"/>
          <w:sz w:val="18"/>
          <w:szCs w:val="18"/>
          <w:i w:val="1"/>
          <w:iCs w:val="1"/>
          <w:color w:val="auto"/>
        </w:rPr>
        <w:t xml:space="preserve"> </w:t>
      </w:r>
      <w:r>
        <w:rPr>
          <w:rFonts w:ascii="Arial" w:cs="Arial" w:eastAsia="Arial" w:hAnsi="Arial"/>
          <w:sz w:val="18"/>
          <w:szCs w:val="18"/>
          <w:color w:val="auto"/>
        </w:rPr>
        <w:t>1997. Beginning in 1974, Mr. Porter held various positions at Levi Strauss &amp; Co., including President of Levi’s Men’s Jeans Division. Mr. Porter was also Corporate Vice President and General Manager of Nike USA from 1997 to 1998.</w:t>
      </w:r>
    </w:p>
    <w:p>
      <w:pPr>
        <w:spacing w:after="0" w:line="12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i w:val="1"/>
          <w:iCs w:val="1"/>
          <w:color w:val="auto"/>
        </w:rPr>
        <w:t xml:space="preserve">Robert L. Sockolov </w:t>
      </w:r>
      <w:r>
        <w:rPr>
          <w:rFonts w:ascii="Arial" w:cs="Arial" w:eastAsia="Arial" w:hAnsi="Arial"/>
          <w:sz w:val="16"/>
          <w:szCs w:val="16"/>
          <w:color w:val="auto"/>
        </w:rPr>
        <w:t>has been a director of the Company since October 27, 2004. In connection with the Company’s acquisition of Rochester Big &amp; Tall Clothing</w:t>
      </w:r>
      <w:r>
        <w:rPr>
          <w:rFonts w:ascii="Arial" w:cs="Arial" w:eastAsia="Arial" w:hAnsi="Arial"/>
          <w:sz w:val="16"/>
          <w:szCs w:val="16"/>
          <w:i w:val="1"/>
          <w:iCs w:val="1"/>
          <w:color w:val="auto"/>
        </w:rPr>
        <w:t xml:space="preserve"> </w:t>
      </w:r>
      <w:r>
        <w:rPr>
          <w:rFonts w:ascii="Arial" w:cs="Arial" w:eastAsia="Arial" w:hAnsi="Arial"/>
          <w:sz w:val="16"/>
          <w:szCs w:val="16"/>
          <w:color w:val="auto"/>
        </w:rPr>
        <w:t>(“Rochester”), Mr. Sockolov was appointed a director of the Company and also appointed Chief Executive Officer of the Rochester division. Prior to joining the Company, Mr. Sockolov had been with Rochester since 1951 and, since 1967, was Rochester’s President and Chief Executive Officer.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Non-Director Executive Officers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Dennis R. Hernreich</w:t>
      </w:r>
      <w:r>
        <w:rPr>
          <w:rFonts w:ascii="Arial" w:cs="Arial" w:eastAsia="Arial" w:hAnsi="Arial"/>
          <w:sz w:val="16"/>
          <w:szCs w:val="16"/>
          <w:color w:val="auto"/>
        </w:rPr>
        <w:t>, 50, has been Executive Vice President, Chief Operating Officer and Chief Financial Officer of the Company since September 2002.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that, Mr. Hernreich served as the Senior Vice President, Chief Financial Officer and Treasurer upon joining the Company on September 5, 2000. Prior to joining the Company, from 1996 through 1999, Mr. Hernreich held the position of Senior Vice President and Chief Financial Officer of Loehmann’s Inc., a national retailer of women’s apparel. From 1999 to August 2000, Mr. Hernreich was Senior Vice President and Chief Financial Officer of Pennsylvania Fashions, Inc., a 275-store retail outlet chain operating under the name Rue 21.</w:t>
      </w:r>
    </w:p>
    <w:p>
      <w:pPr>
        <w:spacing w:after="0" w:line="102"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Linda B. Carlo</w:t>
      </w:r>
      <w:r>
        <w:rPr>
          <w:rFonts w:ascii="Arial" w:cs="Arial" w:eastAsia="Arial" w:hAnsi="Arial"/>
          <w:sz w:val="16"/>
          <w:szCs w:val="16"/>
          <w:color w:val="auto"/>
        </w:rPr>
        <w:t>, 59, has been the Executive Vice President of Business Development &amp; Direct to Consumer since June 2005. From August 2003 through June</w:t>
      </w:r>
      <w:r>
        <w:rPr>
          <w:rFonts w:ascii="Arial" w:cs="Arial" w:eastAsia="Arial" w:hAnsi="Arial"/>
          <w:sz w:val="16"/>
          <w:szCs w:val="16"/>
          <w:i w:val="1"/>
          <w:iCs w:val="1"/>
          <w:color w:val="auto"/>
        </w:rPr>
        <w:t xml:space="preserve"> </w:t>
      </w:r>
      <w:r>
        <w:rPr>
          <w:rFonts w:ascii="Arial" w:cs="Arial" w:eastAsia="Arial" w:hAnsi="Arial"/>
          <w:sz w:val="16"/>
          <w:szCs w:val="16"/>
          <w:color w:val="auto"/>
        </w:rPr>
        <w:t>2005, Ms. Carlo was the Executive Vice President, General Merchandise Manager of the Casual Male division. Prior to joining the Company, from 2002 to 2003, Ms. Carlo served as the General Manager for the Jessica London Catalog, a division of Chadwick of Boston/Brylane. Prior to that, Ms. Carlo was the Vice President, Divisional Merchandise Manager at Lane Bryant, a division of The Limited, Inc. from 1998 to 2002.</w:t>
      </w:r>
    </w:p>
    <w:p>
      <w:pPr>
        <w:spacing w:after="0" w:line="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Joseph H. Cornely III</w:t>
      </w:r>
      <w:r>
        <w:rPr>
          <w:rFonts w:ascii="Arial" w:cs="Arial" w:eastAsia="Arial" w:hAnsi="Arial"/>
          <w:sz w:val="18"/>
          <w:szCs w:val="18"/>
          <w:color w:val="auto"/>
        </w:rPr>
        <w:t>, 54, is currently the Company’s Executive Vice President and Director of Store Development. Mr. Cornely began his career with Casual</w:t>
      </w:r>
      <w:r>
        <w:rPr>
          <w:rFonts w:ascii="Arial" w:cs="Arial" w:eastAsia="Arial" w:hAnsi="Arial"/>
          <w:sz w:val="18"/>
          <w:szCs w:val="18"/>
          <w:i w:val="1"/>
          <w:iCs w:val="1"/>
          <w:color w:val="auto"/>
        </w:rPr>
        <w:t xml:space="preserve"> </w:t>
      </w:r>
      <w:r>
        <w:rPr>
          <w:rFonts w:ascii="Arial" w:cs="Arial" w:eastAsia="Arial" w:hAnsi="Arial"/>
          <w:sz w:val="18"/>
          <w:szCs w:val="18"/>
          <w:color w:val="auto"/>
        </w:rPr>
        <w:t>Male Corp. in 1972 and joined the Company in May 2002 as part of the Company’s acquisition of Casual Male.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Company’s directors and executive officers.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Board of Directors met seven times during the Company’s fiscal year ended January 28, 2006 (“fiscal 2005”). Each of the Company’s directors attended at least 75 percent of the aggregate of the total meetings of the Board and the total meetings of the committees of the Board on which such director served.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83" w:lineRule="exact"/>
        <w:rPr>
          <w:sz w:val="20"/>
          <w:szCs w:val="20"/>
          <w:color w:val="auto"/>
        </w:rPr>
      </w:pPr>
    </w:p>
    <w:p>
      <w:pPr>
        <w:jc w:val="both"/>
        <w:ind w:right="680"/>
        <w:spacing w:after="0" w:line="306" w:lineRule="auto"/>
        <w:rPr>
          <w:sz w:val="20"/>
          <w:szCs w:val="20"/>
          <w:color w:val="auto"/>
        </w:rPr>
      </w:pPr>
      <w:r>
        <w:rPr>
          <w:rFonts w:ascii="Arial" w:cs="Arial" w:eastAsia="Arial" w:hAnsi="Arial"/>
          <w:sz w:val="16"/>
          <w:szCs w:val="16"/>
          <w:color w:val="auto"/>
        </w:rPr>
        <w:t>The Board of Directors has four standing committees: the Nominating and Corporate Governance Committee, the Audit Committee, the Compensation Committee and the Investor Relations Committee. The Nominating and Corporate Governance Committee, the Audit Committee and the Compensation Committee are each comprised of directors who are “independent” under the rules of the Nasdaq National Market (“Nasdaq”).</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August 2003, the Company established a Nominating Committee. As a result of the changing regulatory environment, including changes to the rules of the SEC and Nasdaq adopted in response to the Sarbanes-Oxley Act of 2002, in April 2004, the Board of Directors redefined the committee as the Nominating and Corporate Governance Committee. The Nominating and Corporate Governance Committee has a written charter, which can be found under “Corporate Governance” on the Investor Relations page of the Company’s website at </w:t>
      </w:r>
      <w:r>
        <w:rPr>
          <w:rFonts w:ascii="Arial" w:cs="Arial" w:eastAsia="Arial" w:hAnsi="Arial"/>
          <w:sz w:val="16"/>
          <w:szCs w:val="16"/>
          <w:i w:val="1"/>
          <w:iCs w:val="1"/>
          <w:color w:val="auto"/>
        </w:rPr>
        <w:t>www.casualmale.com</w:t>
      </w:r>
      <w:r>
        <w:rPr>
          <w:rFonts w:ascii="Arial" w:cs="Arial" w:eastAsia="Arial" w:hAnsi="Arial"/>
          <w:sz w:val="16"/>
          <w:szCs w:val="16"/>
          <w:color w:val="auto"/>
        </w:rPr>
        <w:t>. The Committee was established to perform functions related to governance of the Company, including, but not limited to, planning for the succession of the CEO and such other officers of the Company as the Committee shall determine from time to time, recommending to the Board of Directors individuals to stand for election as directors, overseeing and recommending the selection and composition of committees of the Board of Directors, and developing and recommending to the Board of Directors a set of corporate governance principles applicable to the Company. The present members of the Nominating and Corporate Governance Committee are Messrs. Choper and Bernikow, both of whom are “independent” under the rules of Nasdaq.</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Board’s current policy with regard to the consideration of director candidates recommended by stockholders is that the Nominating and Corporate Governance Committee will review and consider any director candidates who have been recommended by stockholders in compliance with the procedures established from time to time by the Committee (the current procedures are described below), and conduct inquiries it deems appropriate. The Nominating and Corporate Governance Committee will consider for nomination any such proposed director candidate who is deemed qualified by the Nominating and Corporate Governance Committee in light of the minimum qualifications and other criteria for Board membership approved by the Committee from time to time.</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a minimum, the Nominating and Corporate Governance Committee must be satisfied that each nominee, both those recommended by the Committee and those recommended by stockholders, meets the following minimum qualifications:</w:t>
      </w:r>
    </w:p>
    <w:p>
      <w:pPr>
        <w:spacing w:after="0" w:line="3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03" w:lineRule="exact"/>
        <w:rPr>
          <w:rFonts w:ascii="Arial" w:cs="Arial" w:eastAsia="Arial" w:hAnsi="Arial"/>
          <w:sz w:val="18"/>
          <w:szCs w:val="18"/>
          <w:color w:val="auto"/>
        </w:rPr>
      </w:pPr>
    </w:p>
    <w:p>
      <w:pPr>
        <w:ind w:left="780" w:right="160" w:hanging="326"/>
        <w:spacing w:after="0" w:line="325"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nominee should have demonstrated business acumen, experience and ability to exercise sound judgments in matters that relate to the current and long-term objectives of the Company and should be willing and able to contribute positively to the decision-making process of the Company.</w:t>
      </w:r>
    </w:p>
    <w:p>
      <w:pPr>
        <w:spacing w:after="0" w:line="1"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the Company and its industry and to regularly attend and participate in meetings of the Board and its committees.</w:t>
      </w:r>
    </w:p>
    <w:p>
      <w:pPr>
        <w:spacing w:after="0" w:line="37" w:lineRule="exact"/>
        <w:rPr>
          <w:rFonts w:ascii="Arial" w:cs="Arial" w:eastAsia="Arial" w:hAnsi="Arial"/>
          <w:sz w:val="18"/>
          <w:szCs w:val="18"/>
          <w:color w:val="auto"/>
        </w:rPr>
      </w:pPr>
    </w:p>
    <w:p>
      <w:pPr>
        <w:ind w:left="780" w:hanging="326"/>
        <w:spacing w:after="0" w:line="325"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nominee should have the interest and ability to understand the sometimes conflicting interests of the various constituencies of the Company, which include stockholders, employees, customers, governmental units, creditors and the general public, and to act in the interests of all stakeholders.</w:t>
      </w:r>
    </w:p>
    <w:p>
      <w:pPr>
        <w:spacing w:after="0" w:line="1" w:lineRule="exact"/>
        <w:rPr>
          <w:rFonts w:ascii="Arial" w:cs="Arial" w:eastAsia="Arial" w:hAnsi="Arial"/>
          <w:sz w:val="16"/>
          <w:szCs w:val="16"/>
          <w:color w:val="auto"/>
        </w:rPr>
      </w:pPr>
    </w:p>
    <w:p>
      <w:pPr>
        <w:ind w:left="780" w:right="4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the Company’s stockholders and to fulfill the responsibilities of a director.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current procedures to be followed by stockholders in submitting recommendations for director candidates are as follows:</w:t>
      </w:r>
    </w:p>
    <w:p>
      <w:pPr>
        <w:spacing w:after="0" w:line="77" w:lineRule="exact"/>
        <w:rPr>
          <w:sz w:val="20"/>
          <w:szCs w:val="20"/>
          <w:color w:val="auto"/>
        </w:rPr>
      </w:pPr>
    </w:p>
    <w:p>
      <w:pPr>
        <w:ind w:left="460" w:right="160" w:firstLine="443"/>
        <w:spacing w:after="0" w:line="325" w:lineRule="auto"/>
        <w:tabs>
          <w:tab w:leader="none" w:pos="107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stockholder recommendations for director candidates must be submitted to the Secretary of the Company at the Company’s offices located at 555 Turnpike Street, Canton, Massachusetts, 02021 who will forward all recommendations to the Nominating and Corporate Governance Committee.</w:t>
      </w:r>
    </w:p>
    <w:p>
      <w:pPr>
        <w:spacing w:after="0" w:line="1" w:lineRule="exact"/>
        <w:rPr>
          <w:rFonts w:ascii="Arial" w:cs="Arial" w:eastAsia="Arial" w:hAnsi="Arial"/>
          <w:sz w:val="16"/>
          <w:szCs w:val="16"/>
          <w:color w:val="auto"/>
        </w:rPr>
      </w:pPr>
    </w:p>
    <w:p>
      <w:pPr>
        <w:ind w:left="460" w:right="200" w:firstLine="443"/>
        <w:spacing w:after="0" w:line="325" w:lineRule="auto"/>
        <w:tabs>
          <w:tab w:leader="none" w:pos="107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stockholder recommendations for director candidates must be submitted to the Company not less than 120 calendar days prior to the date on which the Company’s proxy statement was released to stockholders in connection with the previous year’s annual meeting.</w:t>
      </w:r>
    </w:p>
    <w:p>
      <w:pPr>
        <w:spacing w:after="0" w:line="1" w:lineRule="exact"/>
        <w:rPr>
          <w:rFonts w:ascii="Arial" w:cs="Arial" w:eastAsia="Arial" w:hAnsi="Arial"/>
          <w:sz w:val="16"/>
          <w:szCs w:val="16"/>
          <w:color w:val="auto"/>
        </w:rPr>
      </w:pPr>
    </w:p>
    <w:p>
      <w:pPr>
        <w:ind w:left="1080" w:hanging="177"/>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include the following information:</w:t>
      </w:r>
    </w:p>
    <w:p>
      <w:pPr>
        <w:spacing w:after="0" w:line="76" w:lineRule="exact"/>
        <w:rPr>
          <w:rFonts w:ascii="Arial" w:cs="Arial" w:eastAsia="Arial" w:hAnsi="Arial"/>
          <w:sz w:val="18"/>
          <w:szCs w:val="18"/>
          <w:color w:val="auto"/>
        </w:rPr>
      </w:pPr>
    </w:p>
    <w:p>
      <w:pPr>
        <w:ind w:left="1500" w:hanging="159"/>
        <w:spacing w:after="0"/>
        <w:tabs>
          <w:tab w:leader="none" w:pos="1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name and address of record of the stockholder.</w:t>
      </w:r>
    </w:p>
    <w:p>
      <w:pPr>
        <w:spacing w:after="0" w:line="76" w:lineRule="exact"/>
        <w:rPr>
          <w:rFonts w:ascii="Arial" w:cs="Arial" w:eastAsia="Arial" w:hAnsi="Arial"/>
          <w:sz w:val="18"/>
          <w:szCs w:val="18"/>
          <w:color w:val="auto"/>
        </w:rPr>
      </w:pPr>
    </w:p>
    <w:p>
      <w:pPr>
        <w:ind w:left="920" w:right="80" w:firstLine="421"/>
        <w:spacing w:after="0" w:line="268" w:lineRule="auto"/>
        <w:tabs>
          <w:tab w:leader="none" w:pos="15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representation that the stockholder is a record holder of the Company’s securities, or if the stockholder is not a record holder, evidence of ownership in accordance with Rule 14a-8(b)(2) of the Exchange Act.</w:t>
      </w:r>
    </w:p>
    <w:p>
      <w:pPr>
        <w:spacing w:after="0" w:line="37" w:lineRule="exact"/>
        <w:rPr>
          <w:rFonts w:ascii="Arial" w:cs="Arial" w:eastAsia="Arial" w:hAnsi="Arial"/>
          <w:sz w:val="18"/>
          <w:szCs w:val="18"/>
          <w:color w:val="auto"/>
        </w:rPr>
      </w:pPr>
    </w:p>
    <w:p>
      <w:pPr>
        <w:ind w:left="920" w:right="580" w:firstLine="421"/>
        <w:spacing w:after="0" w:line="325" w:lineRule="auto"/>
        <w:tabs>
          <w:tab w:leader="none" w:pos="1506"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name, age, business and residential address, educational background, current principal occupation or employment, and principal occupation or employment for the preceding five (5) full fiscal years of the proposed director candidate.</w:t>
      </w:r>
    </w:p>
    <w:p>
      <w:pPr>
        <w:spacing w:after="0" w:line="1" w:lineRule="exact"/>
        <w:rPr>
          <w:rFonts w:ascii="Arial" w:cs="Arial" w:eastAsia="Arial" w:hAnsi="Arial"/>
          <w:sz w:val="16"/>
          <w:szCs w:val="16"/>
          <w:color w:val="auto"/>
        </w:rPr>
      </w:pPr>
    </w:p>
    <w:p>
      <w:pPr>
        <w:ind w:left="920" w:firstLine="421"/>
        <w:spacing w:after="0" w:line="268" w:lineRule="auto"/>
        <w:tabs>
          <w:tab w:leader="none" w:pos="15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description of the qualifications and background of the proposed director candidate which addresses the minimum qualifications and other criteria for Board membership approved by the Board from time to time.</w:t>
      </w:r>
    </w:p>
    <w:p>
      <w:pPr>
        <w:spacing w:after="0" w:line="37" w:lineRule="exact"/>
        <w:rPr>
          <w:rFonts w:ascii="Arial" w:cs="Arial" w:eastAsia="Arial" w:hAnsi="Arial"/>
          <w:sz w:val="18"/>
          <w:szCs w:val="18"/>
          <w:color w:val="auto"/>
        </w:rPr>
      </w:pPr>
    </w:p>
    <w:p>
      <w:pPr>
        <w:ind w:left="1500" w:hanging="159"/>
        <w:spacing w:after="0"/>
        <w:tabs>
          <w:tab w:leader="none" w:pos="1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and the proposed director candidate.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740" w:firstLine="420"/>
        <w:spacing w:after="0" w:line="268" w:lineRule="auto"/>
        <w:rPr>
          <w:sz w:val="20"/>
          <w:szCs w:val="20"/>
          <w:color w:val="auto"/>
        </w:rPr>
      </w:pPr>
      <w:r>
        <w:rPr>
          <w:rFonts w:ascii="Arial" w:cs="Arial" w:eastAsia="Arial" w:hAnsi="Arial"/>
          <w:sz w:val="18"/>
          <w:szCs w:val="18"/>
          <w:color w:val="auto"/>
        </w:rPr>
        <w:t>f. The consent of the proposed director candidate (i) to be named in the proxy statement relating to the Company’s annual meeting of stockholders and (ii) to serve as a director if elected at such annual meeting.</w:t>
      </w:r>
    </w:p>
    <w:p>
      <w:pPr>
        <w:spacing w:after="0" w:line="37" w:lineRule="exact"/>
        <w:rPr>
          <w:sz w:val="20"/>
          <w:szCs w:val="20"/>
          <w:color w:val="auto"/>
        </w:rPr>
      </w:pPr>
    </w:p>
    <w:p>
      <w:pPr>
        <w:ind w:left="920" w:right="300" w:firstLine="420"/>
        <w:spacing w:after="0" w:line="268" w:lineRule="auto"/>
        <w:rPr>
          <w:sz w:val="20"/>
          <w:szCs w:val="20"/>
          <w:color w:val="auto"/>
        </w:rPr>
      </w:pPr>
      <w:r>
        <w:rPr>
          <w:rFonts w:ascii="Arial" w:cs="Arial" w:eastAsia="Arial" w:hAnsi="Arial"/>
          <w:sz w:val="18"/>
          <w:szCs w:val="18"/>
          <w:color w:val="auto"/>
        </w:rPr>
        <w:t>g. Any other information regarding the proposed director candidate that is required to be included in a proxy statement filed pursuant to the rules of the SEC.</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Except where the Corporation is legally required by contract or otherwise to provide third parties with the ability to nominate directors, the Nominating and Corporate Governance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Committee may solicit recommendations from any or all of the following sources: non-management directors, the CEO, other executive officers, third-party search firms or any other source it deems appropriate. The Committee will review and evaluate the qualifications of any such proposed director candidate, and conduct inquiries it deems appropriate. The Committee will evaluate all such proposed director candidates in the same manner, with no regard to the source of the initial recommendation of such proposed director candidate. Accordingly, there are no differences in the manner in which the Nominating and Corporate Governance evaluates director nominees recommended by stockholders. In identifying and evaluating candidates for membership on the Board of Directors, the Committee will take into account all factors it considers appropriate, which may include strength of character, mature judgment, career specialization, relevant technical skills, diversity, and the extent to which the candidate would fill a present need on the Board of Directors.</w:t>
      </w:r>
    </w:p>
    <w:p>
      <w:pPr>
        <w:spacing w:after="0" w:line="114"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Ward K. Mooney, the only nominee that is not a current director standing for re-election, was recommended to the Nominating and Corporate Governance Committee as a potential candidate by the Company’s Chief Executive Officer. The Nominating and Corporate Governance Committee evaluated Mr. Mooney based on the criteria discussed above and determined that he was qualified to serve as a director of the Company. On June 6, 2006, the full Board of Directors nominated Mr. Mooney for election as a director at the Annual Meeting.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Company has a separately-designated standing Audit Committee established in accordance with section 3(a)(58)(A) of the Exchange Act. The Audit Committee is currently comprised of Messrs. Choper, Bernikow and Porter. Each of the members of the Audit Committee is independent, as independence for audit committee members is defined under the rules of Nasdaq. In addition, the Board of Directors has determined that Mr. Bernikow is an “audit committee financial expert” under the rules of the SEC.</w:t>
      </w:r>
    </w:p>
    <w:p>
      <w:pPr>
        <w:spacing w:after="0" w:line="13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 xml:space="preserve">The Audit Committee operates under a written charter adopted by the Board of Directors and the Audit Committee. This written charter was revised on May 9, 2005 to help ensure compliance with the Sarbanes-Oxley Act of 2002 and related rule changes by the SEC and Nasdaq. A copy of this charter of the Audit Committee was included as </w:t>
      </w:r>
      <w:r>
        <w:rPr>
          <w:rFonts w:ascii="Arial" w:cs="Arial" w:eastAsia="Arial" w:hAnsi="Arial"/>
          <w:sz w:val="16"/>
          <w:szCs w:val="16"/>
          <w:i w:val="1"/>
          <w:iCs w:val="1"/>
          <w:color w:val="auto"/>
        </w:rPr>
        <w:t>Appendix A</w:t>
      </w:r>
      <w:r>
        <w:rPr>
          <w:rFonts w:ascii="Arial" w:cs="Arial" w:eastAsia="Arial" w:hAnsi="Arial"/>
          <w:sz w:val="16"/>
          <w:szCs w:val="16"/>
          <w:color w:val="auto"/>
        </w:rPr>
        <w:t xml:space="preserve"> to the Company’s Definitive Proxy Statement filed July 8, 2006 with the SEC.</w:t>
      </w:r>
    </w:p>
    <w:p>
      <w:pPr>
        <w:spacing w:after="0" w:line="9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purpose of the Audit Committee is to (i) assist the Board of Directors in fulfilling its oversight responsibilities to the shareholders, potential shareholders and the investment community; (ii) oversee the audits of the financial statements of the Company and the Company’s relationship with its independent registered public accounting firm; (iii) promote and further the integrity of the Company’s financial statements and oversee the qualifications, independence and performance of the Company’s independent registered public accounting firm (including being solely responsible for appointing, determining the scope of, evaluating and, when necessary, terminating the relationship with the independent registered public accounting firm); and (iv) provide the Board of Directors, the independent registered public accounting firm and the internal auditors direct, unfiltered access to each other on a regular basis. The Audit Committee meets at least quarterly and as often as it deems necessary in order to perform its responsibilities. During fiscal 2005, the Audit Committee met six times.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the Audit Committee, see the “Report of the Audit Committee” included elsewhere in this Proxy Statement.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7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Compensation Committee meets periodically to review executive and employee compensation and benefits (including stock-based compensation awards under the Company’s equity incentive plans), supervises benefit plans and makes recommendations regarding compensation, benefits and benefit plans to the Board of Directors. The Compensation Committee met six times during fiscal 2005. The present members of the Compensation Committee are Messrs. Choper and Porter, each of whom is “independent” under the rules of Nasdaq.</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fiscal 2005, non-employee directors of the Company were paid $3,000 plus expenses for each meeting of the Board of Directors which they attended. During fiscal 2005, non-employee directors of the Company were also paid $3,000 plus expenses for each committee meeting they attended. Non-employee directors received $500 for certain telephonic board or committee meetings. In addition, the Chairman of the Audit Committee receives an additional $10,000 on an annual basis for serving in such capacity.</w:t>
      </w:r>
    </w:p>
    <w:p>
      <w:pPr>
        <w:spacing w:after="0" w:line="13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During fiscal 2005, non-employee directors of the Company were also eligible to participate in the Company’s 1992 Stock Incentive Plan, as amended (the “1992 Plan”). Pursuant to the 1992 Plan, each non-employee director of the Company is entitled to receive a stock option to purchase 15,000 shares of Common Stock upon such director’s election and a stock option to purchase 15,000 shares of Common Stock upon such director’s re-election. Such stock options were originally structured to become exercisable in three equal annual installments commencing with the date of grant. These options became fully vested on January 27, 2006 in connection with the Company’s acceleration of all of its outstanding stock options. All options are granted with a term of ten years.</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1992 Plan provides that non-employee directors of the Company may elect to receive all or a portion of their directors’ fees, on a current or deferred basis, in shares of Common Stock that are free of any restrictions under the 1992 Plan. A director wishing to receive Common Stock in lieu of cash would enter into an irrevocable agreement with the Company in advance of the beginning of a calendar year. During fiscal 2005, all non-employee directors elected to receive their directors’ fees in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Compensation (Direct and Indirect)</w:t>
      </w:r>
    </w:p>
    <w:p>
      <w:pPr>
        <w:spacing w:after="0" w:line="83"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Seymour Holtzman, the Chairman of the Board of Directors of the Company, is compensated by the Company both directly (as an executive officer of the Company) and indirectly (as the president and chief executive officer and, together with his wife, the sole shareholder of Jewelcor Management Inc. (“JMI”)).</w:t>
      </w:r>
    </w:p>
    <w:p>
      <w:pPr>
        <w:spacing w:after="0" w:line="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Since October 1999, the Company has had an ongoing consulting agreement with JMI to assist in developing and implementing a strategic plan for the Company and for other related consulting services as may be agreed upon between JMI and the Company. The consulting agreement dated April 29, 2003, and most recently amended by a letter addendum dated May 22, 2006, is for a three-year term and automatically renews on each anniversary of the agreement’s commencement date for additional one-year periods, unless ninety-days notice by either party is otherwise given. The initial three-year term was from April 29, 2003 until April 28, 2006. On each anniversary of the agreement’s commencement date, the term was extended for a one-year period. Accordingly, as of April 26, 2006, the most recent anniversary of the consulting agreement, the term was extended to April 28, 2009. The consulting agreement with JMI includes a significant disincentive for non-performance, which would require JMI to pay to the Company a penalty equal to 150% of any unearned consulting services.</w:t>
      </w:r>
    </w:p>
    <w:p>
      <w:pPr>
        <w:spacing w:after="0" w:line="105"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On April 24, 2006, the Company granted to Mr. Holtzman stock options with respect to 160,000 shares of the Company’s common stock. These stock options have an exercise price of $9.27 per share and will vest ratably over a three-year period, with the first one-third vesting on April 24, 2007.</w:t>
      </w:r>
    </w:p>
    <w:p>
      <w:pPr>
        <w:spacing w:after="0" w:line="7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May 26, 2006, the Compensation Committee of the Board of Directors increased JMI’s annual consulting fees from $412,000 to $527,000. In addition, JMI will continue to receive $24,000 annually for expense reimbursements. JMI will also be entitled to receive a cash bonus for fiscal 2006 ranging from 80% to 150% of a bonus target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$575,000 if the Company achieves a certain range of EBITDA (earnings before interest, taxes and depreciation and amortization) for fiscal 2006. Mr. Holtzman will continue to receive an annual salary of $24,000.</w:t>
      </w:r>
    </w:p>
    <w:p>
      <w:pPr>
        <w:spacing w:after="0" w:line="118"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During the first quarter of fiscal 2006, the Board of Directors approved (1) the payment to JMI of approximately $320,000 as reimbursement of legal costs incurred by JMI in connection with JMI’s successful defense of a Section 16 claim involving the Company’s securities and (2) the payment to JMI of approximately $50,000 as consideration for the upward adjustment of the exercise price of warrants issued to JMI in connection with the fiscal 2003 private placement of the Company’s 12% senior subordinated notes due 2010.</w:t>
      </w:r>
    </w:p>
    <w:p>
      <w:pPr>
        <w:spacing w:after="0" w:line="13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table summarizes the total compensation Mr. Holtzman has received, directly as an officer of the Company and indirectly through JMI, over the past three fiscal years on a combined basis.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6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5"/>
              </w:rPr>
              <w:t>Fiscal</w:t>
            </w:r>
          </w:p>
        </w:tc>
        <w:tc>
          <w:tcPr>
            <w:tcW w:w="18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5"/>
              </w:rPr>
              <w:t>Fiscal</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Fiscal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1180" w:type="dxa"/>
            <w:vAlign w:val="bottom"/>
          </w:tcPr>
          <w:p>
            <w:pPr>
              <w:spacing w:after="0"/>
              <w:rPr>
                <w:sz w:val="15"/>
                <w:szCs w:val="15"/>
                <w:color w:val="auto"/>
              </w:rPr>
            </w:pP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1160" w:type="dxa"/>
            <w:vAlign w:val="bottom"/>
          </w:tcPr>
          <w:p>
            <w:pPr>
              <w:spacing w:after="0"/>
              <w:rPr>
                <w:sz w:val="15"/>
                <w:szCs w:val="15"/>
                <w:color w:val="auto"/>
              </w:rPr>
            </w:pP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annual compensation</w:t>
            </w:r>
          </w:p>
        </w:tc>
        <w:tc>
          <w:tcPr>
            <w:tcW w:w="18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88"/>
              </w:rPr>
              <w:t>$431,000(1)</w:t>
            </w:r>
          </w:p>
        </w:tc>
        <w:tc>
          <w:tcPr>
            <w:tcW w:w="18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88"/>
              </w:rPr>
              <w:t>$416,000(2)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$350,000(3)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Combined bonus</w:t>
            </w:r>
          </w:p>
        </w:tc>
        <w:tc>
          <w:tcPr>
            <w:tcW w:w="1860" w:type="dxa"/>
            <w:vAlign w:val="bottom"/>
            <w:gridSpan w:val="2"/>
          </w:tcPr>
          <w:p>
            <w:pPr>
              <w:jc w:val="right"/>
              <w:ind w:right="980"/>
              <w:spacing w:after="0"/>
              <w:rPr>
                <w:sz w:val="20"/>
                <w:szCs w:val="20"/>
                <w:color w:val="auto"/>
              </w:rPr>
            </w:pPr>
            <w:r>
              <w:rPr>
                <w:rFonts w:ascii="Arial" w:cs="Arial" w:eastAsia="Arial" w:hAnsi="Arial"/>
                <w:sz w:val="18"/>
                <w:szCs w:val="18"/>
                <w:color w:val="auto"/>
                <w:w w:val="98"/>
              </w:rPr>
              <w:t>345,000(4)</w:t>
            </w:r>
          </w:p>
        </w:tc>
        <w:tc>
          <w:tcPr>
            <w:tcW w:w="1840" w:type="dxa"/>
            <w:vAlign w:val="bottom"/>
            <w:gridSpan w:val="2"/>
          </w:tcPr>
          <w:p>
            <w:pPr>
              <w:jc w:val="right"/>
              <w:ind w:right="960"/>
              <w:spacing w:after="0"/>
              <w:rPr>
                <w:sz w:val="20"/>
                <w:szCs w:val="20"/>
                <w:color w:val="auto"/>
              </w:rPr>
            </w:pPr>
            <w:r>
              <w:rPr>
                <w:rFonts w:ascii="Arial" w:cs="Arial" w:eastAsia="Arial" w:hAnsi="Arial"/>
                <w:sz w:val="18"/>
                <w:szCs w:val="18"/>
                <w:color w:val="auto"/>
                <w:w w:val="88"/>
              </w:rPr>
              <w:t>$150,000(5)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$150,000(6)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long-term stock-based compensation awards(7)</w:t>
            </w:r>
          </w:p>
        </w:tc>
        <w:tc>
          <w:tcPr>
            <w:tcW w:w="18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8"/>
              </w:rPr>
              <w:t>160,000(8)</w:t>
            </w:r>
          </w:p>
        </w:tc>
        <w:tc>
          <w:tcPr>
            <w:tcW w:w="18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8"/>
              </w:rPr>
              <w:t>400,000(9)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200,000(10)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500" w:hanging="452"/>
        <w:spacing w:after="0" w:line="25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period February 2005 through April 2005, JMI received a monthly consulting fee of $32,667, payable in cash. Effective May 9, 2005, the Compensation Committee increased the annual consulting fees payable in cash to JMI to $412,000, or $34,333 per month. Mr. Holtzman received an annual salary of $24,000 as payment for his services as an executive officer of the Company.</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JMI received $392,000 in consulting fees, payable in cash. Mr. Holtzman received an annual salary $24,000 in fiscal 2004.</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the period April 2003 through April 2004, the Company issued to JMI 70,769 non-forfeitable and fully vested shares of Common Stock as payment for services to be rendered under the consulting agreement through April 28, 2004. The fair value of the issued shares as of April 28, 2003 was $276,000, or $3.90 per share. The Compensation Committee and Board of Directors increased the annual compensation to JMI, effective May 1, 2003, by $50,000, to $326,000. The increase of $50,000 for fiscal 2004 was paid to JMI through the issuance of 12,820 non-forfeitable and fully vested shares of Common Stock valued at $3.90 per share. Mr. Holtzman received an annual salary of $24,000 in fiscal 2003.</w:t>
      </w:r>
    </w:p>
    <w:p>
      <w:pPr>
        <w:spacing w:after="0" w:line="3"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Pursuant to the Company’s Executive Incentive Plan for fiscal 2005, on April 14, 2006, JMI received a bonus of $345,000 for services performed in fiscal 2005.</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July 15, 2004, JMI received a bonus in the amount of $150,000 for services performed in fiscal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July 1, 2003, JMI received a bonus in the amount of $150,000.</w:t>
      </w:r>
    </w:p>
    <w:p>
      <w:pPr>
        <w:spacing w:after="0" w:line="9" w:lineRule="exact"/>
        <w:rPr>
          <w:rFonts w:ascii="Arial" w:cs="Arial" w:eastAsia="Arial" w:hAnsi="Arial"/>
          <w:sz w:val="18"/>
          <w:szCs w:val="18"/>
          <w:color w:val="auto"/>
        </w:rPr>
      </w:pPr>
    </w:p>
    <w:p>
      <w:pPr>
        <w:ind w:left="460" w:right="56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a result of the Company accelerating substantially all outstanding and unvested stock options held by directors, officers and employees under the Company’s 1992 Stock Incentive Plan, all outstanding options held by Mr. Holtzman are fully vested and exercisable.</w:t>
      </w:r>
    </w:p>
    <w:p>
      <w:pPr>
        <w:spacing w:after="0" w:line="1"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May 9, 2005, the Compensation Committee granted to Mr. Holtzman a 10-year option to purchase 160,000 shares of the Company’s Common Stock at an exercise price of $6.90 per share.</w:t>
      </w:r>
    </w:p>
    <w:p>
      <w:pPr>
        <w:ind w:left="460" w:right="4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July 15, 2004, the Compensation Committee granted to Mr. Holtzman a 10-year option to purchase 200,000 shares of the Company’s Common Stock at an exercise price of $6.27 per share. On August 31, 2004, the Compensation Committee granted to Mr. Holtzman a 10-year option to purchase 100,000 shares of the Company’s Common Stock at an exercise price of $5.89 per share. On August 31, 2004, the Compensation Committee also granted</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Mr. Holtzman a 10-year option to purchase an additional 100,000 shares of the Company’s Common Stock at an exercise price of $5.89 per share.</w:t>
      </w:r>
    </w:p>
    <w:p>
      <w:pPr>
        <w:spacing w:after="0" w:line="32" w:lineRule="exact"/>
        <w:rPr>
          <w:rFonts w:ascii="Arial" w:cs="Arial" w:eastAsia="Arial" w:hAnsi="Arial"/>
          <w:sz w:val="16"/>
          <w:szCs w:val="16"/>
          <w:color w:val="auto"/>
        </w:rPr>
      </w:pPr>
    </w:p>
    <w:p>
      <w:pPr>
        <w:ind w:left="460" w:right="2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July 1, 2003, the Compensation Committee granted to Mr. Holtzman a 10-year option to purchase 200,000 shares of Common Stock at an exercise price of $5.01 per share.</w:t>
      </w:r>
    </w:p>
    <w:p>
      <w:pPr>
        <w:spacing w:after="0" w:line="12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At January 28, 2006, Mr. Holtzman had outstanding and exercisable options to purchase 1,690,000 shares of Common Stock. The value of these unexercised in-the-money options was approximately $4.2 million, based on the difference between the closing price of the Company’s Common Stock on January 28, 2006 of $7.15 per share and the exercise price of the respective options.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Summary Compensation Table</w:t>
      </w:r>
      <w:r>
        <w:rPr>
          <w:rFonts w:ascii="Arial" w:cs="Arial" w:eastAsia="Arial" w:hAnsi="Arial"/>
          <w:sz w:val="16"/>
          <w:szCs w:val="16"/>
          <w:color w:val="auto"/>
        </w:rPr>
        <w:t>. The following Summary Compensation Table sets forth certain information regarding compensation paid or accrued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with respect to the Chief Executive Officer, the Chief Financial Officer, the Executive Vice President of Business Development &amp; Direct-to-Consumer, the Executive Vice President and Director of Store Development and the Chief Executive Officer of the Rochester division (collectively, the “Named Executive Officers”), for fiscal 2005 and for the fiscal years ended January 29, 2005 (“fiscal 2004”) and January 31, 2004 (“fiscal 2003”).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ind w:left="140"/>
              <w:spacing w:after="0"/>
              <w:rPr>
                <w:sz w:val="20"/>
                <w:szCs w:val="20"/>
                <w:color w:val="auto"/>
              </w:rPr>
            </w:pPr>
            <w:r>
              <w:rPr>
                <w:rFonts w:ascii="Arial" w:cs="Arial" w:eastAsia="Arial" w:hAnsi="Arial"/>
                <w:sz w:val="14"/>
                <w:szCs w:val="14"/>
                <w:b w:val="1"/>
                <w:bCs w:val="1"/>
                <w:color w:val="auto"/>
              </w:rPr>
              <w:t>Annual Compensation</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Long-Term</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Fiscal</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1"/>
                <w:szCs w:val="11"/>
                <w:color w:val="auto"/>
              </w:rPr>
            </w:pPr>
          </w:p>
        </w:tc>
        <w:tc>
          <w:tcPr>
            <w:tcW w:w="94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74"/>
        </w:trPr>
        <w:tc>
          <w:tcPr>
            <w:tcW w:w="616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 (at January 28, 2006)</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Bonus</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Options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A. Levin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592,308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450,000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and Chief Executive</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560,577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18,268(2)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513,846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125,500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18,171(3)</w:t>
            </w:r>
          </w:p>
        </w:tc>
        <w:tc>
          <w:tcPr>
            <w:tcW w:w="0" w:type="dxa"/>
            <w:vAlign w:val="bottom"/>
          </w:tcPr>
          <w:p>
            <w:pPr>
              <w:spacing w:after="0"/>
              <w:rPr>
                <w:sz w:val="1"/>
                <w:szCs w:val="1"/>
                <w:color w:val="auto"/>
              </w:rPr>
            </w:pPr>
          </w:p>
        </w:tc>
      </w:tr>
      <w:tr>
        <w:trPr>
          <w:trHeight w:val="275"/>
        </w:trPr>
        <w:tc>
          <w:tcPr>
            <w:tcW w:w="6160" w:type="dxa"/>
            <w:vAlign w:val="bottom"/>
            <w:gridSpan w:val="4"/>
          </w:tcPr>
          <w:p>
            <w:pPr>
              <w:spacing w:after="0"/>
              <w:rPr>
                <w:sz w:val="20"/>
                <w:szCs w:val="20"/>
                <w:color w:val="auto"/>
              </w:rPr>
            </w:pPr>
            <w:r>
              <w:rPr>
                <w:rFonts w:ascii="Arial" w:cs="Arial" w:eastAsia="Arial" w:hAnsi="Arial"/>
                <w:sz w:val="18"/>
                <w:szCs w:val="18"/>
                <w:color w:val="auto"/>
              </w:rPr>
              <w:t>Dennis R. Hernreich</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453,846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345,000</w:t>
            </w:r>
          </w:p>
        </w:tc>
        <w:tc>
          <w:tcPr>
            <w:tcW w:w="820" w:type="dxa"/>
            <w:vAlign w:val="bottom"/>
          </w:tcPr>
          <w:p>
            <w:pPr>
              <w:jc w:val="right"/>
              <w:spacing w:after="0"/>
              <w:rPr>
                <w:sz w:val="20"/>
                <w:szCs w:val="20"/>
                <w:color w:val="auto"/>
              </w:rPr>
            </w:pPr>
            <w:r>
              <w:rPr>
                <w:rFonts w:ascii="Arial" w:cs="Arial" w:eastAsia="Arial" w:hAnsi="Arial"/>
                <w:sz w:val="18"/>
                <w:szCs w:val="18"/>
                <w:color w:val="auto"/>
              </w:rPr>
              <w:t>160,000</w:t>
            </w:r>
          </w:p>
        </w:tc>
        <w:tc>
          <w:tcPr>
            <w:tcW w:w="42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13,546(1)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Chief Financial Officer, Chief Operating Officer</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426,659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120,000</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14,498(2)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3"/>
          </w:tcPr>
          <w:p>
            <w:pPr>
              <w:ind w:left="200"/>
              <w:spacing w:after="0"/>
              <w:rPr>
                <w:sz w:val="20"/>
                <w:szCs w:val="20"/>
                <w:color w:val="auto"/>
              </w:rPr>
            </w:pPr>
            <w:r>
              <w:rPr>
                <w:rFonts w:ascii="Arial" w:cs="Arial" w:eastAsia="Arial" w:hAnsi="Arial"/>
                <w:sz w:val="18"/>
                <w:szCs w:val="18"/>
                <w:color w:val="auto"/>
              </w:rPr>
              <w:t>and Treasurer</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385,385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93,750</w:t>
            </w:r>
          </w:p>
        </w:tc>
        <w:tc>
          <w:tcPr>
            <w:tcW w:w="820" w:type="dxa"/>
            <w:vAlign w:val="bottom"/>
          </w:tcPr>
          <w:p>
            <w:pPr>
              <w:jc w:val="right"/>
              <w:spacing w:after="0"/>
              <w:rPr>
                <w:sz w:val="20"/>
                <w:szCs w:val="20"/>
                <w:color w:val="auto"/>
              </w:rPr>
            </w:pPr>
            <w:r>
              <w:rPr>
                <w:rFonts w:ascii="Arial" w:cs="Arial" w:eastAsia="Arial" w:hAnsi="Arial"/>
                <w:sz w:val="18"/>
                <w:szCs w:val="18"/>
                <w:color w:val="auto"/>
              </w:rPr>
              <w:t>75,000</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14,400(3)</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60" w:type="dxa"/>
            <w:vAlign w:val="bottom"/>
          </w:tcPr>
          <w:p>
            <w:pPr>
              <w:spacing w:after="0"/>
              <w:rPr>
                <w:sz w:val="7"/>
                <w:szCs w:val="7"/>
                <w:color w:val="auto"/>
              </w:rPr>
            </w:pPr>
          </w:p>
        </w:tc>
        <w:tc>
          <w:tcPr>
            <w:tcW w:w="29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Linda B. Carlo(4)</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303,050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 Business Development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299,286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14,550(2)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&amp; Direct-to-Consumer</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133,846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2,535(3)</w:t>
            </w:r>
          </w:p>
        </w:tc>
        <w:tc>
          <w:tcPr>
            <w:tcW w:w="0" w:type="dxa"/>
            <w:vAlign w:val="bottom"/>
          </w:tcPr>
          <w:p>
            <w:pPr>
              <w:spacing w:after="0"/>
              <w:rPr>
                <w:sz w:val="1"/>
                <w:szCs w:val="1"/>
                <w:color w:val="auto"/>
              </w:rPr>
            </w:pPr>
          </w:p>
        </w:tc>
      </w:tr>
      <w:tr>
        <w:trPr>
          <w:trHeight w:val="275"/>
        </w:trPr>
        <w:tc>
          <w:tcPr>
            <w:tcW w:w="6160" w:type="dxa"/>
            <w:vAlign w:val="bottom"/>
            <w:gridSpan w:val="4"/>
          </w:tcPr>
          <w:p>
            <w:pPr>
              <w:spacing w:after="0"/>
              <w:rPr>
                <w:sz w:val="20"/>
                <w:szCs w:val="20"/>
                <w:color w:val="auto"/>
              </w:rPr>
            </w:pPr>
            <w:r>
              <w:rPr>
                <w:rFonts w:ascii="Arial" w:cs="Arial" w:eastAsia="Arial" w:hAnsi="Arial"/>
                <w:sz w:val="18"/>
                <w:szCs w:val="18"/>
                <w:color w:val="auto"/>
              </w:rPr>
              <w:t>Joseph H. Cornely III (5)</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305,192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Director of Store Development</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292,789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25,000</w:t>
            </w:r>
          </w:p>
        </w:tc>
        <w:tc>
          <w:tcPr>
            <w:tcW w:w="820" w:type="dxa"/>
            <w:vAlign w:val="bottom"/>
          </w:tcPr>
          <w:p>
            <w:pPr>
              <w:jc w:val="right"/>
              <w:spacing w:after="0"/>
              <w:rPr>
                <w:sz w:val="20"/>
                <w:szCs w:val="20"/>
                <w:color w:val="auto"/>
              </w:rPr>
            </w:pPr>
            <w:r>
              <w:rPr>
                <w:rFonts w:ascii="Arial" w:cs="Arial" w:eastAsia="Arial" w:hAnsi="Arial"/>
                <w:sz w:val="18"/>
                <w:szCs w:val="18"/>
                <w:color w:val="auto"/>
              </w:rPr>
              <w:t>25,000</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9,768(2)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262,019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6,000(3)</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60" w:type="dxa"/>
            <w:vAlign w:val="bottom"/>
          </w:tcPr>
          <w:p>
            <w:pPr>
              <w:spacing w:after="0"/>
              <w:rPr>
                <w:sz w:val="6"/>
                <w:szCs w:val="6"/>
                <w:color w:val="auto"/>
              </w:rPr>
            </w:pPr>
          </w:p>
        </w:tc>
        <w:tc>
          <w:tcPr>
            <w:tcW w:w="29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L. Sockolov (6)</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244,259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14,700(1)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Executive Officer of the Rochester division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0" w:hanging="452"/>
        <w:spacing w:after="0" w:line="283"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Compensation with respect to fiscal 2005 represents: (i) payments by the Company of insurance premiums for term life insurance for the benefit of the executive officers (Mr. Levin $2,570); (ii) matching contributions made by the Company for the benefit of each of the following executive officers to the Company’s retirement plan (the “401(k) Plan”) established pursuant to Section 401(k) of the Internal Revenue Code of 1986, as amended (Mr. Levin $6,300, Mr. Hernreich $5,146, Ms. Carlo $6,300, Mr. Cornely $6,300 and Mr. Sockolov $6,300); and (iii) car allowances (Mr. Levin $9,600, Mr. Hernreich $8,400, Ms. Carlo $8,400, Mr. Cornely $8,400 and Mr. Sockolov $8,400).</w:t>
      </w:r>
    </w:p>
    <w:p>
      <w:pPr>
        <w:spacing w:after="0" w:line="2" w:lineRule="exact"/>
        <w:rPr>
          <w:rFonts w:ascii="Arial" w:cs="Arial" w:eastAsia="Arial" w:hAnsi="Arial"/>
          <w:sz w:val="16"/>
          <w:szCs w:val="16"/>
          <w:color w:val="auto"/>
        </w:rPr>
      </w:pPr>
    </w:p>
    <w:p>
      <w:pPr>
        <w:jc w:val="both"/>
        <w:ind w:left="460" w:right="18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Compensation with respect to fiscal 2004 represents: (i) payments by the Company of insurance premiums for term life insurance for the benefit of the executive officers (Mr. Levin $2,570); (ii) matching contributions made by the Company for the benefit of each of the following executive officers to the 401(k) Plan (Mr. Levin $6,098, Mr. Hernreich $6,098, Ms. Carlo $6,150 and Mr. Cornely $6,150); and (iii) car allowances (Mr. Levin $9,600,</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Hernreich $8,400, Ms. Carlo $8,400, Mr. Cornely $3,618 and Mr. Sockolov $2,100).</w:t>
      </w:r>
    </w:p>
    <w:p>
      <w:pPr>
        <w:spacing w:after="0" w:line="9"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Compensation with respect to fiscal 2003 represents: (i) payments by the Company of insurance premiums for term life insurance for the benefit of the executive officers (Mr. Levin $2,571 and Ms. Carlo $458); (ii) matching contributions made by the Company for the benefit of each of the following executive officers to the 401(k) Plan (Mr. Levin $6,000, Mr. Hernreich $6,000 and Mr. Cornely $6,000); and (iii) car allowances (Mr. Levin $9,600, Mr. Hernreich $8,400 and Ms. Carlo $2,077).</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Ms. Carlo joined the Company in August 2003 as the Executive Vice President, General Merchandise Manager of the Company’s Casual Male division.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hanging="452"/>
        <w:spacing w:after="0" w:line="28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Cornely was promoted to Executive Vice President, Director of Store Development and accordingly became an executive officer of the Company on April 26, 2003. Mr. Cornely joined the Company on May 15, 2002 as a result of the Company’s Casual Male acquisition.</w:t>
      </w:r>
    </w:p>
    <w:p>
      <w:pPr>
        <w:ind w:left="460" w:right="2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Sockolov joined the Company on October 27, 2004 as a result of the Company’s acquisition of Rochester. Mr. Sockolov was appointed a director of the Company and also appointed Chief Executive Officer of the Rochester division.</w:t>
      </w:r>
    </w:p>
    <w:p>
      <w:pPr>
        <w:spacing w:after="0" w:line="118"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Option Grants Table</w:t>
      </w:r>
      <w:r>
        <w:rPr>
          <w:rFonts w:ascii="Arial" w:cs="Arial" w:eastAsia="Arial" w:hAnsi="Arial"/>
          <w:sz w:val="18"/>
          <w:szCs w:val="18"/>
          <w:color w:val="auto"/>
        </w:rPr>
        <w:t>. The following Option Grants Table sets forth certain information as of January 28, 2006 regarding stock options granted during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2005 by the Company to the Named Executive Officers.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Fiscal 2005</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Potential Realizable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5"/>
          </w:tcPr>
          <w:p>
            <w:pPr>
              <w:jc w:val="right"/>
              <w:ind w:right="282"/>
              <w:spacing w:after="0" w:line="149" w:lineRule="exact"/>
              <w:rPr>
                <w:sz w:val="20"/>
                <w:szCs w:val="20"/>
                <w:color w:val="auto"/>
              </w:rPr>
            </w:pPr>
            <w:r>
              <w:rPr>
                <w:rFonts w:ascii="Arial" w:cs="Arial" w:eastAsia="Arial" w:hAnsi="Arial"/>
                <w:sz w:val="14"/>
                <w:szCs w:val="14"/>
                <w:b w:val="1"/>
                <w:bCs w:val="1"/>
                <w:color w:val="auto"/>
              </w:rPr>
              <w:t>Individual Grants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Value of Assumed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5"/>
          </w:tcPr>
          <w:p>
            <w:pPr>
              <w:jc w:val="center"/>
              <w:ind w:right="180"/>
              <w:spacing w:after="0" w:line="114" w:lineRule="exact"/>
              <w:rPr>
                <w:sz w:val="20"/>
                <w:szCs w:val="20"/>
                <w:color w:val="auto"/>
              </w:rPr>
            </w:pPr>
            <w:r>
              <w:rPr>
                <w:rFonts w:ascii="Arial" w:cs="Arial" w:eastAsia="Arial" w:hAnsi="Arial"/>
                <w:sz w:val="12"/>
                <w:szCs w:val="12"/>
                <w:b w:val="1"/>
                <w:bCs w:val="1"/>
                <w:color w:val="auto"/>
              </w:rPr>
              <w:t>Annual Rates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Percent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5"/>
          </w:tcPr>
          <w:p>
            <w:pPr>
              <w:jc w:val="center"/>
              <w:ind w:right="180"/>
              <w:spacing w:after="0" w:line="143" w:lineRule="exact"/>
              <w:rPr>
                <w:sz w:val="20"/>
                <w:szCs w:val="20"/>
                <w:color w:val="auto"/>
              </w:rPr>
            </w:pPr>
            <w:r>
              <w:rPr>
                <w:rFonts w:ascii="Arial" w:cs="Arial" w:eastAsia="Arial" w:hAnsi="Arial"/>
                <w:sz w:val="14"/>
                <w:szCs w:val="14"/>
                <w:b w:val="1"/>
                <w:bCs w:val="1"/>
                <w:color w:val="auto"/>
                <w:w w:val="86"/>
              </w:rPr>
              <w:t>Stock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4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Appreciation for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0" w:type="dxa"/>
            <w:vAlign w:val="bottom"/>
          </w:tcPr>
          <w:p>
            <w:pPr>
              <w:spacing w:after="0"/>
              <w:rPr>
                <w:sz w:val="4"/>
                <w:szCs w:val="4"/>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220" w:type="dxa"/>
            <w:vAlign w:val="bottom"/>
          </w:tcPr>
          <w:p>
            <w:pPr>
              <w:spacing w:after="0"/>
              <w:rPr>
                <w:sz w:val="4"/>
                <w:szCs w:val="4"/>
                <w:color w:val="auto"/>
              </w:rPr>
            </w:pPr>
          </w:p>
        </w:tc>
        <w:tc>
          <w:tcPr>
            <w:tcW w:w="10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4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89"/>
              </w:rPr>
              <w:t>Option Term(2)</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400" w:type="dxa"/>
            <w:vAlign w:val="bottom"/>
          </w:tcPr>
          <w:p>
            <w:pPr>
              <w:spacing w:after="0"/>
              <w:rPr>
                <w:sz w:val="6"/>
                <w:szCs w:val="6"/>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220" w:type="dxa"/>
            <w:vAlign w:val="bottom"/>
          </w:tcPr>
          <w:p>
            <w:pPr>
              <w:spacing w:after="0"/>
              <w:rPr>
                <w:sz w:val="6"/>
                <w:szCs w:val="6"/>
                <w:color w:val="auto"/>
              </w:rPr>
            </w:pPr>
          </w:p>
        </w:tc>
        <w:tc>
          <w:tcPr>
            <w:tcW w:w="10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4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vMerge w:val="restart"/>
          </w:tcPr>
          <w:p>
            <w:pPr>
              <w:spacing w:after="0"/>
              <w:rPr>
                <w:sz w:val="2"/>
                <w:szCs w:val="2"/>
                <w:color w:val="auto"/>
              </w:rPr>
            </w:pPr>
          </w:p>
        </w:tc>
        <w:tc>
          <w:tcPr>
            <w:tcW w:w="10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Granted to</w:t>
            </w:r>
          </w:p>
        </w:tc>
        <w:tc>
          <w:tcPr>
            <w:tcW w:w="120" w:type="dxa"/>
            <w:vAlign w:val="bottom"/>
            <w:vMerge w:val="restart"/>
          </w:tcPr>
          <w:p>
            <w:pPr>
              <w:spacing w:after="0"/>
              <w:rPr>
                <w:sz w:val="2"/>
                <w:szCs w:val="2"/>
                <w:color w:val="auto"/>
              </w:rPr>
            </w:pPr>
          </w:p>
        </w:tc>
        <w:tc>
          <w:tcPr>
            <w:tcW w:w="5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Employees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 Fiscal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7"/>
              </w:rPr>
              <w:t>Per</w:t>
            </w: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Expiration</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Granted(1)</w:t>
            </w:r>
          </w:p>
        </w:tc>
        <w:tc>
          <w:tcPr>
            <w:tcW w:w="2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Share</w:t>
            </w:r>
          </w:p>
        </w:tc>
        <w:tc>
          <w:tcPr>
            <w:tcW w:w="2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5"/>
                <w:szCs w:val="15"/>
                <w:color w:val="auto"/>
              </w:rPr>
            </w:pPr>
          </w:p>
        </w:tc>
        <w:tc>
          <w:tcPr>
            <w:tcW w:w="640" w:type="dxa"/>
            <w:vAlign w:val="bottom"/>
          </w:tcPr>
          <w:p>
            <w:pPr>
              <w:jc w:val="right"/>
              <w:ind w:right="227"/>
              <w:spacing w:after="0"/>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57"/>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867,875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2,199,365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780" w:type="dxa"/>
            <w:vAlign w:val="bottom"/>
          </w:tcPr>
          <w:p>
            <w:pPr>
              <w:jc w:val="right"/>
              <w:spacing w:after="0"/>
              <w:rPr>
                <w:sz w:val="20"/>
                <w:szCs w:val="20"/>
                <w:color w:val="auto"/>
              </w:rPr>
            </w:pPr>
            <w:r>
              <w:rPr>
                <w:rFonts w:ascii="Arial" w:cs="Arial" w:eastAsia="Arial" w:hAnsi="Arial"/>
                <w:sz w:val="18"/>
                <w:szCs w:val="18"/>
                <w:color w:val="auto"/>
              </w:rPr>
              <w:t>160,000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16.33%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5/9/15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694,300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1,759,492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Sockolov</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12/19/15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187,725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20" w:hanging="452"/>
        <w:spacing w:after="0" w:line="252"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fourth quarter of fiscal 2005, the Company’s Board of Directors approved the vesting of substantially all outstanding and unvested options held by directors, officers and employees under the Company’s 1992 Stock Incentive Plan. Accordingly, the above issuances became fully vested on January 27, 2006. See “Stock-Based Compensation” in Note A to the Notes of the Consolidated Financial Statements for the year ended January 28, 2006 for a complete discussion of the acceleration.</w:t>
      </w:r>
    </w:p>
    <w:p>
      <w:pPr>
        <w:spacing w:after="0" w:line="1" w:lineRule="exact"/>
        <w:rPr>
          <w:rFonts w:ascii="Arial" w:cs="Arial" w:eastAsia="Arial" w:hAnsi="Arial"/>
          <w:sz w:val="18"/>
          <w:szCs w:val="18"/>
          <w:color w:val="auto"/>
        </w:rPr>
      </w:pPr>
    </w:p>
    <w:p>
      <w:pPr>
        <w:ind w:left="460" w:right="200" w:hanging="452"/>
        <w:spacing w:after="0" w:line="29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amounts shown on these columns represent hypothetical gains that could be achieved for the options if exercised at the end of the option term. These gains are based on assumed rates of stock appreciation as mandated by the SEC (based on the market value on the date of the grant) of 5% and 10%, compounded annually from the date the options were granted to their expiration date. The gains shown are net of the option exercise price, but do not include deductions for taxes or other expenses associated with the exercise. Actual gains, if any, on stock option exercises will depend on the future performance of the Common Stock and the date on which the options are exercised.</w:t>
      </w:r>
    </w:p>
    <w:p>
      <w:pPr>
        <w:spacing w:after="0" w:line="97"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 xml:space="preserve">Aggregated Option Exercises and Fiscal Year-End Option Value Table. </w:t>
      </w:r>
      <w:r>
        <w:rPr>
          <w:rFonts w:ascii="Arial" w:cs="Arial" w:eastAsia="Arial" w:hAnsi="Arial"/>
          <w:sz w:val="16"/>
          <w:szCs w:val="16"/>
          <w:color w:val="auto"/>
        </w:rPr>
        <w:t>The following table sets forth information for the Named Executive Officers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exercise of stock options during the fiscal year ended January 28, 2006 and the year-end value of unexercised options.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Fiscal 2005 and Fiscal Year-End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6"/>
              </w:rPr>
              <w:t>Number of Securities</w:t>
            </w:r>
          </w:p>
        </w:tc>
        <w:tc>
          <w:tcPr>
            <w:tcW w:w="20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0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Options at Year-End</w:t>
            </w:r>
          </w:p>
        </w:tc>
        <w:tc>
          <w:tcPr>
            <w:tcW w:w="20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at Year End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1"/>
              </w:rPr>
              <w:t>Shares</w:t>
            </w: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6"/>
              </w:rPr>
              <w:t># of Shares(1)</w:t>
            </w:r>
          </w:p>
        </w:tc>
        <w:tc>
          <w:tcPr>
            <w:tcW w:w="2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Value of Shares(1), (2)</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20" w:type="dxa"/>
            <w:vAlign w:val="bottom"/>
          </w:tcPr>
          <w:p>
            <w:pPr>
              <w:spacing w:after="0"/>
              <w:rPr>
                <w:sz w:val="3"/>
                <w:szCs w:val="3"/>
                <w:color w:val="auto"/>
              </w:rPr>
            </w:pPr>
          </w:p>
        </w:tc>
        <w:tc>
          <w:tcPr>
            <w:tcW w:w="8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340" w:type="dxa"/>
            <w:vAlign w:val="bottom"/>
          </w:tcPr>
          <w:p>
            <w:pPr>
              <w:spacing w:after="0"/>
              <w:rPr>
                <w:sz w:val="3"/>
                <w:szCs w:val="3"/>
                <w:color w:val="auto"/>
              </w:rPr>
            </w:pPr>
          </w:p>
        </w:tc>
        <w:tc>
          <w:tcPr>
            <w:tcW w:w="1140" w:type="dxa"/>
            <w:vAlign w:val="bottom"/>
            <w:gridSpan w:val="2"/>
            <w:vMerge w:val="restart"/>
          </w:tcPr>
          <w:p>
            <w:pPr>
              <w:jc w:val="right"/>
              <w:ind w:right="640"/>
              <w:spacing w:after="0" w:line="149" w:lineRule="exact"/>
              <w:rPr>
                <w:sz w:val="20"/>
                <w:szCs w:val="20"/>
                <w:color w:val="auto"/>
              </w:rPr>
            </w:pPr>
            <w:r>
              <w:rPr>
                <w:rFonts w:ascii="Arial" w:cs="Arial" w:eastAsia="Arial" w:hAnsi="Arial"/>
                <w:sz w:val="14"/>
                <w:szCs w:val="14"/>
                <w:b w:val="1"/>
                <w:bCs w:val="1"/>
                <w:color w:val="auto"/>
              </w:rPr>
              <w:t>Value</w:t>
            </w:r>
          </w:p>
        </w:tc>
        <w:tc>
          <w:tcPr>
            <w:tcW w:w="6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Exercise (#)</w:t>
            </w:r>
          </w:p>
        </w:tc>
        <w:tc>
          <w:tcPr>
            <w:tcW w:w="34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Realized ($)</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2"/>
              </w:rPr>
              <w:t>Exercisable</w:t>
            </w: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Unexercisable</w:t>
            </w: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Exercisable</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925,000</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$3,062,000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615,000</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1,199,475</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B. Carlo</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75,000</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Joseph H. Cornely III</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57,000</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$ 262,848</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3,750</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Sockolov</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150,000</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271,000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right="8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result of the Company accelerating all stock options outstanding at January 27, 2006, all outstanding options held by the Named Executive Officers at January 28, 2006 were exercisable.</w:t>
      </w:r>
    </w:p>
    <w:p>
      <w:pPr>
        <w:ind w:left="460" w:right="76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value of unexercised in-the-money options at fiscal year end is the difference between the closing price of the Company’s Common Stock on January 28, 2006 of $7.15 per share and the exercise price of the respective options.</w:t>
      </w:r>
    </w:p>
    <w:p>
      <w:pPr>
        <w:spacing w:after="0" w:line="11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the Company’s equity compensation plans as of January 28, 2006: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81"/>
              </w:rPr>
              <w:t>exercise</w:t>
            </w: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6"/>
              </w:rPr>
              <w:t>price of</w:t>
            </w: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1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84"/>
              </w:rPr>
              <w:t>options,</w:t>
            </w: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1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warrants</w:t>
            </w: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1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and rights</w:t>
            </w: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00" w:type="dxa"/>
            <w:vAlign w:val="bottom"/>
            <w:gridSpan w:val="2"/>
          </w:tcPr>
          <w:p>
            <w:pPr>
              <w:ind w:left="160"/>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25"/>
              <w:spacing w:after="0"/>
              <w:rPr>
                <w:sz w:val="20"/>
                <w:szCs w:val="20"/>
                <w:color w:val="auto"/>
              </w:rPr>
            </w:pPr>
            <w:r>
              <w:rPr>
                <w:rFonts w:ascii="Arial" w:cs="Arial" w:eastAsia="Arial" w:hAnsi="Arial"/>
                <w:sz w:val="14"/>
                <w:szCs w:val="14"/>
                <w:b w:val="1"/>
                <w:bCs w:val="1"/>
                <w:color w:val="auto"/>
                <w:w w:val="89"/>
              </w:rPr>
              <w:t>(b)</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holders(1)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4,241,997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1,371,779(3)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4"/>
          </w:tcPr>
          <w:p>
            <w:pPr>
              <w:ind w:left="200"/>
              <w:spacing w:after="0"/>
              <w:rPr>
                <w:sz w:val="20"/>
                <w:szCs w:val="20"/>
                <w:color w:val="auto"/>
              </w:rPr>
            </w:pPr>
            <w:r>
              <w:rPr>
                <w:rFonts w:ascii="Arial" w:cs="Arial" w:eastAsia="Arial" w:hAnsi="Arial"/>
                <w:sz w:val="18"/>
                <w:szCs w:val="18"/>
                <w:color w:val="auto"/>
              </w:rPr>
              <w:t>holders(2)</w:t>
            </w:r>
          </w:p>
        </w:tc>
        <w:tc>
          <w:tcPr>
            <w:tcW w:w="1520" w:type="dxa"/>
            <w:vAlign w:val="bottom"/>
          </w:tcPr>
          <w:p>
            <w:pPr>
              <w:jc w:val="right"/>
              <w:spacing w:after="0"/>
              <w:rPr>
                <w:sz w:val="20"/>
                <w:szCs w:val="20"/>
                <w:color w:val="auto"/>
              </w:rPr>
            </w:pPr>
            <w:r>
              <w:rPr>
                <w:rFonts w:ascii="Arial" w:cs="Arial" w:eastAsia="Arial" w:hAnsi="Arial"/>
                <w:sz w:val="18"/>
                <w:szCs w:val="18"/>
                <w:color w:val="auto"/>
              </w:rPr>
              <w:t>1,140,000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5,381,997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1,371,779(3)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-172720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-172720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-172720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-172720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-172720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-172720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-172720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38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January 28, 2006, the Company’s only approved equity compensation plan is its 1992 Stock Incentive Plan which provides for the issuance of up to 6,250,000 shares of the Company’s Common Stock.</w:t>
      </w:r>
    </w:p>
    <w:p>
      <w:pPr>
        <w:ind w:left="460" w:right="2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Board of Directors and the Compensation Committee of the Board of Directors have the reasonable discretion to issue shares outside of the 1992 Plan, subject to the rules of the Nasdaq National Market. Accordingly, at January 28, 2006 there were outstanding options to purchase up to 1,140,000 shares of Common Stock which were issued outside of the 1992 Plan, with exercise prices ranging from $1.14 to $5.35 per share. These options represent grants to consultants of the Company and also options granted to its executives in excess of the 1992 Plan’s annual maximum. At January 28, 2006, all of these options were exercisable.</w:t>
      </w:r>
    </w:p>
    <w:p>
      <w:pPr>
        <w:spacing w:after="0" w:line="2" w:lineRule="exact"/>
        <w:rPr>
          <w:rFonts w:ascii="Arial" w:cs="Arial" w:eastAsia="Arial" w:hAnsi="Arial"/>
          <w:sz w:val="18"/>
          <w:szCs w:val="18"/>
          <w:color w:val="auto"/>
        </w:rPr>
      </w:pPr>
    </w:p>
    <w:p>
      <w:pPr>
        <w:ind w:left="460" w:right="8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table excludes the additional 2,500,000 shares that would be available for issuance under the 2006 Incentive Compensation Plan if Proposal 2 is approved at the Annual Meeting. If the 2006 Incentive Compensation Plan is approved, however, then no further grants will be made under the 1992 Stock Incentive Plan and, accordingly, the total number of securities available for future issuance under equity compensation plans (excluding securities reflected in column (a)) would be 2,500,000.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8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 part of the Casual Male acquisition, the Company assumed Casual Male Corp.’s obligations under its Pension Plan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60" w:type="dxa"/>
            <w:vAlign w:val="bottom"/>
            <w:gridSpan w:val="5"/>
          </w:tcPr>
          <w:p>
            <w:pPr>
              <w:ind w:left="220"/>
              <w:spacing w:after="0"/>
              <w:rPr>
                <w:sz w:val="20"/>
                <w:szCs w:val="20"/>
                <w:color w:val="auto"/>
              </w:rPr>
            </w:pPr>
            <w:r>
              <w:rPr>
                <w:rFonts w:ascii="Arial" w:cs="Arial" w:eastAsia="Arial" w:hAnsi="Arial"/>
                <w:sz w:val="14"/>
                <w:szCs w:val="14"/>
                <w:b w:val="1"/>
                <w:bCs w:val="1"/>
                <w:color w:val="auto"/>
                <w:w w:val="90"/>
              </w:rPr>
              <w:t>Representative Years of Service</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27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Average of Highest Five Years of Compensation</w:t>
            </w:r>
          </w:p>
        </w:tc>
        <w:tc>
          <w:tcPr>
            <w:tcW w:w="4080" w:type="dxa"/>
            <w:vAlign w:val="bottom"/>
          </w:tcPr>
          <w:p>
            <w:pPr>
              <w:spacing w:after="0"/>
              <w:rPr>
                <w:sz w:val="22"/>
                <w:szCs w:val="22"/>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10 yrs</w:t>
            </w:r>
          </w:p>
        </w:tc>
        <w:tc>
          <w:tcPr>
            <w:tcW w:w="600" w:type="dxa"/>
            <w:vAlign w:val="bottom"/>
          </w:tcPr>
          <w:p>
            <w:pPr>
              <w:spacing w:after="0"/>
              <w:rPr>
                <w:sz w:val="22"/>
                <w:szCs w:val="22"/>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 yrs</w:t>
            </w:r>
          </w:p>
        </w:tc>
        <w:tc>
          <w:tcPr>
            <w:tcW w:w="320" w:type="dxa"/>
            <w:vAlign w:val="bottom"/>
          </w:tcPr>
          <w:p>
            <w:pPr>
              <w:spacing w:after="0"/>
              <w:rPr>
                <w:sz w:val="22"/>
                <w:szCs w:val="22"/>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89"/>
              </w:rPr>
              <w:t>30 yrs (maximum)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88"/>
              </w:rPr>
              <w:t>$ 50,000</w:t>
            </w:r>
          </w:p>
        </w:tc>
        <w:tc>
          <w:tcPr>
            <w:tcW w:w="27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$ 4,977</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$ 9,953</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w w:val="95"/>
              </w:rPr>
              <w:t>100,000</w:t>
            </w:r>
          </w:p>
        </w:tc>
        <w:tc>
          <w:tcPr>
            <w:tcW w:w="2720" w:type="dxa"/>
            <w:vAlign w:val="bottom"/>
          </w:tcPr>
          <w:p>
            <w:pPr>
              <w:spacing w:after="0"/>
              <w:rPr>
                <w:sz w:val="18"/>
                <w:szCs w:val="18"/>
                <w:color w:val="auto"/>
              </w:rPr>
            </w:pP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11,977</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23,953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5"/>
              </w:rPr>
              <w:t>150,000</w:t>
            </w:r>
          </w:p>
        </w:tc>
        <w:tc>
          <w:tcPr>
            <w:tcW w:w="27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18,977</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37,953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w w:val="95"/>
              </w:rPr>
              <w:t>200,000</w:t>
            </w:r>
          </w:p>
        </w:tc>
        <w:tc>
          <w:tcPr>
            <w:tcW w:w="2720" w:type="dxa"/>
            <w:vAlign w:val="bottom"/>
          </w:tcPr>
          <w:p>
            <w:pPr>
              <w:spacing w:after="0"/>
              <w:rPr>
                <w:sz w:val="18"/>
                <w:szCs w:val="18"/>
                <w:color w:val="auto"/>
              </w:rPr>
            </w:pP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25,977</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51,953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250,000*</w:t>
            </w:r>
          </w:p>
        </w:tc>
        <w:tc>
          <w:tcPr>
            <w:tcW w:w="27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65,953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w w:val="99"/>
              </w:rPr>
              <w:t>267,326*</w:t>
            </w:r>
          </w:p>
        </w:tc>
        <w:tc>
          <w:tcPr>
            <w:tcW w:w="2720" w:type="dxa"/>
            <w:vAlign w:val="bottom"/>
          </w:tcPr>
          <w:p>
            <w:pPr>
              <w:spacing w:after="0"/>
              <w:rPr>
                <w:sz w:val="18"/>
                <w:szCs w:val="18"/>
                <w:color w:val="auto"/>
              </w:rPr>
            </w:pP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35,402</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70,805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300,000*</w:t>
            </w:r>
          </w:p>
        </w:tc>
        <w:tc>
          <w:tcPr>
            <w:tcW w:w="27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39,977</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79,953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7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the Company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 Plan for retirees at age 65, prior to the offset, if any, for benefits accrued under the retirement plan of Casual Male Corp. and for Social Security benefits.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January 28, 2006, Mr. Cornely was the only Named Executive Officer of the Company who was a participant in the Pension Plan and Supplemental Plan. As such, Mr. Cornely will be entitled to an accrued benefit under the Pension Plan upon turning 65 year of age of $11,981.38 and a benefit of $4,715.07 under the Supplemental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83"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The Company has a 401(k) Plan for which all eligible employees of the Company may participate. The 401(k) Plan, which is a defined contribution plan, permits each participant to defer up to 15% of such participant’s annual salary up to a maximum annual amount ($14,000 in calendar 2005, $13,000 in calendar 2004 and $12,000 in calendar 2003). The Board of Directors of the Company may determine, from fiscal year to fiscal year, whether and to what extent the Company will contribute to the 401(k) Plan by matching contributions made to such plan by eligible employees. During fiscal 2005, the matching contribution by the Company continued to be 50% of contributions by eligible employees up to a maximum of six percent of salary.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83"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In fiscal 2000, the Company obtained a key man life insurance policy in the amount of $2,000,000 on the life of Mr. Levin. In fiscal 2001, the Company obtained a key man life insurance policy in the amount of $2,000,000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75" w:lineRule="auto"/>
        <w:rPr>
          <w:sz w:val="20"/>
          <w:szCs w:val="20"/>
          <w:color w:val="auto"/>
        </w:rPr>
      </w:pPr>
      <w:r>
        <w:rPr>
          <w:rFonts w:ascii="Arial" w:cs="Arial" w:eastAsia="Arial" w:hAnsi="Arial"/>
          <w:sz w:val="18"/>
          <w:szCs w:val="18"/>
          <w:color w:val="auto"/>
        </w:rPr>
        <w:t xml:space="preserve">the life of Mr. Hernreich. In fiscal 2004, the Company obtained a key man life insurance policy in the amount of $2,000,000 on the life of Mr. Sockolov. </w:t>
      </w:r>
      <w:r>
        <w:rPr>
          <w:rFonts w:ascii="Arial" w:cs="Arial" w:eastAsia="Arial" w:hAnsi="Arial"/>
          <w:sz w:val="18"/>
          <w:szCs w:val="18"/>
          <w:b w:val="1"/>
          <w:bCs w:val="1"/>
          <w:color w:val="auto"/>
        </w:rPr>
        <w:t>Employment Agreements</w:t>
      </w:r>
    </w:p>
    <w:p>
      <w:pPr>
        <w:spacing w:after="0" w:line="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Company has employment agreements, which were most recently amended by letter agreement dated May 26, 2006 (collectively, the “Employment Agreements”), with David A. Levin and Dennis R. Hernreich. The Employment Agreements are for three-year terms, and automatically renew on each anniversary of the agreement’s commencement date for additional one-year periods, unless ninety-day notice by either party is otherwise given. The initial three-year term of Mr. Levin’s Employment Agreement was from April 10, 2000 until April 10, 2003. On each anniversary of the agreement’s commencement date, the term was extended for a one-year period. Accordingly, as of April 10, 2006, the most recent anniversary of Mr. Levin’s agreement’s commencement date,</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Mr. Levin’s employment with the Company was extended for an additional one-year period thereby extending the agreement to April 10, 2009. The initial three-year term of Mr. Hernreich’s Employment Agreement was from September 4, 2000 until September 4, 2003. On each anniversary of the agreement’s commencement date, the term was extended for a one-year period. Accordingly, as of September 4, 2005, the most recent anniversary of Mr. Hernreich’s agreement’s commencement date, Mr. Hernreich’s Employment Agreement with the Company was extended for an additional one-year period thereby extending the agreement to September 4, 2008.</w:t>
      </w:r>
    </w:p>
    <w:p>
      <w:pPr>
        <w:spacing w:after="0" w:line="13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These Employment Agreements require each executive officer to devote substantially all of the executive officer’s time and attention to the business of the Company as necessary to fulfill his respective duties. The Employment Agreements, as most recently amended, provide that Messrs. Levin and Hernreich would be paid base salaries at annual rates of $750,000 and $575,000, respectively. The Employment Agreements provide that the annual rate of base salary for the renewal term may be increased by the Compensation Committee of the Board of Directors in its sole discretion.</w:t>
      </w:r>
    </w:p>
    <w:p>
      <w:pPr>
        <w:spacing w:after="0" w:line="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Employment Agreements also provide for the payment of bonuses in such amounts as may be determined by the Compensation Committee. The Compensation Committee of the Board of Directors shall determine, in its sole discretion, the amount of bonus to be paid to the executive officers. While Messrs. Levin and Hernreich are employed by the Company, the Company will provide each executive an automobile allowance in the amount of $800 and $700 per month, respectively. Each executive is entitled to vacation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Company’s Executive Incentive Plan for fiscal 2005, on April 14, 2006, Messrs. Levin and Hernreich received bonuses of $450,000 and $345,000, respectively, based on the achievement of certain performance targets in fiscal 2005.</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24, 2006, the Company granted to Messrs. Levin and Hernreich were granted stock options with respect to 200,000 and 160,000 shares of the Company’s common stock, respectively. These stock options have an exercise price of $9.27 per share and will vest ratably over a three-year period, with the first one-third vesting on April 24, 2007.</w:t>
      </w:r>
    </w:p>
    <w:p>
      <w:pPr>
        <w:spacing w:after="0" w:line="12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Pursuant to the recent letter agreements dated May 26, 2006, Messrs. Levin and Hernreich will each be entitled to receive a cash bonus for fiscal 2006 ranging from 80% to 150% of their respective annual salaries if the Company achieves a certain range of EBITDA (earnings before interest, taxes and depreciation and amortization) for fiscal 2006.</w:t>
      </w:r>
    </w:p>
    <w:p>
      <w:pPr>
        <w:spacing w:after="0" w:line="127"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Employment Agreements provide that in the event the executive officer’s employment is terminated by the Company at any time for any reason other than “justifiable cause” (as defined in the Employment Agreements),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disability or death, the Company is required to pay the executive officer the greater of (1) the base salary for the remaining term of the related Employment Agreement or (2) an amount equal to one half of the executive officer’s annual salary. If the remaining term of the related Employment Agreement on the date of termination is more than six months, the executive officer must make a good faith effort to find new employment and mitigate damages, costs and expenses to the Company. The Employment Agreements also provide that if the executive is terminated without justifiable cause within one year after a Change of Control of the Company (as defined below) has occurred, the executive officer shall receive a lump sum payment in an amount equal to the greater of (1) the base salary for the remaining term of the related Employment Agreement or (2) the current base salary for one year.</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Employment Agreements contain confidentiality provisions pursuant to which each executive officer agrees not to disclose confidential information regarding the Company. The Employment Agreements also contain covenants pursuant to which each executive officer agrees, during the term of his employment and for a one-year period following the termination of his employment, not to have any connection with any business which competes with the business of the Company.</w:t>
      </w:r>
    </w:p>
    <w:p>
      <w:pPr>
        <w:spacing w:after="0" w:line="13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For purposes of the Employment Agreements, a “Change in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employment-related agreements with Mr. Cornely, Ms. Carlo and Mr. Sockolov.</w:t>
      </w:r>
    </w:p>
    <w:p>
      <w:pPr>
        <w:spacing w:after="0" w:line="1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When the Company acquired the Casual Male business in May 2002, the Company agreed to abide by the terms of Mr. Cornely’s Severance Compensation Agreement, which was entered into with Casual Male Corp. Pursuant to the terms of this Severance Compensation Agreement, in the event that Mr. Cornely’s employment with the Company is terminated for reasons defined in the agreement, the Company will pay to Mr. Cornely a severance payment of up to 14 months of his annual salary. The amount actually paid would be dependent on the reason for termination, decreased by the amount earned as the result of any subsequent employment obtained during the severance period. Mr. Cornely in also entitled to participate in the Company’s bonus program at a bonus incentive rate of 40% of her annual base salary, depending on the performance of the Company (based on achieving annual EBITDA targets) and at the sole discretion of the Compensation Committee.</w:t>
      </w:r>
    </w:p>
    <w:p>
      <w:pPr>
        <w:spacing w:after="0" w:line="13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employment agreement with Ms. Carlo, which was most recently amended on June 29, 2004, is for a two-year term beginning on August 4, 2004. Pursuant to that agreement, Ms. Carlo receives an annual salary of $303,000 and is entitled to participate in the Company’s bonus program at a bonus incentive rate of 40% of her annual base salary, depending on the performance of the Company (based on achieving annual EBITDA targets) and at the sole discretion of the Compensation Committee. Ms. Carlo receives an automobile allowance in the amount of $700 per month and is entitled to vacation and to participate in and receive any other benefits customarily provided by the Company to its senior executives.</w:t>
      </w:r>
    </w:p>
    <w:p>
      <w:pPr>
        <w:spacing w:after="0" w:line="1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October 29, 2004, the Company entered into an employment agreement with Mr. Sockolov. Under the terms of that employment agreement, which will terminate January 31, 2008, Mr. Sockolov serves as the Chief Executive Officer of the Company’s Rochester division. The Company pays Mr. Sockolov an annual base salary of $250,000, subject to annual increases as determined by the Board of Directors or a committee thereof. Mr. Sockolov receives an automobile allowance of $700 per month and is entitled to six weeks of vacation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other benefits customarily provided by the Company to its senior executives. On December 19, 2005, Mr. Sockolov received an option to purchase 50,000 shares of the Company’s Common Stock at an exercise price of $5.97 per share. This option became fully vested on January 27, 2006 in connection with the Company’s acceleration of all of its outstanding stock options.</w:t>
      </w:r>
    </w:p>
    <w:p>
      <w:pPr>
        <w:spacing w:after="0" w:line="127"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The employment agreement provides that in the event Mr. Sockolov’s employment is terminated by the Company for any reason other than “cause” (as defined in the agreement) or death, Mr. Sockolov will be entitled to receive his full compensation and benefits under the employment agreement through January 31, 2008.</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Performance Share Bonus Plan</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In fiscal 2005, the Company adopted a Long-Term Performance Share Bonus Plan pursuant to which certain key members of senior management are eligible to participate. Ms. Carlo and Messrs. Cornely and Sockolov are among the participants eligible to participant in this plan. Messrs. Levin, Hernreich and Holtzman are not eligible to participate in this plan. Pursuant to the plan, if the Company achieves certain EBIT (earnings before interest and taxes) targets by the end of fiscal 2007, each participant in the plan will be entitled to receive restricted shares of the Company’s Common Stock, valued at 75% to 120%, depending of the target level achieved, of the participant’s cumulative salary during the incentive period of fiscal 2005-2007 (discounted at a rate of 30%, 70% or 90% depending on the participant’s respective tier level). The actual number of restricted shares granted, if any, will be such value divided by the closing price of the Company’s Common Stock on the date of grant, will which be in March following the fiscal year in which the target is achieved. Upon grant, the restricted shares will vest ratably over eighteen months. Assuming a fair market closing price of $10.00 per share on the date of grant and current salary levels, if the Company were to achieve the EBIT targets established in the plan, the Company may be required to issue an estimated 700,000 to 1.1 million shares; however, because the Company cannot predict if and when such targets will be met, the achievement of the targets is not considered probable at this time. Furthermore, even if the targets are achieved, the Company cannot predict the actual number of shares of Common Stock that may be issued under this plan, as that depends on both the fair market value of the Company’s Common Stock at the time of grant and the salary levels of participants through 2007, both of which are unknown at this time.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Seymour Holtzman, the Chairman of the Board of Directors of the Company, is compensated by the Company both directly (as an executive officer of the Company) and indirectly (as the president and chief executive officer and, together with his wife, the sole shareholder of JMI). Since October 1999, the Company has had an ongoing consulting agreement with JMI to assist in developing and implementing a strategic plan for the Company and for other related consulting services as may be agreed upon between JMI and the Company. Mr. Holtzman, who became the Company’s Chairman of the Board on April 11, 2000, is the beneficial holder of approximately 15.8% of the outstanding Common Stock of the Company.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 summary of all compensation and consulting fees paid to Mr. Holtzman and JMI are included above under “Chairman Compensation (Direct and Indirect)”.</w:t>
      </w:r>
    </w:p>
    <w:p>
      <w:pPr>
        <w:spacing w:after="0" w:line="181"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During the first quarter of fiscal 2006, the Board of Directors approved (1) the payment to JMI of approximately $320,000 as reimbursement of legal costs incurred by JMI in connection with JMI’s successful defense of a Section 16 claim involving the Company’s securities and (2) the payment to JMI of approximately $50,000 as consideration for the upward adjustment of the exercise price of warrants issued to JMI in connection with the fiscal 2003 private placement of the Company’s 12% senior subordinated notes due 2010.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fiscal 2005, the members of the Compensation Committee were Messrs. Choper and Porter. Joseph Pennacchio also served as a member of the Compensation Committee through October 12, 2005 which he retired as a director of the Company. Persons serving on the Compensation Committee had no relationships with the Company in fiscal 2005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such entity’s board of directors or compensation committee.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Section 16(a) of the Exchange Act, requires the Company’s executive officers and directors, and persons who own more than 10% of a registered class of the Company’s equity securities (collectively, the “Reporting Persons”), to file reports of ownership and changes in ownership with the SEC. The Reporting Persons are required to furnish the Company with copies of all Section 16(a) reports they file. Based solely upon a review of Forms 3, 4 and 5 and amendments thereto furnished to the Company during fiscal 2005, the Company believes that the current Reporting Persons complied with all applicable Section 16(a) reporting requirements and that all required reports were filed in a timely manner, with the exception of the following filings:</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Porter filed a late Form 4 in May 2005 with respect to shares he gifted to his wife in March 2005. Messrs. Porter and Choper each filed a late Form 4 in January 2006 for stock compensation received for a Compensation Committee meeting held in December 2005. Mr. Sockolov filed a late Form 4 in January 2006 for a stock option grant he received from the Company in December 2005.</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COMMITTEE REPORT</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Decisions concerning the compensation of the Company’s executive officers generally are made by the Compensation Committee of the Board of Directors. The Compensation Committee currently consists of two members, Jesse Choper and George Porter, each of whom is independent under the rules of Nasdaq. Joseph Pennacchio also served as a member of the Compensation Committee through October 12, 2005 when he retired as a director of the Company. This Compensation Committee Report summarizes the Company’s executive officer compensation practices and policies for fiscal year 2005, as well as compensation changes for fiscal 2006.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w:t>
      </w:r>
    </w:p>
    <w:p>
      <w:pPr>
        <w:spacing w:after="0" w:line="8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Company’s compensation policies are designed to link executive officer compensation to the annual and long-term performance of the Company and to provide industry-competitive compensation for such officers. The Company’s executive officer compensation consists of two key components: (1) an annual component, consisting of annual base salary and annual incentive bonus, if any, and (2) a long-term component consisting of the grant of stock options, performance share awards or other similar equity instruments.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policies with respect to each of these elements, as well as the bases for determining the compensation of the Company’s executives, are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Annual Component: Base Salary and Annual Incentive Bonus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specialty retail apparel industry (the “Industry”). The Compensation Committee defines the Industry as public companies in the specialty retail apparel business with similar sales and market capitalization. Annual base salary adjustments are influenced by the Company’s performance in the previous fiscal year and the individual’s contribution to that performance, the individual’s performance, which is measured by various factors including, but not limited to, the number of departments and employees for which the executive officer is responsible, promotions of the individual that may have occurred during the fiscal year, and any increases in the individual’s level of responsibility.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Long-Term Component: Stock-Based Awards</w:t>
      </w:r>
    </w:p>
    <w:p>
      <w:pPr>
        <w:spacing w:after="0" w:line="77" w:lineRule="exact"/>
        <w:rPr>
          <w:sz w:val="20"/>
          <w:szCs w:val="20"/>
          <w:color w:val="auto"/>
        </w:rPr>
      </w:pPr>
    </w:p>
    <w:p>
      <w:pPr>
        <w:ind w:right="140"/>
        <w:spacing w:after="0" w:line="314" w:lineRule="auto"/>
        <w:rPr>
          <w:sz w:val="20"/>
          <w:szCs w:val="20"/>
          <w:color w:val="auto"/>
        </w:rPr>
      </w:pPr>
      <w:r>
        <w:rPr>
          <w:rFonts w:ascii="Arial" w:cs="Arial" w:eastAsia="Arial" w:hAnsi="Arial"/>
          <w:sz w:val="15"/>
          <w:szCs w:val="15"/>
          <w:color w:val="auto"/>
        </w:rPr>
        <w:t>To align executive officers’ interests more closely with the interests of the stockholders of the Company, the Company’s long-term compensation program emphasizes the grant of stock options. The amount of such awards is determined one or more times in each fiscal year by the Compensation Committee. Stock-based awards normally are granted to executive officers in amounts based largely upon the size of stock-based awards for comparable positions, the Company’s financial and operational performance, as well as the availability of shares of Common Stock under the Company’s equity incentive plans. The Compensation Committee may take into account other factors in determining the size of stock-based awards, including, but not limited to, special accomplishments during the preceding year and the need to attract and retain individuals the Compensation Committee perceives to be valuable to the Company.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Discussion of 2005 Compensation for the Chief Executive Officer</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the acquisition of Casual Male in fiscal 2002, the Company has been working on a strategic plan to grow its Casual Male business, improve its infrastructure and re-establish the Casual Male brand within the marketplace. In determining Mr. Levin’s compensation for 2005, the Compensation Committee considered not only the Company’s financial performance but also the progress the Company has achieved toward its strategic plan. Following the completion of the Company’s divestiture of its non-core businesses in fiscal 2004, fiscal 2005 was the Company’s first fiscal year since the acquisition that it operated solely as a big &amp; tall retailer, and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fourth quarter of fiscal 2005 marked the Company’s tenth consecutive quarter of positive comparable store sale increases. These accomplishments, as well as significantly improved financial results and a stronger financial position, factored into Mr. Levin’s overall compensation for fiscal 2005. In addition, the Company also considered other qualitative factors, such as enhancement of shareholder value, expanding the Company’s exposure in the investment community and the overall strength of the Company and its employees. The Committee also considered salary information for chief executive officers of other apparel retailers of similar size and direction that the Committee believes is comparable.</w:t>
      </w:r>
    </w:p>
    <w:p>
      <w:pPr>
        <w:spacing w:after="0" w:line="10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 fiscal 2005, Mr. Levin received a base salary of $600,000. The Compensation Committee also established an incentive bonus plan for fiscal 2005 which was based on the Company achieving certain thresholds. Based on the achievement of certain performance targets for fiscal 2005, Mr. Levin received a cash bonus of $450,000 on April 14, 2006. In addition, based on the strong results for fiscal 2005, on April 24, 2006, the Company granted Mr. Levin options to acquire 200,000 shares of the Company’s Common Stock at an exercise price of $9.27 per share, which will vest ratably over a three-year period.</w:t>
      </w:r>
    </w:p>
    <w:p>
      <w:pPr>
        <w:spacing w:after="0" w:line="99" w:lineRule="exact"/>
        <w:rPr>
          <w:sz w:val="20"/>
          <w:szCs w:val="20"/>
          <w:color w:val="auto"/>
        </w:rPr>
      </w:pPr>
    </w:p>
    <w:p>
      <w:pPr>
        <w:ind w:right="1700"/>
        <w:spacing w:after="0" w:line="375" w:lineRule="auto"/>
        <w:rPr>
          <w:sz w:val="20"/>
          <w:szCs w:val="20"/>
          <w:color w:val="auto"/>
        </w:rPr>
      </w:pPr>
      <w:r>
        <w:rPr>
          <w:rFonts w:ascii="Arial" w:cs="Arial" w:eastAsia="Arial" w:hAnsi="Arial"/>
          <w:sz w:val="18"/>
          <w:szCs w:val="18"/>
          <w:color w:val="auto"/>
        </w:rPr>
        <w:t xml:space="preserve">The Committee believes Mr. Levin’s compensation is commensurate with the overall financial and strategic performance of the Company. </w:t>
      </w:r>
      <w:r>
        <w:rPr>
          <w:rFonts w:ascii="Arial" w:cs="Arial" w:eastAsia="Arial" w:hAnsi="Arial"/>
          <w:sz w:val="18"/>
          <w:szCs w:val="18"/>
          <w:i w:val="1"/>
          <w:iCs w:val="1"/>
          <w:color w:val="auto"/>
        </w:rPr>
        <w:t>Fiscal 2006 Compensation Changes</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Effective May 26, 2006, the Compensation Committee increased the annual base salaries of Mr. Levin to $750,000. The increase was based on the strong fiscal 2005 results and the achievement of many business initiatives. The Compensation Committee believes that Mr. Levin’s compensation is now in line with executive compensation for similar companies in this industry. Mr. Levin will also be entitled to receive a cash bonus for fiscal 2006 ranging from 80% to 150% of his annual salary if the Company achieves a certain range of EBITDA for fiscal 2006.</w:t>
      </w:r>
    </w:p>
    <w:p>
      <w:pPr>
        <w:spacing w:after="0" w:line="130"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In addition to the foregoing, executive officers receive benefits under certain group health, long-term disability and life insurance plans, which are generally available to the Company’s eligible employees. After one year of service with the Company, executive officers are eligible to participate in the 401(k) Plan. Benefits under these plans are not tied to corporate performance.</w:t>
      </w:r>
    </w:p>
    <w:p>
      <w:pPr>
        <w:spacing w:after="0" w:line="1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SEC requires that this Compensation Committee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COMPENSATION COMMITTEE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Jesse Choper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George T. Porter, Jr.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following Performance Graph compares the Company’s cumulative stockholder return with that of a broad market index (Standard &amp; Poor’s Industrials Index) and one published industry index (Standard &amp; Poor’s 500—Composite Retail Index) for each of the most recent five years ended January 31. The cumulative stockholder return for shares of the Company’s Common Stock (“CMRG”) and each of the indices is calculated assuming that $100 was invested on January 31, 2001. The Company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the Company’s Common Stock, the S &amp; P Industrial and Composite Retail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167005</wp:posOffset>
            </wp:positionV>
            <wp:extent cx="5085715" cy="2967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85715"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ectPr>
          <w:pgSz w:w="11900" w:h="16838" w:orient="portrait"/>
          <w:cols w:equalWidth="0" w:num="1">
            <w:col w:w="11420"/>
          </w:cols>
          <w:pgMar w:left="240" w:top="459" w:right="239" w:bottom="1440" w:gutter="0" w:footer="0" w:header="0"/>
        </w:sectPr>
      </w:pP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8235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Jan 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90805</wp:posOffset>
            </wp:positionV>
            <wp:extent cx="3517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83185</wp:posOffset>
            </wp:positionV>
            <wp:extent cx="3600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Years Ending</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Jan 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60325</wp:posOffset>
            </wp:positionV>
            <wp:extent cx="3600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83185</wp:posOffset>
            </wp:positionV>
            <wp:extent cx="3600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83185</wp:posOffset>
            </wp:positionV>
            <wp:extent cx="3771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6">
            <w:col w:w="6880" w:space="720"/>
            <w:col w:w="360" w:space="480"/>
            <w:col w:w="380" w:space="260"/>
            <w:col w:w="780" w:space="200"/>
            <w:col w:w="380" w:space="500"/>
            <w:col w:w="480"/>
          </w:cols>
          <w:pgMar w:left="240" w:top="459" w:right="239" w:bottom="144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CMRG</w:t>
            </w:r>
          </w:p>
        </w:tc>
        <w:tc>
          <w:tcPr>
            <w:tcW w:w="3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77.78</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107.60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(20.94)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S&amp;P INDUSTRIALS</w:t>
            </w:r>
          </w:p>
        </w:tc>
        <w:tc>
          <w:tcPr>
            <w:tcW w:w="3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(18.56)</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(25.23)</w:t>
            </w:r>
          </w:p>
        </w:tc>
        <w:tc>
          <w:tcPr>
            <w:tcW w:w="560" w:type="dxa"/>
            <w:vAlign w:val="bottom"/>
          </w:tcPr>
          <w:p>
            <w:pPr>
              <w:jc w:val="right"/>
              <w:spacing w:after="0"/>
              <w:rPr>
                <w:sz w:val="20"/>
                <w:szCs w:val="20"/>
                <w:color w:val="auto"/>
              </w:rPr>
            </w:pPr>
            <w:r>
              <w:rPr>
                <w:rFonts w:ascii="Arial" w:cs="Arial" w:eastAsia="Arial" w:hAnsi="Arial"/>
                <w:sz w:val="18"/>
                <w:szCs w:val="18"/>
                <w:color w:val="auto"/>
              </w:rPr>
              <w:t>32.13</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3.43</w:t>
            </w:r>
          </w:p>
        </w:tc>
        <w:tc>
          <w:tcPr>
            <w:tcW w:w="600" w:type="dxa"/>
            <w:vAlign w:val="bottom"/>
          </w:tcPr>
          <w:p>
            <w:pPr>
              <w:jc w:val="right"/>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COMPOSITE RETAIL - 500</w:t>
            </w:r>
          </w:p>
        </w:tc>
        <w:tc>
          <w:tcPr>
            <w:tcW w:w="3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(72.84)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13.96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8"/>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Indexed Returns</w:t>
            </w:r>
          </w:p>
        </w:tc>
        <w:tc>
          <w:tcPr>
            <w:tcW w:w="3000" w:type="dxa"/>
            <w:vAlign w:val="bottom"/>
          </w:tcPr>
          <w:p>
            <w:pPr>
              <w:spacing w:after="0"/>
              <w:rPr>
                <w:sz w:val="24"/>
                <w:szCs w:val="24"/>
                <w:color w:val="auto"/>
              </w:rPr>
            </w:pP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Base</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1"/>
              </w:rPr>
              <w:t>Period</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Company/Index</w:t>
            </w:r>
          </w:p>
        </w:tc>
        <w:tc>
          <w:tcPr>
            <w:tcW w:w="30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Jan 01</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Jan 02</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Jan 03</w:t>
            </w:r>
          </w:p>
        </w:tc>
        <w:tc>
          <w:tcPr>
            <w:tcW w:w="560" w:type="dxa"/>
            <w:vAlign w:val="bottom"/>
          </w:tcPr>
          <w:p>
            <w:pPr>
              <w:jc w:val="right"/>
              <w:ind w:right="15"/>
              <w:spacing w:after="0"/>
              <w:rPr>
                <w:sz w:val="20"/>
                <w:szCs w:val="20"/>
                <w:color w:val="auto"/>
              </w:rPr>
            </w:pPr>
            <w:r>
              <w:rPr>
                <w:rFonts w:ascii="Arial" w:cs="Arial" w:eastAsia="Arial" w:hAnsi="Arial"/>
                <w:sz w:val="14"/>
                <w:szCs w:val="14"/>
                <w:b w:val="1"/>
                <w:bCs w:val="1"/>
                <w:color w:val="auto"/>
              </w:rPr>
              <w:t>Jan 04</w:t>
            </w:r>
          </w:p>
        </w:tc>
        <w:tc>
          <w:tcPr>
            <w:tcW w:w="22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Jan 05</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 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CMRG</w:t>
            </w:r>
          </w:p>
        </w:tc>
        <w:tc>
          <w:tcPr>
            <w:tcW w:w="3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177.78</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146.22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303.56</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240.00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S&amp;P INDUSTRIALS</w:t>
            </w:r>
          </w:p>
        </w:tc>
        <w:tc>
          <w:tcPr>
            <w:tcW w:w="366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81.44</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60.89</w:t>
            </w:r>
          </w:p>
        </w:tc>
        <w:tc>
          <w:tcPr>
            <w:tcW w:w="560" w:type="dxa"/>
            <w:vAlign w:val="bottom"/>
          </w:tcPr>
          <w:p>
            <w:pPr>
              <w:jc w:val="right"/>
              <w:spacing w:after="0"/>
              <w:rPr>
                <w:sz w:val="20"/>
                <w:szCs w:val="20"/>
                <w:color w:val="auto"/>
              </w:rPr>
            </w:pPr>
            <w:r>
              <w:rPr>
                <w:rFonts w:ascii="Arial" w:cs="Arial" w:eastAsia="Arial" w:hAnsi="Arial"/>
                <w:sz w:val="18"/>
                <w:szCs w:val="18"/>
                <w:color w:val="auto"/>
              </w:rPr>
              <w:t>80.45</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83.21</w:t>
            </w:r>
          </w:p>
        </w:tc>
        <w:tc>
          <w:tcPr>
            <w:tcW w:w="600" w:type="dxa"/>
            <w:vAlign w:val="bottom"/>
          </w:tcPr>
          <w:p>
            <w:pPr>
              <w:jc w:val="right"/>
              <w:spacing w:after="0"/>
              <w:rPr>
                <w:sz w:val="20"/>
                <w:szCs w:val="20"/>
                <w:color w:val="auto"/>
              </w:rPr>
            </w:pPr>
            <w:r>
              <w:rPr>
                <w:rFonts w:ascii="Arial" w:cs="Arial" w:eastAsia="Arial" w:hAnsi="Arial"/>
                <w:sz w:val="18"/>
                <w:szCs w:val="18"/>
                <w:color w:val="auto"/>
              </w:rPr>
              <w:t>90.94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COMPOSITE RETAIL - 500</w:t>
            </w:r>
          </w:p>
        </w:tc>
        <w:tc>
          <w:tcPr>
            <w:tcW w:w="3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104.13</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47.81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000" w:type="dxa"/>
            <w:vAlign w:val="bottom"/>
          </w:tcPr>
          <w:p>
            <w:pPr>
              <w:jc w:val="right"/>
              <w:ind w:right="952"/>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2</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APPROVAL OF THE ADOPTION OF THE 2006 INCENTIVE COMPENSATION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Purpose</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currently has one equity incentive plan, its 1992 Stock Incentive Plan (the “1992 Plan”), which will expire in April 2007. In addition, as of June 6, 2006, only approximately 710,000 shares remained available for grant under this plan.</w:t>
      </w:r>
    </w:p>
    <w:p>
      <w:pPr>
        <w:spacing w:after="0" w:line="11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Accordingly, on April 24, 2006, the Company’s Board of Directors adopted the 2006 Incentive Compensation Plan (the “2006 Plan”), subject to the approval of stockholders at the Annual Meeting. The 2006 Plan will not be effective unless and until it receives stockholder approval. If the 2006 Plan is adopted, no further grants will be made under the 1992 Plan.</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terms of the 2006 Plan provide for grants of stock options, stock appreciation rights, or SARs, restricted stock, deferred stock, other stock-related awards and performance awards that may be settled in cash, stock or other property.</w:t>
      </w:r>
    </w:p>
    <w:p>
      <w:pPr>
        <w:spacing w:after="0" w:line="1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purpose of the 2006 Plan is to continue to provide a means for the Company to attract key personnel to provide services to the Company and its subsidiaries, as well as to continue to provide a means whereby those key persons can acquire and maintain stock ownership, thereby strengthening their commitment to the welfare of the Company and promoting the mutuality of interests between participants and its stockholders. A further purpose of the 2006 Plan is to provide participants with additional incentive and reward opportunities designed to enhance the profitable growth of the Company, and provide participants with annual and long term performance incentives to expend their maximum efforts in the creation of stockholder value.</w:t>
      </w:r>
    </w:p>
    <w:p>
      <w:pPr>
        <w:spacing w:after="0" w:line="10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Stockholder approval of the 2006 Plan is required (i) to comply with certain exclusions from the limitations of Section 162(m) of the Internal Revenue Code of 1986, as amended, (the “Code”), as described below, (ii) for the 2006 Plan to be eligible under the “plan lender” exemption from the margin requirements of Regulation G promulgated under the Exchange Act, (iii) to comply with the incentive stock options rules under Section 422 of the Code, and (iv) for purposes of complying with the stockholder approval requirements for the listing of shares on the Nasdaq Stock Market.</w:t>
      </w:r>
    </w:p>
    <w:p>
      <w:pPr>
        <w:spacing w:after="0" w:line="99"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 xml:space="preserve">The following is a summary of certain principal features of the 2006 Plan. This summary is qualified in its entirety by reference to the complete text of the 2006 Plan. Stockholders are urged to read the actual text of the 2006 Plan in its entirety which is set forth as </w:t>
      </w:r>
      <w:r>
        <w:rPr>
          <w:rFonts w:ascii="Arial" w:cs="Arial" w:eastAsia="Arial" w:hAnsi="Arial"/>
          <w:sz w:val="16"/>
          <w:szCs w:val="16"/>
          <w:i w:val="1"/>
          <w:iCs w:val="1"/>
          <w:color w:val="auto"/>
        </w:rPr>
        <w:t>Appendix A</w:t>
      </w:r>
      <w:r>
        <w:rPr>
          <w:rFonts w:ascii="Arial" w:cs="Arial" w:eastAsia="Arial" w:hAnsi="Arial"/>
          <w:sz w:val="16"/>
          <w:szCs w:val="16"/>
          <w:color w:val="auto"/>
        </w:rPr>
        <w:t xml:space="preserve"> to this proxy statement.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Available for Awards; Annual Per-Person Limitations</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the 2006 Plan, the total number of shares of Common Stock that may be subject to the granting of awards under the 2006 Plan shall be equal to 2,500,000 shares, plus the number of shares with respect to which awards previously granted thereunder that terminate without being exercised; provided, however, that the maximum number of shares that may be subject to the granting of awards other than stock options and SARs shall not exceed 1,250,000. As noted above, if the 2006 Plan is adopted, no further grants will be made under the 1992 Plan.</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Awards that are settled or exercised through the payment of shares will be counted in full against the number of shares available for award under the 2006 Plan, regardless of the number of shares actually issued upon settlement or exercise of any such award.</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Awards with respect to shares that are granted to replace outstanding awards or other similar rights that are assumed or replaced by awards under the 2006 Plan pursuant to the acquisition of a business are not subject to, and do not count against, the foregoing limit.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18" w:lineRule="auto"/>
        <w:rPr>
          <w:sz w:val="20"/>
          <w:szCs w:val="20"/>
          <w:color w:val="auto"/>
        </w:rPr>
      </w:pPr>
      <w:r>
        <w:rPr>
          <w:rFonts w:ascii="Arial" w:cs="Arial" w:eastAsia="Arial" w:hAnsi="Arial"/>
          <w:sz w:val="15"/>
          <w:szCs w:val="15"/>
          <w:color w:val="auto"/>
        </w:rPr>
        <w:t>In addition, the 2006 Plan imposes individual limitations on the amount of certain awards in part to comply with Code Section 162(m). Under these limitations, during any fiscal year the number of options, SARs, restricted shares of Common Stock, deferred shares of Common Stock, shares as a bonus or in lieu of other Company obligations, and other stock-based awards granted to any one participant may not exceed 500,000 for each type of such award, subject to adjustment in certain circumstances. The maximum amount that may be earned by any one participant as a performance award in respect of a performance period of one year is $1,000,000, and in addition the maximum amount that may be earned by one participant in respect of a performance period greater than one year is $2,000,000.</w:t>
      </w:r>
    </w:p>
    <w:p>
      <w:pPr>
        <w:spacing w:after="0" w:line="8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A committee of our Board of Directors, which we refer to as the Committee, is to administer the Plan. See “Administration.” The Committee is authorized to adjust the limitations described in the two preceding paragraphs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or other similar corporate transaction or event affects the Common Stock so that an adjustment is appropriate in order to prevent dilution or enlargement of the rights of participants. The Committee is also authorized to adjust performance conditions and other terms of awards in response to these kinds of events or in response to changes in applicable laws, regulations or accounting principles.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8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persons eligible to receive awards under the 2006 Plan are the officers, directors, employees and independent contractors of the Company. An employee on leave of absence may be considered as still in the employ of the Company for purposes of eligibility for participation in the 2006 Plan.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Board of Directors shall select the Committee that will administer the 2006 Plan. All Committee members must be “non-employee directors” as defined by Rule 16b-3 of the Exchange Act, “outside directors” for purposes of Section 162(m) of the Code, and independent as defined by the Nasdaq Stock Market or any other national securities exchange on which any securities of the Company may be listed for trading in the future. However, except as otherwise required to comply with Rule 16b-3 of the Exchange Act or Section 162(m) of the Code, the Board of Directors may exercise any power or authority granted to the Committee. Subject to the terms of the 2006 Plan, the Committee is authorized to select eligible persons to receive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relating to the 2006 Plan and make all other determinations that may be necessary or advisable for the administration of the 2006 Plan.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SARs</w:t>
      </w:r>
    </w:p>
    <w:p>
      <w:pPr>
        <w:spacing w:after="0" w:line="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Committee is authorized to grant stock options, including both incentive stock options, or ISOs, which can result in potentially favorable tax treatment to the participant, and non-qualified stock options and SARs, entitling the participant to receive the amount by which the fair market value of a share of Common Stock on the date of exercise exceeds the grant price of the SAR. The exercise price per share subject to an option and the grant price of an SAR are determined by the Committee, but must not be less than the fair market value of a share of Common Stock on the date of grant. For purposes of the 2006 Plan, the term “fair market value” means the fair market value of the Common Stock, awards or other property as determined by the Committee or under procedures established by the Committee. Unless otherwise determined by the Committee or the Company’s Board of Directors, the fair market value of the Common Stock as of any given date shall be the closing sales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 The maximum term of each option or SAR, the times at which each option or SAR will be exercisable, and provisions requiring forfeiture of unexercised options or SARs at or following termination of employment or service generally are fixed by the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Committee may determine from time to time. Methods of exercise and settlement and other terms of the SARs are determined by the Committee.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and Deferred Stock</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Committee is authorized to grant restricted stock and deferred stock. Restricted stock is a grant of shares of Common Stock which may not be sold or disposed of, and which may be forfeited in the event of certain terminations of employment or service, prior to the end of a restricted period specified by the Committee. A participant granted restricted stock generally has all of the rights of a stockholder of the Company, unless otherwise determined by the Committee. An award of deferred stock confers upon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carries no voting or dividend rights or other rights associated with share ownership, although dividend equivalents may be granted, as discussed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Equivalents</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Committee.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Stock and Awards in Lieu of Cash Obligations</w:t>
      </w:r>
    </w:p>
    <w:p>
      <w:pPr>
        <w:spacing w:after="0" w:line="8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Committee is authorized to grant shares of Common Stock as a bonus free of restrictions, or to grant shares of Common Stock or other awards in lieu of the Company obligations to pay cash under the 2006 Plan or other plans or compensatory arrangements, subject to such terms as the Committee may specify.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Stock-Based Awards</w:t>
      </w:r>
    </w:p>
    <w:p>
      <w:pPr>
        <w:spacing w:after="0" w:line="8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Committee is authorized to grant awards under the 2006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performance of the Company or any other factors designated by the Committee, and awards valued by reference to the book value of shares of Common Stock or the value of securities of or the performance of specified subsidiaries or business units. The Committee determines the terms and conditions of such awards.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Awards</w:t>
      </w:r>
    </w:p>
    <w:p>
      <w:pPr>
        <w:spacing w:after="0" w:line="8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right of a participant to exercise or receive a grant or settlement of an award, and the timing thereof, may be subject to such performance conditions (including subjective individual goals) as may be specified by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Committee. In addition, the 2006 Plan authorizes specific performance awards, which represent a conditional right to receive cash, shares of Common Stock or other awards upon achievement of certain pre-established performance goals and subjective individual goals during a specified fiscal year. Performance awards granted to persons whom the Committee expects will, for the year in which a deduction arises, be “covered employees” (as defined below) will, if and to the extent intended by the Committee, be subject to provisions that should qualify such awards as “performance-based compensation” not subject to the limitation on tax deductibility by the Company under Code Section 162(m). For purposes of Section 162(m), the term “covered employee” means the Company’s chief executive officer and each other person whose compensation is required to be disclosed in the Company’s filings with the SEC by reason of that person being among the four highest compensated officers of the Company as of the end of a taxable year. If and to the extent required under Section 162(m) of the Code, any power or authority relating to a performance award intended to qualify under Section 162(m) of the Code is to be exercised by the Committee, not the Company’s Board of Directors.</w:t>
      </w:r>
    </w:p>
    <w:p>
      <w:pPr>
        <w:spacing w:after="0" w:line="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Subject to the requirements of the 2006 Plan, the Committee will determine performance award terms, including the required levels of performance with respect to specified business criteria, the corresponding amounts payable upon achievement of such levels of performance, termination and forfeiture provisions and the form of settlement. One or more of the following business criteria for the Company, on a consolidated basis, or for business or geographical units of the Company (except with respect to the total stockholder return and earnings per share criteria), shall be used by the Committee in establishing performance goals for performance awards to “covered employees” that are intended to qualify under Section 162(m): (1) earnings per share; (2) revenues or margin; (3) cash flow;</w:t>
      </w:r>
    </w:p>
    <w:p>
      <w:pPr>
        <w:spacing w:after="0" w:line="2" w:lineRule="exact"/>
        <w:rPr>
          <w:sz w:val="20"/>
          <w:szCs w:val="20"/>
          <w:color w:val="auto"/>
        </w:rPr>
      </w:pPr>
    </w:p>
    <w:p>
      <w:pPr>
        <w:ind w:right="40" w:firstLine="8"/>
        <w:spacing w:after="0" w:line="286"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margin; (5) return on net assets; (6) return on investment; (7) return on capital; (8) return on equity; (9) economic value added; (10) direct contribution; (11) net income, (12) pretax earnings; (13) earnings before interest, taxes, depreciation and amortization; (14) earnings after interest expense and before extraordinary or special items; (15) operating income; (16) income before interest income or expense, unusual items and income taxes, local, state or federal and excluding budgeted and actual bonuses which might be paid under any ongoing bonus plans of the Company; (17) working capital; (18) management of fixed costs or variable costs; (19) identification or consummation of investment opportunities or completion of specified projects in accordance with corporate business plans, including strategic mergers, acquisitions or divestitures; (20) total stockholder return; (21) debt reduction; and (22) any of the above goals determined on an absolute or relative basis or as compared to the performance of a published or special index deemed applicable by the Committee including, but not limited to, the Standard &amp; Poor’s 500 Stock Index or a group of comparable companies. The Committee may exclude the impact of an event or occurrence which the Committee determines should appropriately be excluded, including without limitation (i) restructurings, discontinued operations, extraordinary items, and other unusual or non-recurring charges, (ii) an event either not directly related to the operations of the Company or not within the reasonable control of the Company’s management, or (iii) a change in accounting standards required by generally accepted accounting principles.</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granting performance awards, the Committee may establish unfunded award “pools,” the amounts of which will be based upon the achievement of a performance goal or goals based on one or more of certain business criteria described in the 2006 Plan (including, for example, total stockholder return, net income, pretax earnings, EBITDA, earnings per share, and return on investment). During the first 90 days of a performance period, the Committee will determine who will potentially receive performance awards for that performance period, either out of the pool or otherwise.</w:t>
      </w:r>
    </w:p>
    <w:p>
      <w:pPr>
        <w:spacing w:after="0" w:line="99"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After the end of each performance period, the Committee will determine (i) the amount of any pools and the maximum amount of potential performance awards payable to each participant in the pools and (ii) the amount of any other potential performance awards payable to participants in the 2006 Plan. The Committee may, in its discretion, determine that the amount payable as a performance award will be reduced from the amount of any potential award.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 of Awards</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the Company’s obligations under the 2006 Plan. The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2006 Plan generally may not be pledged or otherwise encumbered and are not transferable except by will or by the laws of descent and distribution, or to a designated beneficiary upon the participant’s death, except that the Committee may, in its discretion, permit transfers for estate planning or other purposes subject to any applicable restrictions under Rule 16b-3 of the Exchange Act.</w:t>
      </w:r>
    </w:p>
    <w:p>
      <w:pPr>
        <w:spacing w:after="0" w:line="10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Awards under the 2006 Plan are generally granted without a requirement that the participant pay consideration in the form of cash or property for the grant (as distinguished from the exercise), except to the extent required by law. The Committee may, however, grant awards in exchange for other awards under the 2006 Plan awards or under other Company plans, or other rights to payment from the Company, and may grant awards in addition to and in tandem with such other awards, rights or other awards.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of Vesting; Change in Control</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Committee may, in its discretion, accelerate the exercisability, the lapsing of restrictions or the expiration of deferral or vesting periods of any award, and, if so provided in the award agreement, such accelerated exercisability, lapse, expiration and vesting shall occur automatically in the case of a “change in control” of the Company, as defined in the 2006 Plan (including the cash settlement of SARs and “limited SARs” which may be exercisable in the event of a change in control). In addition, the Committee may provide in an award agreement that the performance goals relating to any performance based award will be deemed to have been met upon the occurrence of any “change in control.”</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purposes of the 2006 Plan, a “change in control” will be deemed to occur upon the earliest of the follow:</w:t>
      </w:r>
    </w:p>
    <w:p>
      <w:pPr>
        <w:spacing w:after="0" w:line="77" w:lineRule="exact"/>
        <w:rPr>
          <w:sz w:val="20"/>
          <w:szCs w:val="20"/>
          <w:color w:val="auto"/>
        </w:rPr>
      </w:pPr>
    </w:p>
    <w:p>
      <w:pPr>
        <w:ind w:right="40" w:firstLine="464"/>
        <w:spacing w:after="0" w:line="283" w:lineRule="auto"/>
        <w:tabs>
          <w:tab w:leader="none" w:pos="695"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fifty percent (50%) or more of either (1) the then outstanding shares of Common Stock of the Corporation (the “Outstanding Common Stock”) or (2) the combined voting power of the then outstanding voting securities of the Company entitled to vote generally in the election of directors (the “Outstanding Company Voting Securities”) (such Beneficial Ownership, a “Controlling Interest”); provided, however, that for this purpose, the following acquisitions shall not constitute a Change of Control: (v) any acquisition directly from the Company; (w) any acquisition by the Company; (x) any acquisition by any person that as of the effective date of the 2006 Plan owns Beneficial Ownership of a Controlling Interest; (y) any acquisition by any employee benefit plan (or related trust) sponsored or maintained by the Company or any Related Entities; or (z) any acquisition by any company pursuant to a transaction which complies with clauses (1), (2) and</w:t>
      </w: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 (c) below; or</w:t>
      </w:r>
    </w:p>
    <w:p>
      <w:pPr>
        <w:spacing w:after="0" w:line="151" w:lineRule="exact"/>
        <w:rPr>
          <w:rFonts w:ascii="Arial" w:cs="Arial" w:eastAsia="Arial" w:hAnsi="Arial"/>
          <w:sz w:val="18"/>
          <w:szCs w:val="18"/>
          <w:color w:val="auto"/>
        </w:rPr>
      </w:pPr>
    </w:p>
    <w:p>
      <w:pPr>
        <w:ind w:right="80" w:firstLine="464"/>
        <w:spacing w:after="0" w:line="255" w:lineRule="auto"/>
        <w:tabs>
          <w:tab w:leader="none" w:pos="7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during any period of two (2) consecutive years (not including any period prior to the effective date of the 2006 Plan) individuals who constitute the Board on the effective date of the 2006 Plan (the “Incumbent Board”) cease for any reason to constitute at least a majority of the Board; provided, however, that any individual becoming a director subsequent to the effective date of the 2006 Plan whose election, or nomination for election by the Company’s stockholders, was approved by a vote of at least a majority of the directors then comprising the Incumbent Board shall be considered as though such individual were a member of the Incumbent Board, but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72" w:lineRule="exact"/>
        <w:rPr>
          <w:sz w:val="20"/>
          <w:szCs w:val="20"/>
          <w:color w:val="auto"/>
        </w:rPr>
      </w:pPr>
    </w:p>
    <w:p>
      <w:pPr>
        <w:ind w:right="20" w:firstLine="464"/>
        <w:spacing w:after="0" w:line="282" w:lineRule="auto"/>
        <w:tabs>
          <w:tab w:leader="none" w:pos="695" w:val="left"/>
        </w:tabs>
        <w:numPr>
          <w:ilvl w:val="1"/>
          <w:numId w:val="23"/>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(1) all or substantially all of the individuals and entities who were the Beneficial Owners, respectively, of the Outstanding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Common Stock and Outstanding Company Voting Securities, as the case may be,</w:t>
      </w:r>
    </w:p>
    <w:p>
      <w:pPr>
        <w:spacing w:after="0" w:line="5" w:lineRule="exact"/>
        <w:rPr>
          <w:rFonts w:ascii="Arial" w:cs="Arial" w:eastAsia="Arial" w:hAnsi="Arial"/>
          <w:sz w:val="16"/>
          <w:szCs w:val="16"/>
          <w:color w:val="auto"/>
        </w:rPr>
      </w:pPr>
    </w:p>
    <w:p>
      <w:pPr>
        <w:ind w:right="120" w:firstLine="8"/>
        <w:spacing w:after="0" w:line="290"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person (excluding any employee benefit plan (or related trust) of the Company or such company resulting from such Business Combination or any person that owns a Controlling Interest as of the effective date of the 2006 Plan) beneficially owns, directly or indirectly, fifty percent (50%) or more of the then outstanding shares of common stock of the company resulting from such Business Combination or the combined voting power of the then outstanding voting securities of such company except to the extent that such ownership existed prior to the Business Combination and (3) at least a majority of the members of the Board of Directors of the company resulting from such Business Combination were members of the Incumbent Board at the time of the execution of the initial agreement, or of the action of the Board, providing for such Business Combination; or</w:t>
      </w:r>
    </w:p>
    <w:p>
      <w:pPr>
        <w:spacing w:after="0" w:line="23" w:lineRule="exact"/>
        <w:rPr>
          <w:rFonts w:ascii="Arial" w:cs="Arial" w:eastAsia="Arial" w:hAnsi="Arial"/>
          <w:sz w:val="16"/>
          <w:szCs w:val="16"/>
          <w:color w:val="auto"/>
        </w:rPr>
      </w:pPr>
    </w:p>
    <w:p>
      <w:pPr>
        <w:ind w:left="720" w:hanging="256"/>
        <w:spacing w:after="0"/>
        <w:tabs>
          <w:tab w:leader="none" w:pos="7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8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Board of Directors may amend, alter, suspend, discontinue or terminate the 2006 Plan or the Committee’s authority to grant awards without further stockholder approval, except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2006 Plan which might increase the cost of the 2006 Plan or alter the eligibility of persons to receive awards. Stockholder approval will not be deemed to be required under laws or regulations, such as those relating to ISOs, that condition favorable treatment of participants on such approval, although the Company’s Board of Directors may, in its discretion, seek stockholder approval in any circumstance in which it deems such approval advisable. Unless earlier terminated by the Company’s Board of Directors, the 2006 Plan will terminate at such time as no shares of Common Stock remain available for issuance under the 2006 Plan and the Company has no further rights or obligations with respect to outstanding awards under the 2006 Plan.</w:t>
      </w:r>
    </w:p>
    <w:p>
      <w:pPr>
        <w:spacing w:after="0" w:line="13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Other than in connection with standard adjustments (as set forth in Section 10(c) of the 2006 Plan), the Committee is not permitted to (i) lower the exercise price per share of an option or SAR after it is granted, (ii) cancel an option or SAR when the exercise price per share exceeds the fair market value of the underlying shares in exchange for another award (other than in connection with substitute awards granted in connection with business combinations) or (iii) take any other action with respect to an option or SAR that may be treated as a repricing, without approval of the Company’s stockholders.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Awards</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2006 Plan is not qualified under the provisions of section 401(a) of the Code and is not subject to any of the provisions of the Employee Retirement Income Security Act of 1974.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Stock Options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exercise of a nonqualified stock option granted under the 2006 Plan an optionee will recognize ordinary income equal to the excess, if any, of the fair market value on the date of exercise of the shares of stock acquired on exercise of the option over the exercise price. If the optionee is an employee of the Company, that income will be subject to the withholding of Federal income tax. The optionee’s tax basis in those shares will be equal to their fair market value on the date of exercise of the option, and his holding period for those shares will begin on that date.</w:t>
      </w:r>
    </w:p>
    <w:p>
      <w:pPr>
        <w:spacing w:after="0" w:line="13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If an optionee pays for shares of stock on exercise of an option by delivering shares of the Company’s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34"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Company will be entitled to a deduction for Federal income tax purposes equal to the amount of ordinary income taxable to the optionee, provided that amount constitutes an ordinary and necessary business expense for the Company and is reasonable in amount, and either the employee includes that amount in income or the Company timely satisfies its reporting requirements with respect to that amount.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Options</w:t>
      </w:r>
    </w:p>
    <w:p>
      <w:pPr>
        <w:spacing w:after="0" w:line="7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2006 Plan provides for the grant of stock options that qualify as “incentive stock options” as defined in section 422 of the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0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An optionee who exercises an ISO by delivering shares of stock acquired previously pursuant to the exercise of an ISO before the expiration of the Required Holding Period for those shares is treated as making a Disqualifying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Disposition of those shares. This rule prevents “pyramiding” or the exercise of an ISO (that is, exercising an ISO for one share and using that share, and others so acquired, to exercise successive ISOs) without the imposition of current income tax.</w:t>
      </w:r>
    </w:p>
    <w:p>
      <w:pPr>
        <w:spacing w:after="0" w:line="11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0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is not allowed an income tax deduction with respect to the grant or exercise of an incentive stock option or the disposition of a share acquired on exercise of an incentive stock option after the Required Holding Period. However, if there is a Disqualifying Disposition of a share, the Company is allowed a deduction in an amount equal to the ordinary income includible in income by the optionee, provided that amount constitutes an ordinary and necessary business expense for the Company and is reasonable in amount, and either the employee includes that amount in income or the Company timely satisfies its reporting requirements with respect to that amount.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Generally, the recipient of a stock award will recognize ordinary compensation income at the time the stock is received equal to the excess, if any, of the fair market value of the stock received over any amount paid by the recipient in exchange for the stock. If, however, the stock is non-vested when it is received under the 2006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within 30 days of his or her receipt of the stock award, to recognize ordinary compensation income, as of the date the recipient receives the award, equal to the excess, if any, of the fair market value of the stock on the date the award is granted over any amount paid by the recipient in exchange for the stock.</w:t>
      </w:r>
    </w:p>
    <w:p>
      <w:pPr>
        <w:spacing w:after="0" w:line="1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2006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77"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The Company may grant SARs separate from any other award, which we refer to as Stand-Alone SARs, or in tandem with options, which we refer to as Tandem SARs, under the 2006 Plan. Generally, the recipient of a Stand-Alone SAR will not recognize any taxable income at the time the Stand-Alone SAR is granted.</w:t>
      </w:r>
    </w:p>
    <w:p>
      <w:pPr>
        <w:spacing w:after="0" w:line="4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With respect to Stand-Alone SARs, if the recipient receives the appreciation inherent in the SARs in cash, the cash will be taxable as ordinary compensation income to the recipient at the time that the cash is received. If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With respect to Tandem SARs, if the recipient elects to surrender the underlying option in exchange for cash or shares of stock equal to the appreciation inherent in the underlying option, the tax consequences to the recipient will be the same as discussed above relating to the Stand-Alone SARs. If the recipient elects to exercise the underlying option, the holder will be taxed at the time of exercise as if he or she had exercised a nonqualified stock option (discussed above), i.e., the recipient will recognize ordinary income for federal tax purposes measured by the excess of the then fair market value of the shares of stock over the exercise price.</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general, there will be no federal income tax deduction allowed to the Company upon the grant or termination of Stand-Alone SARs or Tandem SARs. Upon the exercise of either a Stand-Alone SAR or a Tandem SAR, however, the Company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Generally, the recipient of a dividend equivalent award will recognize ordinary compensation income at the time the dividend equivalent award is received equal to the fair market value dividend equivalent award received. The Company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 Limitations</w:t>
      </w:r>
    </w:p>
    <w:p>
      <w:pPr>
        <w:spacing w:after="0" w:line="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Section 162(m) of the Code generally disallows a public company’s tax deduction for compensation to covered employees in excess of $1 million in any tax year. Compensation that qualifies as “performance-based compensation” is excluded from the $1 million deductibility cap, and therefore remains fully deductible by the company that pays it. The Company intends that options granted to employees whom the Committee expects to be covered employees at the time a deduction arises in connection with such options, will qualify as such “performance-based compensation,” so that such options will not be subject to the Section 162(m) deductibility cap of $1 million. Future changes in Section 162(m) or the regulations thereunder may adversely affect the ability of the Company to ensure that options under the 2006 Plan will qualify as “performance-based compensation” that is fully deductible by the Company under Section 162(m).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Importance of Consulting Tax Adviser</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2006 Plan Benefits</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No grants have been made with respect to additional shares of Common Stock to be reserved for issuance under the 2006 Plan. In addition, the number of shares of Common Stock that may be granted to executive officers, directors and all employees including non-executive officers is indeterminable at this time, as such grants generally are subject to the discretion of the Committee. However, in connection with the Company’s Long-Term Performance Share Bonus Plan, as described above under “Long-Term Performance Share Bonus Plan” if certain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annual EBIT performance targets amounts are achieved, during the incentive period of fiscal 2005-2007, in the future the Company may be required to issue restricted shares of its Common Stock. As noted above, assuming a fair market closing price of $10.00 per share at the date of grant and current salary levels, if the Company were to achieve the annual EBIT targets established in the plan, the Company may be required to issue an estimated 700,000 to 1.1 million shares; however, because the Company cannot predict if and when such targets will be met, the achievement of the targets is not considered probable at this time. Furthermore, even if the targets are achieved, the Company cannot predict the actual number of shares of Common Stock that may be issued under this plan, as that depends on both the fair market value of the Company’s Common Stock at the time of grant and the salary levels of participants through 2007, both of which are unknown at this time.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83" w:lineRule="exact"/>
        <w:rPr>
          <w:sz w:val="20"/>
          <w:szCs w:val="20"/>
          <w:color w:val="auto"/>
        </w:rPr>
      </w:pPr>
    </w:p>
    <w:p>
      <w:pPr>
        <w:ind w:right="380"/>
        <w:spacing w:after="0" w:line="305" w:lineRule="auto"/>
        <w:rPr>
          <w:sz w:val="20"/>
          <w:szCs w:val="20"/>
          <w:color w:val="auto"/>
        </w:rPr>
      </w:pPr>
      <w:r>
        <w:rPr>
          <w:rFonts w:ascii="Arial" w:cs="Arial" w:eastAsia="Arial" w:hAnsi="Arial"/>
          <w:sz w:val="15"/>
          <w:szCs w:val="15"/>
          <w:color w:val="auto"/>
        </w:rPr>
        <w:t xml:space="preserve">The Board believes that the future success of the Company depends, in large part, upon the ability of the Company to maintain a competitive position in attracting, retaining and motivating key personnel. </w:t>
      </w:r>
      <w:r>
        <w:rPr>
          <w:rFonts w:ascii="Arial" w:cs="Arial" w:eastAsia="Arial" w:hAnsi="Arial"/>
          <w:sz w:val="15"/>
          <w:szCs w:val="15"/>
          <w:b w:val="1"/>
          <w:bCs w:val="1"/>
          <w:color w:val="auto"/>
        </w:rPr>
        <w:t>Accordingly, the Board of Directors believes adoption of the 2006 Plan is in the best interests of the</w:t>
      </w:r>
    </w:p>
    <w:p>
      <w:pPr>
        <w:ind w:right="300"/>
        <w:spacing w:after="0" w:line="261" w:lineRule="auto"/>
        <w:rPr>
          <w:sz w:val="20"/>
          <w:szCs w:val="20"/>
          <w:color w:val="auto"/>
        </w:rPr>
      </w:pPr>
      <w:r>
        <w:rPr>
          <w:rFonts w:ascii="Arial" w:cs="Arial" w:eastAsia="Arial" w:hAnsi="Arial"/>
          <w:sz w:val="18"/>
          <w:szCs w:val="18"/>
          <w:b w:val="1"/>
          <w:bCs w:val="1"/>
          <w:color w:val="auto"/>
        </w:rPr>
        <w:t>Company and its stockholders and recommends a vote FOR the approval of the adoption of the 2006 Plan and the reservation of 2,500,000 shares of Common Stock for issuance thereunder.</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PROPOSAL 3</w:t>
      </w:r>
    </w:p>
    <w:p>
      <w:pPr>
        <w:spacing w:after="0" w:line="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RATIFICATION OF APPOINTMENT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Subject to ratification by the stockholders of the Company, the Audit Committee has appointed Ernst &amp; Young LLP as the independent registered public accounting firm for the Company for the fiscal year ending February 3, 2007. Ernst &amp; Young LLP has served as the Company’s auditors since October 2000. Stockholder ratification of the Company’s independent registered public accounting firm is not required by the Company’s bylaws or otherwise. However, the Company is submitting the selection of Ernst &amp; Young LLP to the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the best interest of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83"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Ernst &amp; Young LLP billed the Company an aggregate of $483,302 and $822,926 in fees for fiscal years 2005 and 2004, respectively, for professional services rendered in connection with the audits of the Company’s financial statements for the fiscal years ended January 28, 2006 and January 29, 2005 included in the Company’s Annual Reports on Form 10-K, the reviews of the financial statements included in each of the Company’s Quarterly Reports on Form 10-Q and the filing of SEC registration statements.</w:t>
      </w:r>
    </w:p>
    <w:p>
      <w:pPr>
        <w:spacing w:after="0" w:line="13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addition, the Company was also billed an aggregate of $330,000 and $443,300 in fees in fiscal years 2005 and 2004, respectively, for services performed related to compliance with Section 404 of the Sarbanes-Oxley Act of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fiscal year 2005, Ernst &amp; Young billed $75,900 in fees for work related to certain transactions. For fiscal year 2004, Ernst &amp; Young LLP billed the Company an aggregate of $57,900 in fees for assurance and related services, including services related to benefit plan audits.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 fees were billed by Ernst &amp; Young for fiscal 2005. For fiscal 2004, Ernst &amp; Young LLP billed the Company an aggregate of $144,544 in fees for professional services related to tax compliance, tax planning and tax advice. Tax compliance services consisted of preparation of original and amended income tax, sales and use tax, property, and all other tax returns; claims for refunds; and tax payment planning services. Tax advisory services consisted of a wide range of services, including assistance with tax audits and appeals, tax advice related to mergers and acquisitions, and requests for rulings or technical advice from taxing authorities.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 did not bill the Company in fiscal 2005 or 2004 for services other than those described above.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8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the Company’s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the Company by the independent registered public accounting firm.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under Audit-Related Fees, Tax Fees and All Other Fees were approved by the Audit Committee.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Annual Meeting and will have the opportunity to make a statement if they desire to do so and to respond to appropriate questions.</w:t>
      </w:r>
    </w:p>
    <w:p>
      <w:pPr>
        <w:spacing w:after="0" w:line="112" w:lineRule="exact"/>
        <w:rPr>
          <w:sz w:val="20"/>
          <w:szCs w:val="20"/>
          <w:color w:val="auto"/>
        </w:rPr>
      </w:pPr>
    </w:p>
    <w:p>
      <w:pPr>
        <w:jc w:val="center"/>
        <w:ind w:left="300" w:right="120"/>
        <w:spacing w:after="0" w:line="275" w:lineRule="auto"/>
        <w:rPr>
          <w:sz w:val="20"/>
          <w:szCs w:val="20"/>
          <w:color w:val="auto"/>
        </w:rPr>
      </w:pPr>
      <w:r>
        <w:rPr>
          <w:rFonts w:ascii="Arial" w:cs="Arial" w:eastAsia="Arial" w:hAnsi="Arial"/>
          <w:sz w:val="18"/>
          <w:szCs w:val="18"/>
          <w:b w:val="1"/>
          <w:bCs w:val="1"/>
          <w:color w:val="auto"/>
        </w:rPr>
        <w:t>The Audit Committee and the Board of Directors unanimously recommend that you vote FOR the ratification of the appointment of Ernst &amp; Young LLP as the independent registered public accounting firm of the Company.</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Audit Committee oversees the Company’s financial reporting process on behalf of the Board of Directors. The Company’s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in the Annual Report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the Company’s internal control over financial reporting, including the framework used to evaluate the effectiveness of such internal controls.</w:t>
      </w:r>
    </w:p>
    <w:p>
      <w:pPr>
        <w:spacing w:after="0" w:line="10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Audit Committee reviewed and discussed with Ernst &amp; Young LLP, the Company’s independent registered public accounting firm, which is responsible for expressing an opinion on the conformity of the Company’s audited consolidated financial statements for the fiscal year ended January 28, 2006 with U.S. generally accepted accounting principles, their judgments as to the quality, not just the acceptability, of the Company’s accounting principles and such other matters as are required to be discussed with the Audit Committee by Statement on Auditing Standards No. 61, as amended by Statement on Auditing Standards No. 90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In addition, the Committee has discussed with Ernst &amp; Young LLP the firm’s independence from Company management and the Company, including the matters in the letter from Ernst &amp; Young LLP required by Independence Standards Board Standard No. 1, </w:t>
      </w:r>
      <w:r>
        <w:rPr>
          <w:rFonts w:ascii="Arial" w:cs="Arial" w:eastAsia="Arial" w:hAnsi="Arial"/>
          <w:sz w:val="16"/>
          <w:szCs w:val="16"/>
          <w:i w:val="1"/>
          <w:iCs w:val="1"/>
          <w:color w:val="auto"/>
        </w:rPr>
        <w:t xml:space="preserve">Independence Discussions with Audit Committees, </w:t>
      </w:r>
      <w:r>
        <w:rPr>
          <w:rFonts w:ascii="Arial" w:cs="Arial" w:eastAsia="Arial" w:hAnsi="Arial"/>
          <w:sz w:val="16"/>
          <w:szCs w:val="16"/>
          <w:color w:val="auto"/>
        </w:rPr>
        <w:t>and considered the compatibility of non-audit services with Ernst &amp; Young LLP’s independence.</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Audit Committee discussed with Ernst &amp; Young LLP the overall scope and plans for their audit. The Audit Committee meets with the independent registered public accounting firm, with and without management present, to discuss the results of their examinations, their evaluations of the Company’s internal controls (including internal control over financial reporting) and the overall quality of the Company’s financial reporting. The Audit Committee held 6 meetings during the fiscal year ended January 28, 2006.</w:t>
      </w:r>
    </w:p>
    <w:p>
      <w:pPr>
        <w:spacing w:after="0" w:line="13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January 28, 2006 for filing with the SEC. The Committee and the Board also have recommended, subject to shareholder approval, the selection of the Company’s independent registered public accounting firm.</w:t>
      </w:r>
    </w:p>
    <w:p>
      <w:pPr>
        <w:spacing w:after="0" w:line="13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Pursuant to Section 404 of the Sarbanes-Oxley Act, management was required to prepare as part of the Company’s Annual Report on Form 10-K for the year ended January 28, 2006 a report by management on its assessment of the Company’s internal control over financial reporting, including management’s assessment of the effectiveness of such internal control. Ernst &amp; Young LLP has issued an audit report relative to internal control over financial reporting. During the course of fiscal 2006,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Ernst &amp; Young LLP. Management’s assessment report and the auditors’ audit report are included as part of the Company’s Annual Report on Form 10-K for the year ended January 28, 2006.</w:t>
      </w:r>
    </w:p>
    <w:p>
      <w:pPr>
        <w:spacing w:after="0" w:line="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Audit Committee is governed by a charter, as most recently amended May 9, 2005, which was previously filed as Appendix A to the Company’s Definitive Proxy Statement filed July 8, 2005. The members of the Audit Committee are considered independent because they satisfy the independence requirements for Board members prescribed by the Nasdaq listing standards and Rule 10A-3 of the Exchange Act.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Jesse Choper, Chairman of the Audit Committee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Alan S. Bernikow</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George T. Porter, Jr.</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13, 2006</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files annual, quarterly and special reports, proxy statements and other information with the SEC under the Exchange Act. You may read and copy these reports and other information filed by the Company at the Public Reference Section of the SEC, 100 F Street, N.E., Room 1580, Washington, D.C. 20549, at prescribed rates. You may obtain information on the operation of the Public Reference Room by calling the SEC at 1-800-SEC-0330.</w:t>
      </w:r>
    </w:p>
    <w:p>
      <w:pPr>
        <w:spacing w:after="0" w:line="9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SEC also maintains a website that contains reports, proxy statements and other information about issuers, like the Company, who file electronically with the SEC through the Electronic Data Gathering, Analysis and Retrieval (EDGAR) system. The address of this website is http://www.sec.gov.</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Access to this information as well as other information on the Company is also available on the Company’s website at </w:t>
      </w:r>
      <w:r>
        <w:rPr>
          <w:rFonts w:ascii="Arial" w:cs="Arial" w:eastAsia="Arial" w:hAnsi="Arial"/>
          <w:sz w:val="18"/>
          <w:szCs w:val="18"/>
          <w:i w:val="1"/>
          <w:iCs w:val="1"/>
          <w:color w:val="auto"/>
        </w:rPr>
        <w:t>http://www.casualmale.com</w:t>
      </w:r>
      <w:r>
        <w:rPr>
          <w:rFonts w:ascii="Arial" w:cs="Arial" w:eastAsia="Arial" w:hAnsi="Arial"/>
          <w:sz w:val="18"/>
          <w:szCs w:val="18"/>
          <w:color w:val="auto"/>
        </w:rPr>
        <w:t xml:space="preserve"> and clicking on “Investor Relations.”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will bear the cost of solicitation of proxies. In addition to the use of the mails, proxies may be solicited by certain officers, directors and employees of the Company without extra compensation, by telephone, facsimile or personal interview. D.F. King &amp; Company, Inc. has been retained by the Company for a fee not to exceed $5,000 to aid in solicitation of proxies.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Only one copy of the Proxy Statement is being delivered to multiple stockholders sharing an address unless the Company has received contrary instructions from one or more of the stockholders in question. If you are one of a number of stockholders sharing a single address and would like to receive a separate copy of the Proxy Statement or if you would like to request that the Company send you a separate copy of annual reports or proxy statements, as applicable, in the future, please contact the Company at 555 Turnpike Street, Canton Massachusetts 02021. The Company will send you a copy of the Proxy Statement promptly after it receives your written or oral request.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164"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Under the rules of the SEC, in order for any stockholder proposal to be included in the Company’s proxy statement and proxy card for presentation at the 2007 Annual Meeting of Stockholders, the proposal must be received by the Secretary of the Company at the Company’s principal executive offices by February 26, 2007 (120 days before the anniversary of the date this Proxy Statement is being mailed to the Company’s stockholders).</w:t>
      </w:r>
    </w:p>
    <w:p>
      <w:pPr>
        <w:spacing w:after="0" w:line="9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Company’s By-Laws provide that for business to be properly brought before an Annual Meeting of Stockholders (or any Special Meeting in lieu of Annual Meeting of Stockholders), a stockholder must: (i) give timely written notice to the Secretary of the Company describing any proposal to be brought before such meeting; and (ii) be present at such Annual Meeting, either in person or by a representative. Such procedural requirements are fully set forth in Section 3.14 of the Company’s By-Laws. A stockholder’s notice will be timely if delivered to, or mailed to and received by, the Company not less than 75 days nor more than 120 days prior to the anniversary date of the immediately preceding Annual Meeting (the “Anniversary Date”). To bring an item of business before the 2007 Annual Meeting, a stockholder must deliver the requisite notice of such item to the Secretary of the Company not before April 2, 2007 or after May 17, 2007. In the event the Annual Meeting is scheduled to be held on a date more than 30 days before the Anniversary Date or more than 60 days after the Anniversary Date, however, a stockholder’s notice will be timely delivered to, or mailed to, and received by, the Company not later than the close of business on the later of (a) the 75th day prior to the scheduled date of such Annual Meeting or (b) the 15th day following the day on which public announcement of the date of such Annual Meeting is first made by the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6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Board of Directors maintains a process for stockholders to communicate with the Board of Directors. Stockholders wishing to communicate with the Board should direct their communications to: Secretary of the Company, Casual Male Retail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POLICY REGARDING DIRECTOR ATTENDANCE AT ANNUAL MEETINGS</w:t>
      </w:r>
    </w:p>
    <w:p>
      <w:pPr>
        <w:spacing w:after="0" w:line="1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believes that it is important for and encourages the members of the Board of Directors to attend Annual Meetings of Stockholders. Last year, all members of the Board of Directors attended the Annual Meeting of Stockholders held on August 8, 2005.</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this date,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INCENTIVE COMPENSATION PLAN</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20" w:type="dxa"/>
            <w:vAlign w:val="bottom"/>
          </w:tcPr>
          <w:p>
            <w:pPr>
              <w:jc w:val="right"/>
              <w:ind w:right="4052"/>
              <w:spacing w:after="0"/>
              <w:rPr>
                <w:sz w:val="20"/>
                <w:szCs w:val="20"/>
                <w:color w:val="auto"/>
              </w:rPr>
            </w:pPr>
            <w:r>
              <w:rPr>
                <w:rFonts w:ascii="Arial" w:cs="Arial" w:eastAsia="Arial" w:hAnsi="Arial"/>
                <w:sz w:val="18"/>
                <w:szCs w:val="18"/>
                <w:b w:val="1"/>
                <w:bCs w:val="1"/>
                <w:color w:val="auto"/>
              </w:rPr>
              <w:t>CASUAL MALE RETAIL GROUP, INC.</w:t>
            </w:r>
          </w:p>
        </w:tc>
      </w:tr>
      <w:tr>
        <w:trPr>
          <w:trHeight w:val="228"/>
        </w:trPr>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20" w:type="dxa"/>
            <w:vAlign w:val="bottom"/>
          </w:tcPr>
          <w:p>
            <w:pPr>
              <w:jc w:val="right"/>
              <w:ind w:right="3912"/>
              <w:spacing w:after="0"/>
              <w:rPr>
                <w:sz w:val="20"/>
                <w:szCs w:val="20"/>
                <w:color w:val="auto"/>
              </w:rPr>
            </w:pPr>
            <w:r>
              <w:rPr>
                <w:rFonts w:ascii="Arial" w:cs="Arial" w:eastAsia="Arial" w:hAnsi="Arial"/>
                <w:sz w:val="18"/>
                <w:szCs w:val="18"/>
                <w:b w:val="1"/>
                <w:bCs w:val="1"/>
                <w:color w:val="auto"/>
              </w:rPr>
              <w:t>2006 INCENTIVE COMPENSATION PLAN</w:t>
            </w:r>
          </w:p>
        </w:tc>
      </w:tr>
      <w:tr>
        <w:trPr>
          <w:trHeight w:val="326"/>
        </w:trPr>
        <w:tc>
          <w:tcPr>
            <w:tcW w:w="720" w:type="dxa"/>
            <w:vAlign w:val="bottom"/>
          </w:tcPr>
          <w:p>
            <w:pPr>
              <w:spacing w:after="0"/>
              <w:rPr>
                <w:sz w:val="20"/>
                <w:szCs w:val="20"/>
                <w:color w:val="auto"/>
              </w:rPr>
            </w:pPr>
            <w:r>
              <w:rPr>
                <w:rFonts w:ascii="Arial" w:cs="Arial" w:eastAsia="Arial" w:hAnsi="Arial"/>
                <w:sz w:val="18"/>
                <w:szCs w:val="18"/>
                <w:color w:val="auto"/>
              </w:rPr>
              <w:t>1.</w:t>
            </w:r>
          </w:p>
        </w:tc>
        <w:tc>
          <w:tcPr>
            <w:tcW w:w="3180" w:type="dxa"/>
            <w:vAlign w:val="bottom"/>
            <w:gridSpan w:val="11"/>
          </w:tcPr>
          <w:p>
            <w:pPr>
              <w:spacing w:after="0"/>
              <w:rPr>
                <w:rFonts w:ascii="Arial" w:cs="Arial" w:eastAsia="Arial" w:hAnsi="Arial"/>
                <w:sz w:val="18"/>
                <w:szCs w:val="18"/>
                <w:b w:val="1"/>
                <w:bCs w:val="1"/>
                <w:i w:val="1"/>
                <w:iCs w:val="1"/>
                <w:color w:val="0000EE"/>
              </w:rPr>
            </w:pPr>
            <w:hyperlink w:anchor="page42">
              <w:r>
                <w:rPr>
                  <w:rFonts w:ascii="Arial" w:cs="Arial" w:eastAsia="Arial" w:hAnsi="Arial"/>
                  <w:sz w:val="18"/>
                  <w:szCs w:val="18"/>
                  <w:b w:val="1"/>
                  <w:bCs w:val="1"/>
                  <w:i w:val="1"/>
                  <w:iCs w:val="1"/>
                  <w:color w:val="0000EE"/>
                </w:rPr>
                <w:t>Purpose</w:t>
              </w:r>
            </w:hyperlink>
            <w:r>
              <w:rPr>
                <w:rFonts w:ascii="Arial" w:cs="Arial" w:eastAsia="Arial" w:hAnsi="Arial"/>
                <w:sz w:val="18"/>
                <w:szCs w:val="18"/>
                <w:b w:val="1"/>
                <w:bCs w:val="1"/>
                <w:i w:val="1"/>
                <w:iCs w:val="1"/>
                <w:color w:val="000000"/>
              </w:rPr>
              <w:t>.</w:t>
            </w:r>
          </w:p>
        </w:tc>
        <w:tc>
          <w:tcPr>
            <w:tcW w:w="7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3180" w:type="dxa"/>
            <w:vAlign w:val="bottom"/>
            <w:gridSpan w:val="11"/>
          </w:tcPr>
          <w:p>
            <w:pPr>
              <w:spacing w:after="0" w:line="196" w:lineRule="exact"/>
              <w:rPr>
                <w:rFonts w:ascii="Arial" w:cs="Arial" w:eastAsia="Arial" w:hAnsi="Arial"/>
                <w:sz w:val="18"/>
                <w:szCs w:val="18"/>
                <w:b w:val="1"/>
                <w:bCs w:val="1"/>
                <w:i w:val="1"/>
                <w:iCs w:val="1"/>
                <w:color w:val="0000EE"/>
              </w:rPr>
            </w:pPr>
            <w:hyperlink w:anchor="page42">
              <w:r>
                <w:rPr>
                  <w:rFonts w:ascii="Arial" w:cs="Arial" w:eastAsia="Arial" w:hAnsi="Arial"/>
                  <w:sz w:val="18"/>
                  <w:szCs w:val="18"/>
                  <w:b w:val="1"/>
                  <w:bCs w:val="1"/>
                  <w:i w:val="1"/>
                  <w:iCs w:val="1"/>
                  <w:color w:val="0000EE"/>
                </w:rPr>
                <w:t>Definitions</w:t>
              </w:r>
            </w:hyperlink>
            <w:r>
              <w:rPr>
                <w:rFonts w:ascii="Arial" w:cs="Arial" w:eastAsia="Arial" w:hAnsi="Arial"/>
                <w:sz w:val="18"/>
                <w:szCs w:val="18"/>
                <w:b w:val="1"/>
                <w:bCs w:val="1"/>
                <w:i w:val="1"/>
                <w:iCs w:val="1"/>
                <w:color w:val="000000"/>
              </w:rPr>
              <w:t>.</w:t>
            </w:r>
          </w:p>
        </w:tc>
        <w:tc>
          <w:tcPr>
            <w:tcW w:w="7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3180" w:type="dxa"/>
            <w:vAlign w:val="bottom"/>
            <w:gridSpan w:val="11"/>
          </w:tcPr>
          <w:p>
            <w:pPr>
              <w:spacing w:after="0" w:line="196" w:lineRule="exact"/>
              <w:rPr>
                <w:rFonts w:ascii="Arial" w:cs="Arial" w:eastAsia="Arial" w:hAnsi="Arial"/>
                <w:sz w:val="18"/>
                <w:szCs w:val="18"/>
                <w:b w:val="1"/>
                <w:bCs w:val="1"/>
                <w:i w:val="1"/>
                <w:iCs w:val="1"/>
                <w:color w:val="0000EE"/>
              </w:rPr>
            </w:pPr>
            <w:hyperlink w:anchor="page45">
              <w:r>
                <w:rPr>
                  <w:rFonts w:ascii="Arial" w:cs="Arial" w:eastAsia="Arial" w:hAnsi="Arial"/>
                  <w:sz w:val="18"/>
                  <w:szCs w:val="18"/>
                  <w:b w:val="1"/>
                  <w:bCs w:val="1"/>
                  <w:i w:val="1"/>
                  <w:iCs w:val="1"/>
                  <w:color w:val="0000EE"/>
                </w:rPr>
                <w:t>Administration.</w:t>
              </w:r>
            </w:hyperlink>
          </w:p>
        </w:tc>
        <w:tc>
          <w:tcPr>
            <w:tcW w:w="7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1700" w:type="dxa"/>
            <w:vAlign w:val="bottom"/>
            <w:tcBorders>
              <w:bottom w:val="single" w:sz="8" w:color="0000EE"/>
            </w:tcBorders>
            <w:gridSpan w:val="6"/>
          </w:tcPr>
          <w:p>
            <w:pPr>
              <w:spacing w:after="0" w:line="196" w:lineRule="exact"/>
              <w:rPr>
                <w:rFonts w:ascii="Arial" w:cs="Arial" w:eastAsia="Arial" w:hAnsi="Arial"/>
                <w:sz w:val="18"/>
                <w:szCs w:val="18"/>
                <w:b w:val="1"/>
                <w:bCs w:val="1"/>
                <w:i w:val="1"/>
                <w:iCs w:val="1"/>
                <w:color w:val="0000EE"/>
                <w:w w:val="83"/>
              </w:rPr>
            </w:pPr>
            <w:hyperlink w:anchor="page46">
              <w:r>
                <w:rPr>
                  <w:rFonts w:ascii="Arial" w:cs="Arial" w:eastAsia="Arial" w:hAnsi="Arial"/>
                  <w:sz w:val="18"/>
                  <w:szCs w:val="18"/>
                  <w:b w:val="1"/>
                  <w:bCs w:val="1"/>
                  <w:i w:val="1"/>
                  <w:iCs w:val="1"/>
                  <w:color w:val="0000EE"/>
                  <w:w w:val="83"/>
                </w:rPr>
                <w:t>Shares Subject to Plan.</w:t>
              </w:r>
            </w:hyperlink>
          </w:p>
        </w:tc>
        <w:tc>
          <w:tcPr>
            <w:tcW w:w="1480" w:type="dxa"/>
            <w:vAlign w:val="bottom"/>
            <w:gridSpan w:val="5"/>
          </w:tcPr>
          <w:p>
            <w:pPr>
              <w:spacing w:after="0"/>
              <w:rPr>
                <w:sz w:val="17"/>
                <w:szCs w:val="17"/>
                <w:color w:val="auto"/>
              </w:rPr>
            </w:pPr>
          </w:p>
        </w:tc>
        <w:tc>
          <w:tcPr>
            <w:tcW w:w="7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3180" w:type="dxa"/>
            <w:vAlign w:val="bottom"/>
            <w:gridSpan w:val="11"/>
          </w:tcPr>
          <w:p>
            <w:pPr>
              <w:spacing w:after="0" w:line="196" w:lineRule="exact"/>
              <w:rPr>
                <w:rFonts w:ascii="Arial" w:cs="Arial" w:eastAsia="Arial" w:hAnsi="Arial"/>
                <w:sz w:val="18"/>
                <w:szCs w:val="18"/>
                <w:b w:val="1"/>
                <w:bCs w:val="1"/>
                <w:i w:val="1"/>
                <w:iCs w:val="1"/>
                <w:color w:val="0000EE"/>
                <w:w w:val="89"/>
              </w:rPr>
            </w:pPr>
            <w:hyperlink w:anchor="page47">
              <w:r>
                <w:rPr>
                  <w:rFonts w:ascii="Arial" w:cs="Arial" w:eastAsia="Arial" w:hAnsi="Arial"/>
                  <w:sz w:val="18"/>
                  <w:szCs w:val="18"/>
                  <w:b w:val="1"/>
                  <w:bCs w:val="1"/>
                  <w:i w:val="1"/>
                  <w:iCs w:val="1"/>
                  <w:color w:val="0000EE"/>
                  <w:w w:val="89"/>
                </w:rPr>
                <w:t>Eligibility; Per-Person Award Limitations</w:t>
              </w:r>
            </w:hyperlink>
            <w:r>
              <w:rPr>
                <w:rFonts w:ascii="Arial" w:cs="Arial" w:eastAsia="Arial" w:hAnsi="Arial"/>
                <w:sz w:val="18"/>
                <w:szCs w:val="18"/>
                <w:b w:val="1"/>
                <w:bCs w:val="1"/>
                <w:i w:val="1"/>
                <w:iCs w:val="1"/>
                <w:color w:val="000000"/>
                <w:w w:val="89"/>
              </w:rPr>
              <w:t>.</w:t>
            </w:r>
          </w:p>
        </w:tc>
        <w:tc>
          <w:tcPr>
            <w:tcW w:w="7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1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i w:val="1"/>
                <w:iCs w:val="1"/>
                <w:color w:val="0000EE"/>
                <w:w w:val="82"/>
              </w:rPr>
            </w:pPr>
            <w:hyperlink w:anchor="page47">
              <w:r>
                <w:rPr>
                  <w:rFonts w:ascii="Arial" w:cs="Arial" w:eastAsia="Arial" w:hAnsi="Arial"/>
                  <w:sz w:val="18"/>
                  <w:szCs w:val="18"/>
                  <w:b w:val="1"/>
                  <w:bCs w:val="1"/>
                  <w:i w:val="1"/>
                  <w:iCs w:val="1"/>
                  <w:color w:val="0000EE"/>
                  <w:w w:val="82"/>
                </w:rPr>
                <w:t>Specific Terms of Awards.</w:t>
              </w:r>
            </w:hyperlink>
          </w:p>
        </w:tc>
        <w:tc>
          <w:tcPr>
            <w:tcW w:w="1140" w:type="dxa"/>
            <w:vAlign w:val="bottom"/>
            <w:tcBorders>
              <w:top w:val="single" w:sz="8" w:color="0000EE"/>
            </w:tcBorders>
            <w:gridSpan w:val="3"/>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2980" w:type="dxa"/>
            <w:vAlign w:val="bottom"/>
            <w:tcBorders>
              <w:bottom w:val="single" w:sz="8" w:color="0000EE"/>
            </w:tcBorders>
            <w:gridSpan w:val="9"/>
          </w:tcPr>
          <w:p>
            <w:pPr>
              <w:spacing w:after="0" w:line="196" w:lineRule="exact"/>
              <w:rPr>
                <w:rFonts w:ascii="Arial" w:cs="Arial" w:eastAsia="Arial" w:hAnsi="Arial"/>
                <w:sz w:val="18"/>
                <w:szCs w:val="18"/>
                <w:b w:val="1"/>
                <w:bCs w:val="1"/>
                <w:i w:val="1"/>
                <w:iCs w:val="1"/>
                <w:color w:val="0000EE"/>
                <w:w w:val="84"/>
              </w:rPr>
            </w:pPr>
            <w:hyperlink w:anchor="page52">
              <w:r>
                <w:rPr>
                  <w:rFonts w:ascii="Arial" w:cs="Arial" w:eastAsia="Arial" w:hAnsi="Arial"/>
                  <w:sz w:val="18"/>
                  <w:szCs w:val="18"/>
                  <w:b w:val="1"/>
                  <w:bCs w:val="1"/>
                  <w:i w:val="1"/>
                  <w:iCs w:val="1"/>
                  <w:color w:val="0000EE"/>
                  <w:w w:val="84"/>
                </w:rPr>
                <w:t>Certain Provisions Applicable to Awards.</w:t>
              </w:r>
            </w:hyperlink>
          </w:p>
        </w:tc>
        <w:tc>
          <w:tcPr>
            <w:tcW w:w="200" w:type="dxa"/>
            <w:vAlign w:val="bottom"/>
            <w:gridSpan w:val="2"/>
          </w:tcPr>
          <w:p>
            <w:pPr>
              <w:spacing w:after="0"/>
              <w:rPr>
                <w:sz w:val="17"/>
                <w:szCs w:val="17"/>
                <w:color w:val="auto"/>
              </w:rPr>
            </w:pPr>
          </w:p>
        </w:tc>
        <w:tc>
          <w:tcPr>
            <w:tcW w:w="75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3180" w:type="dxa"/>
            <w:vAlign w:val="bottom"/>
            <w:gridSpan w:val="11"/>
          </w:tcPr>
          <w:p>
            <w:pPr>
              <w:spacing w:after="0" w:line="196" w:lineRule="exact"/>
              <w:rPr>
                <w:rFonts w:ascii="Arial" w:cs="Arial" w:eastAsia="Arial" w:hAnsi="Arial"/>
                <w:sz w:val="18"/>
                <w:szCs w:val="18"/>
                <w:b w:val="1"/>
                <w:bCs w:val="1"/>
                <w:i w:val="1"/>
                <w:iCs w:val="1"/>
                <w:color w:val="0000EE"/>
              </w:rPr>
            </w:pPr>
            <w:hyperlink w:anchor="page53">
              <w:r>
                <w:rPr>
                  <w:rFonts w:ascii="Arial" w:cs="Arial" w:eastAsia="Arial" w:hAnsi="Arial"/>
                  <w:sz w:val="18"/>
                  <w:szCs w:val="18"/>
                  <w:b w:val="1"/>
                  <w:bCs w:val="1"/>
                  <w:i w:val="1"/>
                  <w:iCs w:val="1"/>
                  <w:color w:val="0000EE"/>
                </w:rPr>
                <w:t>Code Section 162(m) Provisions.</w:t>
              </w:r>
            </w:hyperlink>
          </w:p>
        </w:tc>
        <w:tc>
          <w:tcPr>
            <w:tcW w:w="75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2360" w:type="dxa"/>
            <w:vAlign w:val="bottom"/>
            <w:tcBorders>
              <w:top w:val="single" w:sz="8" w:color="0000EE"/>
            </w:tcBorders>
            <w:gridSpan w:val="8"/>
          </w:tcPr>
          <w:p>
            <w:pPr>
              <w:spacing w:after="0" w:line="196" w:lineRule="exact"/>
              <w:rPr>
                <w:rFonts w:ascii="Arial" w:cs="Arial" w:eastAsia="Arial" w:hAnsi="Arial"/>
                <w:sz w:val="18"/>
                <w:szCs w:val="18"/>
                <w:b w:val="1"/>
                <w:bCs w:val="1"/>
                <w:i w:val="1"/>
                <w:iCs w:val="1"/>
                <w:color w:val="0000EE"/>
              </w:rPr>
            </w:pPr>
            <w:hyperlink w:anchor="page54">
              <w:r>
                <w:rPr>
                  <w:rFonts w:ascii="Arial" w:cs="Arial" w:eastAsia="Arial" w:hAnsi="Arial"/>
                  <w:sz w:val="18"/>
                  <w:szCs w:val="18"/>
                  <w:b w:val="1"/>
                  <w:bCs w:val="1"/>
                  <w:i w:val="1"/>
                  <w:iCs w:val="1"/>
                  <w:color w:val="0000EE"/>
                </w:rPr>
                <w:t>Change in Control.</w:t>
              </w:r>
            </w:hyperlink>
          </w:p>
        </w:tc>
        <w:tc>
          <w:tcPr>
            <w:tcW w:w="820" w:type="dxa"/>
            <w:vAlign w:val="bottom"/>
            <w:gridSpan w:val="3"/>
          </w:tcPr>
          <w:p>
            <w:pPr>
              <w:spacing w:after="0"/>
              <w:rPr>
                <w:sz w:val="17"/>
                <w:szCs w:val="17"/>
                <w:color w:val="auto"/>
              </w:rPr>
            </w:pPr>
          </w:p>
        </w:tc>
        <w:tc>
          <w:tcPr>
            <w:tcW w:w="75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7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w:t>
            </w:r>
          </w:p>
        </w:tc>
        <w:tc>
          <w:tcPr>
            <w:tcW w:w="1440" w:type="dxa"/>
            <w:vAlign w:val="bottom"/>
            <w:tcBorders>
              <w:bottom w:val="single" w:sz="8" w:color="0000EE"/>
            </w:tcBorders>
            <w:gridSpan w:val="5"/>
          </w:tcPr>
          <w:p>
            <w:pPr>
              <w:spacing w:after="0" w:line="196" w:lineRule="exact"/>
              <w:rPr>
                <w:rFonts w:ascii="Arial" w:cs="Arial" w:eastAsia="Arial" w:hAnsi="Arial"/>
                <w:sz w:val="18"/>
                <w:szCs w:val="18"/>
                <w:b w:val="1"/>
                <w:bCs w:val="1"/>
                <w:i w:val="1"/>
                <w:iCs w:val="1"/>
                <w:color w:val="0000EE"/>
                <w:w w:val="83"/>
              </w:rPr>
            </w:pPr>
            <w:hyperlink w:anchor="page55">
              <w:r>
                <w:rPr>
                  <w:rFonts w:ascii="Arial" w:cs="Arial" w:eastAsia="Arial" w:hAnsi="Arial"/>
                  <w:sz w:val="18"/>
                  <w:szCs w:val="18"/>
                  <w:b w:val="1"/>
                  <w:bCs w:val="1"/>
                  <w:i w:val="1"/>
                  <w:iCs w:val="1"/>
                  <w:color w:val="0000EE"/>
                  <w:w w:val="83"/>
                </w:rPr>
                <w:t>General Provisions.</w:t>
              </w:r>
            </w:hyperlink>
          </w:p>
        </w:tc>
        <w:tc>
          <w:tcPr>
            <w:tcW w:w="1740" w:type="dxa"/>
            <w:vAlign w:val="bottom"/>
            <w:gridSpan w:val="6"/>
          </w:tcPr>
          <w:p>
            <w:pPr>
              <w:spacing w:after="0"/>
              <w:rPr>
                <w:sz w:val="17"/>
                <w:szCs w:val="17"/>
                <w:color w:val="auto"/>
              </w:rPr>
            </w:pPr>
          </w:p>
        </w:tc>
        <w:tc>
          <w:tcPr>
            <w:tcW w:w="75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INCENTIVE COMPENSATION PLAN</w:t>
      </w:r>
    </w:p>
    <w:p>
      <w:pPr>
        <w:spacing w:after="0" w:line="151" w:lineRule="exact"/>
        <w:rPr>
          <w:sz w:val="20"/>
          <w:szCs w:val="20"/>
          <w:color w:val="auto"/>
        </w:rPr>
      </w:pPr>
    </w:p>
    <w:p>
      <w:pPr>
        <w:ind w:right="80" w:firstLine="464"/>
        <w:spacing w:after="0" w:line="254" w:lineRule="auto"/>
        <w:tabs>
          <w:tab w:leader="none" w:pos="808"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Purpose. </w:t>
      </w:r>
      <w:r>
        <w:rPr>
          <w:rFonts w:ascii="Arial" w:cs="Arial" w:eastAsia="Arial" w:hAnsi="Arial"/>
          <w:sz w:val="18"/>
          <w:szCs w:val="18"/>
          <w:color w:val="auto"/>
        </w:rPr>
        <w:t>The purpose of this CASUAL MALE RETAIL GROUP, INC. 2006 INCENTIVE COMPENSATION PLAN (the “Plan”) is to assist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CASUAL MALE RETAIL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w:t>
      </w:r>
    </w:p>
    <w:p>
      <w:pPr>
        <w:spacing w:after="0" w:line="130" w:lineRule="exact"/>
        <w:rPr>
          <w:rFonts w:ascii="Arial" w:cs="Arial" w:eastAsia="Arial" w:hAnsi="Arial"/>
          <w:sz w:val="18"/>
          <w:szCs w:val="18"/>
          <w:color w:val="auto"/>
        </w:rPr>
      </w:pPr>
    </w:p>
    <w:p>
      <w:pPr>
        <w:ind w:left="820" w:hanging="356"/>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For purposes of the Plan, the following terms shall be defined as set forth below, in addition to such terms defined in Section 1 hereof.</w:t>
      </w:r>
    </w:p>
    <w:p>
      <w:pPr>
        <w:spacing w:after="0" w:line="99" w:lineRule="exact"/>
        <w:rPr>
          <w:rFonts w:ascii="Arial" w:cs="Arial" w:eastAsia="Arial" w:hAnsi="Arial"/>
          <w:sz w:val="16"/>
          <w:szCs w:val="16"/>
          <w:color w:val="auto"/>
        </w:rPr>
      </w:pPr>
    </w:p>
    <w:p>
      <w:pPr>
        <w:jc w:val="both"/>
        <w:ind w:left="460" w:right="220" w:firstLine="443"/>
        <w:spacing w:after="0" w:line="259" w:lineRule="auto"/>
        <w:tabs>
          <w:tab w:leader="none" w:pos="1269"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45" w:lineRule="exact"/>
        <w:rPr>
          <w:rFonts w:ascii="Arial" w:cs="Arial" w:eastAsia="Arial" w:hAnsi="Arial"/>
          <w:sz w:val="18"/>
          <w:szCs w:val="18"/>
          <w:color w:val="auto"/>
        </w:rPr>
      </w:pPr>
    </w:p>
    <w:p>
      <w:pPr>
        <w:ind w:left="1280" w:hanging="377"/>
        <w:spacing w:after="0"/>
        <w:tabs>
          <w:tab w:leader="none" w:pos="12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any written agreement, contract or other instrument or document evidencing any Award granted by the Committee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70" w:lineRule="exact"/>
        <w:rPr>
          <w:rFonts w:ascii="Arial" w:cs="Arial" w:eastAsia="Arial" w:hAnsi="Arial"/>
          <w:sz w:val="16"/>
          <w:szCs w:val="16"/>
          <w:color w:val="auto"/>
        </w:rPr>
      </w:pPr>
    </w:p>
    <w:p>
      <w:pPr>
        <w:ind w:left="460" w:right="20" w:firstLine="443"/>
        <w:spacing w:after="0" w:line="255" w:lineRule="auto"/>
        <w:tabs>
          <w:tab w:leader="none" w:pos="1269"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Beneficiary</w:t>
      </w:r>
      <w:r>
        <w:rPr>
          <w:rFonts w:ascii="Arial" w:cs="Arial" w:eastAsia="Arial" w:hAnsi="Arial"/>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48" w:lineRule="exact"/>
        <w:rPr>
          <w:rFonts w:ascii="Arial" w:cs="Arial" w:eastAsia="Arial" w:hAnsi="Arial"/>
          <w:sz w:val="18"/>
          <w:szCs w:val="18"/>
          <w:color w:val="auto"/>
        </w:rPr>
      </w:pPr>
    </w:p>
    <w:p>
      <w:pPr>
        <w:ind w:left="1280" w:hanging="377"/>
        <w:spacing w:after="0"/>
        <w:tabs>
          <w:tab w:leader="none" w:pos="12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shall have the meaning ascribed to such term in Rule 13d-3 under the Exchange Act and any successor to such Rule.</w:t>
      </w:r>
    </w:p>
    <w:p>
      <w:pPr>
        <w:spacing w:after="0" w:line="99" w:lineRule="exact"/>
        <w:rPr>
          <w:rFonts w:ascii="Arial" w:cs="Arial" w:eastAsia="Arial" w:hAnsi="Arial"/>
          <w:sz w:val="16"/>
          <w:szCs w:val="16"/>
          <w:color w:val="auto"/>
        </w:rPr>
      </w:pPr>
    </w:p>
    <w:p>
      <w:pPr>
        <w:ind w:left="1280" w:hanging="377"/>
        <w:spacing w:after="0"/>
        <w:tabs>
          <w:tab w:leader="none" w:pos="1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76" w:lineRule="exact"/>
        <w:rPr>
          <w:rFonts w:ascii="Arial" w:cs="Arial" w:eastAsia="Arial" w:hAnsi="Arial"/>
          <w:sz w:val="18"/>
          <w:szCs w:val="18"/>
          <w:color w:val="auto"/>
        </w:rPr>
      </w:pPr>
    </w:p>
    <w:p>
      <w:pPr>
        <w:ind w:left="460" w:firstLine="443"/>
        <w:spacing w:after="0" w:line="286" w:lineRule="auto"/>
        <w:tabs>
          <w:tab w:leader="none" w:pos="1249"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32" w:lineRule="exact"/>
        <w:rPr>
          <w:rFonts w:ascii="Arial" w:cs="Arial" w:eastAsia="Arial" w:hAnsi="Arial"/>
          <w:sz w:val="16"/>
          <w:szCs w:val="16"/>
          <w:color w:val="auto"/>
        </w:rPr>
      </w:pPr>
    </w:p>
    <w:p>
      <w:pPr>
        <w:ind w:left="1280" w:hanging="377"/>
        <w:spacing w:after="0"/>
        <w:tabs>
          <w:tab w:leader="none" w:pos="1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76" w:lineRule="exact"/>
        <w:rPr>
          <w:rFonts w:ascii="Arial" w:cs="Arial" w:eastAsia="Arial" w:hAnsi="Arial"/>
          <w:sz w:val="18"/>
          <w:szCs w:val="18"/>
          <w:color w:val="auto"/>
        </w:rPr>
      </w:pPr>
    </w:p>
    <w:p>
      <w:pPr>
        <w:ind w:left="460" w:right="260" w:firstLine="443"/>
        <w:spacing w:after="0" w:line="268" w:lineRule="auto"/>
        <w:tabs>
          <w:tab w:leader="none" w:pos="12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firstLine="443"/>
        <w:spacing w:after="0" w:line="283" w:lineRule="auto"/>
        <w:tabs>
          <w:tab w:leader="none" w:pos="1239" w:val="left"/>
        </w:tabs>
        <w:numPr>
          <w:ilvl w:val="1"/>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w:t>
      </w:r>
    </w:p>
    <w:p>
      <w:pPr>
        <w:spacing w:after="0" w:line="2" w:lineRule="exact"/>
        <w:rPr>
          <w:rFonts w:ascii="Arial" w:cs="Arial" w:eastAsia="Arial" w:hAnsi="Arial"/>
          <w:sz w:val="16"/>
          <w:szCs w:val="16"/>
          <w:color w:val="auto"/>
        </w:rPr>
      </w:pPr>
    </w:p>
    <w:p>
      <w:pPr>
        <w:ind w:left="780" w:hanging="31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“Independent”.</w:t>
      </w:r>
    </w:p>
    <w:p>
      <w:pPr>
        <w:spacing w:after="0" w:line="70" w:lineRule="exact"/>
        <w:rPr>
          <w:rFonts w:ascii="Arial" w:cs="Arial" w:eastAsia="Arial" w:hAnsi="Arial"/>
          <w:sz w:val="18"/>
          <w:szCs w:val="18"/>
          <w:color w:val="auto"/>
        </w:rPr>
      </w:pPr>
    </w:p>
    <w:p>
      <w:pPr>
        <w:ind w:left="460" w:right="180" w:firstLine="443"/>
        <w:spacing w:after="0" w:line="325" w:lineRule="auto"/>
        <w:tabs>
          <w:tab w:leader="none" w:pos="1239" w:val="left"/>
        </w:tabs>
        <w:numPr>
          <w:ilvl w:val="1"/>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 w:lineRule="exact"/>
        <w:rPr>
          <w:rFonts w:ascii="Arial" w:cs="Arial" w:eastAsia="Arial" w:hAnsi="Arial"/>
          <w:sz w:val="16"/>
          <w:szCs w:val="16"/>
          <w:color w:val="auto"/>
        </w:rPr>
      </w:pPr>
    </w:p>
    <w:p>
      <w:pPr>
        <w:ind w:left="460" w:firstLine="443"/>
        <w:spacing w:after="0" w:line="305" w:lineRule="auto"/>
        <w:tabs>
          <w:tab w:leader="none" w:pos="1278" w:val="left"/>
        </w:tabs>
        <w:numPr>
          <w:ilvl w:val="1"/>
          <w:numId w:val="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Continuous Service</w:t>
      </w:r>
      <w:r>
        <w:rPr>
          <w:rFonts w:ascii="Arial" w:cs="Arial" w:eastAsia="Arial" w:hAnsi="Arial"/>
          <w:sz w:val="15"/>
          <w:szCs w:val="15"/>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w:t>
      </w:r>
    </w:p>
    <w:p>
      <w:pPr>
        <w:ind w:left="460" w:right="320" w:firstLine="4"/>
        <w:spacing w:after="0" w:line="254" w:lineRule="auto"/>
        <w:tabs>
          <w:tab w:leader="none" w:pos="7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49" w:lineRule="exact"/>
        <w:rPr>
          <w:rFonts w:ascii="Arial" w:cs="Arial" w:eastAsia="Arial" w:hAnsi="Arial"/>
          <w:sz w:val="18"/>
          <w:szCs w:val="18"/>
          <w:color w:val="auto"/>
        </w:rPr>
      </w:pPr>
    </w:p>
    <w:p>
      <w:pPr>
        <w:ind w:left="460" w:right="420" w:firstLine="443"/>
        <w:spacing w:after="0" w:line="268" w:lineRule="auto"/>
        <w:tabs>
          <w:tab w:leader="none" w:pos="1239"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37" w:lineRule="exact"/>
        <w:rPr>
          <w:rFonts w:ascii="Arial" w:cs="Arial" w:eastAsia="Arial" w:hAnsi="Arial"/>
          <w:sz w:val="18"/>
          <w:szCs w:val="18"/>
          <w:color w:val="auto"/>
        </w:rPr>
      </w:pPr>
    </w:p>
    <w:p>
      <w:pPr>
        <w:ind w:left="460" w:right="80" w:firstLine="443"/>
        <w:spacing w:after="0" w:line="268" w:lineRule="auto"/>
        <w:tabs>
          <w:tab w:leader="none" w:pos="1327"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37" w:lineRule="exact"/>
        <w:rPr>
          <w:rFonts w:ascii="Arial" w:cs="Arial" w:eastAsia="Arial" w:hAnsi="Arial"/>
          <w:sz w:val="18"/>
          <w:szCs w:val="18"/>
          <w:color w:val="auto"/>
        </w:rPr>
      </w:pPr>
    </w:p>
    <w:p>
      <w:pPr>
        <w:ind w:left="1280" w:hanging="377"/>
        <w:spacing w:after="0"/>
        <w:tabs>
          <w:tab w:leader="none" w:pos="12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76" w:lineRule="exact"/>
        <w:rPr>
          <w:rFonts w:ascii="Arial" w:cs="Arial" w:eastAsia="Arial" w:hAnsi="Arial"/>
          <w:sz w:val="18"/>
          <w:szCs w:val="18"/>
          <w:color w:val="auto"/>
        </w:rPr>
      </w:pPr>
    </w:p>
    <w:p>
      <w:pPr>
        <w:ind w:left="1280" w:hanging="377"/>
        <w:spacing w:after="0"/>
        <w:tabs>
          <w:tab w:leader="none" w:pos="12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76" w:lineRule="exact"/>
        <w:rPr>
          <w:rFonts w:ascii="Arial" w:cs="Arial" w:eastAsia="Arial" w:hAnsi="Arial"/>
          <w:sz w:val="18"/>
          <w:szCs w:val="18"/>
          <w:color w:val="auto"/>
        </w:rPr>
      </w:pPr>
    </w:p>
    <w:p>
      <w:pPr>
        <w:ind w:left="460" w:right="480" w:firstLine="443"/>
        <w:spacing w:after="0" w:line="268" w:lineRule="auto"/>
        <w:tabs>
          <w:tab w:leader="none" w:pos="12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37" w:lineRule="exact"/>
        <w:rPr>
          <w:rFonts w:ascii="Arial" w:cs="Arial" w:eastAsia="Arial" w:hAnsi="Arial"/>
          <w:sz w:val="18"/>
          <w:szCs w:val="18"/>
          <w:color w:val="auto"/>
        </w:rPr>
      </w:pPr>
    </w:p>
    <w:p>
      <w:pPr>
        <w:ind w:left="460" w:right="640" w:firstLine="443"/>
        <w:spacing w:after="0" w:line="325" w:lineRule="auto"/>
        <w:tabs>
          <w:tab w:leader="none" w:pos="1278" w:val="left"/>
        </w:tabs>
        <w:numPr>
          <w:ilvl w:val="1"/>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Dividend Equivalent</w:t>
      </w:r>
      <w:r>
        <w:rPr>
          <w:rFonts w:ascii="Arial" w:cs="Arial" w:eastAsia="Arial" w:hAnsi="Arial"/>
          <w:sz w:val="16"/>
          <w:szCs w:val="16"/>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 w:lineRule="exact"/>
        <w:rPr>
          <w:rFonts w:ascii="Arial" w:cs="Arial" w:eastAsia="Arial" w:hAnsi="Arial"/>
          <w:sz w:val="16"/>
          <w:szCs w:val="16"/>
          <w:color w:val="auto"/>
        </w:rPr>
      </w:pPr>
    </w:p>
    <w:p>
      <w:pPr>
        <w:ind w:left="1260" w:hanging="357"/>
        <w:spacing w:after="0"/>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76" w:lineRule="exact"/>
        <w:rPr>
          <w:rFonts w:ascii="Arial" w:cs="Arial" w:eastAsia="Arial" w:hAnsi="Arial"/>
          <w:sz w:val="18"/>
          <w:szCs w:val="18"/>
          <w:color w:val="auto"/>
        </w:rPr>
      </w:pPr>
    </w:p>
    <w:p>
      <w:pPr>
        <w:ind w:left="460" w:right="80" w:firstLine="443"/>
        <w:spacing w:after="0" w:line="255" w:lineRule="auto"/>
        <w:tabs>
          <w:tab w:leader="none" w:pos="1259"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be considered as still in the employ of the Company or a Related Entity for purposes of eligibility for participation in the Plan.</w:t>
      </w:r>
    </w:p>
    <w:p>
      <w:pPr>
        <w:spacing w:after="0" w:line="48" w:lineRule="exact"/>
        <w:rPr>
          <w:rFonts w:ascii="Arial" w:cs="Arial" w:eastAsia="Arial" w:hAnsi="Arial"/>
          <w:sz w:val="18"/>
          <w:szCs w:val="18"/>
          <w:color w:val="auto"/>
        </w:rPr>
      </w:pPr>
    </w:p>
    <w:p>
      <w:pPr>
        <w:ind w:left="460" w:right="220" w:firstLine="443"/>
        <w:spacing w:after="0" w:line="268" w:lineRule="auto"/>
        <w:tabs>
          <w:tab w:leader="none" w:pos="1239"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37" w:lineRule="exact"/>
        <w:rPr>
          <w:rFonts w:ascii="Arial" w:cs="Arial" w:eastAsia="Arial" w:hAnsi="Arial"/>
          <w:sz w:val="18"/>
          <w:szCs w:val="18"/>
          <w:color w:val="auto"/>
        </w:rPr>
      </w:pPr>
    </w:p>
    <w:p>
      <w:pPr>
        <w:ind w:left="460" w:right="720" w:firstLine="443"/>
        <w:spacing w:after="0" w:line="268" w:lineRule="auto"/>
        <w:tabs>
          <w:tab w:leader="none" w:pos="12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37" w:lineRule="exact"/>
        <w:rPr>
          <w:rFonts w:ascii="Arial" w:cs="Arial" w:eastAsia="Arial" w:hAnsi="Arial"/>
          <w:sz w:val="18"/>
          <w:szCs w:val="18"/>
          <w:color w:val="auto"/>
        </w:rPr>
      </w:pPr>
    </w:p>
    <w:p>
      <w:pPr>
        <w:ind w:left="460" w:right="280" w:firstLine="443"/>
        <w:spacing w:after="0" w:line="268" w:lineRule="auto"/>
        <w:tabs>
          <w:tab w:leader="none" w:pos="12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fair market value of Shares, Awards or other property as determined by the Committee, or under procedures established by the Committee. Unless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60"/>
        <w:spacing w:after="0" w:line="306" w:lineRule="auto"/>
        <w:rPr>
          <w:sz w:val="20"/>
          <w:szCs w:val="20"/>
          <w:color w:val="auto"/>
        </w:rPr>
      </w:pPr>
      <w:r>
        <w:rPr>
          <w:rFonts w:ascii="Arial" w:cs="Arial" w:eastAsia="Arial" w:hAnsi="Arial"/>
          <w:sz w:val="16"/>
          <w:szCs w:val="16"/>
          <w:color w:val="auto"/>
        </w:rPr>
        <w:t>determined by the Committee, the Fair Market Value of a Share as of any given date shall be the closing sale price per Share reported on a consolidated basis for stock listed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2" w:lineRule="exact"/>
        <w:rPr>
          <w:sz w:val="20"/>
          <w:szCs w:val="20"/>
          <w:color w:val="auto"/>
        </w:rPr>
      </w:pPr>
    </w:p>
    <w:p>
      <w:pPr>
        <w:ind w:left="460" w:firstLine="443"/>
        <w:spacing w:after="0" w:line="301" w:lineRule="auto"/>
        <w:tabs>
          <w:tab w:leader="none" w:pos="1317" w:val="left"/>
        </w:tabs>
        <w:numPr>
          <w:ilvl w:val="1"/>
          <w:numId w:val="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Reason</w:t>
      </w:r>
      <w:r>
        <w:rPr>
          <w:rFonts w:ascii="Arial" w:cs="Arial" w:eastAsia="Arial" w:hAnsi="Arial"/>
          <w:sz w:val="15"/>
          <w:szCs w:val="15"/>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w:t>
      </w:r>
    </w:p>
    <w:p>
      <w:pPr>
        <w:spacing w:after="0" w:line="4" w:lineRule="exact"/>
        <w:rPr>
          <w:rFonts w:ascii="Arial" w:cs="Arial" w:eastAsia="Arial" w:hAnsi="Arial"/>
          <w:sz w:val="15"/>
          <w:szCs w:val="15"/>
          <w:color w:val="auto"/>
        </w:rPr>
      </w:pPr>
    </w:p>
    <w:p>
      <w:pPr>
        <w:ind w:left="460" w:right="120" w:firstLine="4"/>
        <w:spacing w:after="0" w:line="253" w:lineRule="auto"/>
        <w:tabs>
          <w:tab w:leader="none" w:pos="71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278"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37" w:lineRule="exact"/>
        <w:rPr>
          <w:rFonts w:ascii="Arial" w:cs="Arial" w:eastAsia="Arial" w:hAnsi="Arial"/>
          <w:sz w:val="18"/>
          <w:szCs w:val="18"/>
          <w:color w:val="auto"/>
        </w:rPr>
      </w:pPr>
    </w:p>
    <w:p>
      <w:pPr>
        <w:ind w:left="460" w:right="40" w:firstLine="443"/>
        <w:spacing w:after="0" w:line="259" w:lineRule="auto"/>
        <w:tabs>
          <w:tab w:leader="none" w:pos="1278"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45" w:lineRule="exact"/>
        <w:rPr>
          <w:rFonts w:ascii="Arial" w:cs="Arial" w:eastAsia="Arial" w:hAnsi="Arial"/>
          <w:sz w:val="18"/>
          <w:szCs w:val="18"/>
          <w:color w:val="auto"/>
        </w:rPr>
      </w:pPr>
    </w:p>
    <w:p>
      <w:pPr>
        <w:ind w:left="1280" w:hanging="377"/>
        <w:spacing w:after="0"/>
        <w:tabs>
          <w:tab w:leader="none" w:pos="1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of the Plan.</w:t>
      </w:r>
    </w:p>
    <w:p>
      <w:pPr>
        <w:spacing w:after="0" w:line="77" w:lineRule="exact"/>
        <w:rPr>
          <w:sz w:val="20"/>
          <w:szCs w:val="20"/>
          <w:color w:val="auto"/>
        </w:rPr>
      </w:pPr>
    </w:p>
    <w:p>
      <w:pPr>
        <w:ind w:left="460" w:right="420" w:firstLine="443"/>
        <w:spacing w:after="0" w:line="268" w:lineRule="auto"/>
        <w:tabs>
          <w:tab w:leader="none" w:pos="13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6(b) hereof, to purchase Shares or other Awards at a specified price during specified time periods.</w:t>
      </w:r>
    </w:p>
    <w:p>
      <w:pPr>
        <w:spacing w:after="0" w:line="37" w:lineRule="exact"/>
        <w:rPr>
          <w:rFonts w:ascii="Arial" w:cs="Arial" w:eastAsia="Arial" w:hAnsi="Arial"/>
          <w:sz w:val="18"/>
          <w:szCs w:val="18"/>
          <w:color w:val="auto"/>
        </w:rPr>
      </w:pPr>
    </w:p>
    <w:p>
      <w:pPr>
        <w:ind w:left="1380" w:hanging="477"/>
        <w:spacing w:after="0"/>
        <w:tabs>
          <w:tab w:leader="none" w:pos="13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Optionee</w:t>
      </w:r>
      <w:r>
        <w:rPr>
          <w:rFonts w:ascii="Arial" w:cs="Arial" w:eastAsia="Arial" w:hAnsi="Arial"/>
          <w:sz w:val="15"/>
          <w:szCs w:val="15"/>
          <w:color w:val="auto"/>
        </w:rPr>
        <w:t>” means a person to whom an Option is granted under this Plan or any person who succeeds to the rights of such person under this</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Plan.</w:t>
      </w:r>
    </w:p>
    <w:p>
      <w:pPr>
        <w:spacing w:after="0" w:line="70" w:lineRule="exact"/>
        <w:rPr>
          <w:rFonts w:ascii="Arial" w:cs="Arial" w:eastAsia="Arial" w:hAnsi="Arial"/>
          <w:sz w:val="15"/>
          <w:szCs w:val="15"/>
          <w:color w:val="auto"/>
        </w:rPr>
      </w:pPr>
    </w:p>
    <w:p>
      <w:pPr>
        <w:ind w:left="1360" w:hanging="457"/>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76" w:lineRule="exact"/>
        <w:rPr>
          <w:rFonts w:ascii="Arial" w:cs="Arial" w:eastAsia="Arial" w:hAnsi="Arial"/>
          <w:sz w:val="18"/>
          <w:szCs w:val="18"/>
          <w:color w:val="auto"/>
        </w:rPr>
      </w:pPr>
    </w:p>
    <w:p>
      <w:pPr>
        <w:ind w:left="460" w:right="40" w:firstLine="443"/>
        <w:spacing w:after="0" w:line="268" w:lineRule="auto"/>
        <w:tabs>
          <w:tab w:leader="none" w:pos="13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37" w:lineRule="exact"/>
        <w:rPr>
          <w:rFonts w:ascii="Arial" w:cs="Arial" w:eastAsia="Arial" w:hAnsi="Arial"/>
          <w:sz w:val="18"/>
          <w:szCs w:val="18"/>
          <w:color w:val="auto"/>
        </w:rPr>
      </w:pPr>
    </w:p>
    <w:p>
      <w:pPr>
        <w:ind w:left="1360" w:hanging="457"/>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color w:val="auto"/>
        </w:rPr>
        <w:t>” shall mean any Award of Performance Shares or Performance Units granted pursuant to Section 6(h).</w:t>
      </w:r>
    </w:p>
    <w:p>
      <w:pPr>
        <w:spacing w:after="0" w:line="76" w:lineRule="exact"/>
        <w:rPr>
          <w:rFonts w:ascii="Arial" w:cs="Arial" w:eastAsia="Arial" w:hAnsi="Arial"/>
          <w:sz w:val="18"/>
          <w:szCs w:val="18"/>
          <w:color w:val="auto"/>
        </w:rPr>
      </w:pPr>
    </w:p>
    <w:p>
      <w:pPr>
        <w:ind w:left="460" w:right="40" w:firstLine="443"/>
        <w:spacing w:after="0" w:line="268" w:lineRule="auto"/>
        <w:tabs>
          <w:tab w:leader="none" w:pos="13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37" w:lineRule="exact"/>
        <w:rPr>
          <w:rFonts w:ascii="Arial" w:cs="Arial" w:eastAsia="Arial" w:hAnsi="Arial"/>
          <w:sz w:val="18"/>
          <w:szCs w:val="18"/>
          <w:color w:val="auto"/>
        </w:rPr>
      </w:pPr>
    </w:p>
    <w:p>
      <w:pPr>
        <w:ind w:left="460" w:right="120" w:firstLine="443"/>
        <w:spacing w:after="0" w:line="256" w:lineRule="auto"/>
        <w:tabs>
          <w:tab w:leader="none" w:pos="13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6(h)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6" w:lineRule="auto"/>
        <w:tabs>
          <w:tab w:leader="none" w:pos="1366"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48" w:lineRule="exact"/>
        <w:rPr>
          <w:rFonts w:ascii="Arial" w:cs="Arial" w:eastAsia="Arial" w:hAnsi="Arial"/>
          <w:sz w:val="18"/>
          <w:szCs w:val="18"/>
          <w:color w:val="auto"/>
        </w:rPr>
      </w:pPr>
    </w:p>
    <w:p>
      <w:pPr>
        <w:ind w:left="460" w:right="260" w:firstLine="443"/>
        <w:spacing w:after="0" w:line="268" w:lineRule="auto"/>
        <w:tabs>
          <w:tab w:leader="none" w:pos="12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37" w:lineRule="exact"/>
        <w:rPr>
          <w:rFonts w:ascii="Arial" w:cs="Arial" w:eastAsia="Arial" w:hAnsi="Arial"/>
          <w:sz w:val="18"/>
          <w:szCs w:val="18"/>
          <w:color w:val="auto"/>
        </w:rPr>
      </w:pPr>
    </w:p>
    <w:p>
      <w:pPr>
        <w:ind w:left="1300" w:hanging="397"/>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1992 Stock Incentive Plan, as amended.</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366"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Board in which the Company or a Subsidiary holds a substantial ownership interest, directly or indirectly.</w:t>
      </w:r>
    </w:p>
    <w:p>
      <w:pPr>
        <w:spacing w:after="0" w:line="37" w:lineRule="exact"/>
        <w:rPr>
          <w:rFonts w:ascii="Arial" w:cs="Arial" w:eastAsia="Arial" w:hAnsi="Arial"/>
          <w:sz w:val="18"/>
          <w:szCs w:val="18"/>
          <w:color w:val="auto"/>
        </w:rPr>
      </w:pPr>
    </w:p>
    <w:p>
      <w:pPr>
        <w:ind w:left="460" w:right="60" w:firstLine="443"/>
        <w:spacing w:after="0" w:line="256" w:lineRule="auto"/>
        <w:tabs>
          <w:tab w:leader="none" w:pos="12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48" w:lineRule="exact"/>
        <w:rPr>
          <w:rFonts w:ascii="Arial" w:cs="Arial" w:eastAsia="Arial" w:hAnsi="Arial"/>
          <w:sz w:val="18"/>
          <w:szCs w:val="18"/>
          <w:color w:val="auto"/>
        </w:rPr>
      </w:pPr>
    </w:p>
    <w:p>
      <w:pPr>
        <w:ind w:left="1460" w:hanging="557"/>
        <w:spacing w:after="0"/>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366"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37" w:lineRule="exact"/>
        <w:rPr>
          <w:rFonts w:ascii="Arial" w:cs="Arial" w:eastAsia="Arial" w:hAnsi="Arial"/>
          <w:sz w:val="18"/>
          <w:szCs w:val="18"/>
          <w:color w:val="auto"/>
        </w:rPr>
      </w:pPr>
    </w:p>
    <w:p>
      <w:pPr>
        <w:ind w:left="460" w:right="160" w:firstLine="443"/>
        <w:spacing w:after="0" w:line="256" w:lineRule="auto"/>
        <w:tabs>
          <w:tab w:leader="none" w:pos="1366"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on quoted, and other laws, regulations and obligations of the Company applicable to the Plan.</w:t>
      </w:r>
    </w:p>
    <w:p>
      <w:pPr>
        <w:spacing w:after="0" w:line="48" w:lineRule="exact"/>
        <w:rPr>
          <w:rFonts w:ascii="Arial" w:cs="Arial" w:eastAsia="Arial" w:hAnsi="Arial"/>
          <w:sz w:val="18"/>
          <w:szCs w:val="18"/>
          <w:color w:val="auto"/>
        </w:rPr>
      </w:pPr>
    </w:p>
    <w:p>
      <w:pPr>
        <w:ind w:left="460" w:right="320" w:firstLine="443"/>
        <w:spacing w:after="0" w:line="268" w:lineRule="auto"/>
        <w:tabs>
          <w:tab w:leader="none" w:pos="1366"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10(c) hereof.</w:t>
      </w:r>
    </w:p>
    <w:p>
      <w:pPr>
        <w:spacing w:after="0" w:line="37" w:lineRule="exact"/>
        <w:rPr>
          <w:rFonts w:ascii="Arial" w:cs="Arial" w:eastAsia="Arial" w:hAnsi="Arial"/>
          <w:sz w:val="18"/>
          <w:szCs w:val="18"/>
          <w:color w:val="auto"/>
        </w:rPr>
      </w:pPr>
    </w:p>
    <w:p>
      <w:pPr>
        <w:ind w:left="1380" w:hanging="477"/>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76" w:lineRule="exact"/>
        <w:rPr>
          <w:rFonts w:ascii="Arial" w:cs="Arial" w:eastAsia="Arial" w:hAnsi="Arial"/>
          <w:sz w:val="18"/>
          <w:szCs w:val="18"/>
          <w:color w:val="auto"/>
        </w:rPr>
      </w:pPr>
    </w:p>
    <w:p>
      <w:pPr>
        <w:jc w:val="both"/>
        <w:ind w:left="460" w:right="260" w:firstLine="443"/>
        <w:spacing w:after="0" w:line="256" w:lineRule="auto"/>
        <w:tabs>
          <w:tab w:leader="none" w:pos="1308"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48" w:lineRule="exact"/>
        <w:rPr>
          <w:rFonts w:ascii="Arial" w:cs="Arial" w:eastAsia="Arial" w:hAnsi="Arial"/>
          <w:sz w:val="18"/>
          <w:szCs w:val="18"/>
          <w:color w:val="auto"/>
        </w:rPr>
      </w:pPr>
    </w:p>
    <w:p>
      <w:pPr>
        <w:ind w:left="460" w:right="40" w:firstLine="443"/>
        <w:spacing w:after="0" w:line="259" w:lineRule="auto"/>
        <w:tabs>
          <w:tab w:leader="none" w:pos="1327"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126" w:lineRule="exact"/>
        <w:rPr>
          <w:rFonts w:ascii="Arial" w:cs="Arial" w:eastAsia="Arial" w:hAnsi="Arial"/>
          <w:sz w:val="18"/>
          <w:szCs w:val="18"/>
          <w:color w:val="auto"/>
        </w:rPr>
      </w:pPr>
    </w:p>
    <w:p>
      <w:pPr>
        <w:ind w:left="780" w:hanging="31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firstLine="443"/>
        <w:spacing w:after="0" w:line="255" w:lineRule="auto"/>
        <w:tabs>
          <w:tab w:leader="none" w:pos="1268" w:val="left"/>
        </w:tabs>
        <w:numPr>
          <w:ilvl w:val="1"/>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Authority of the Committee</w:t>
      </w:r>
      <w:r>
        <w:rPr>
          <w:rFonts w:ascii="Arial" w:cs="Arial" w:eastAsia="Arial" w:hAnsi="Arial"/>
          <w:sz w:val="18"/>
          <w:szCs w:val="18"/>
          <w:color w:val="auto"/>
        </w:rPr>
        <w:t>. The Plan shall be administered by the Committee, except to the extent the Board elects to administer the Plan,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318" w:lineRule="auto"/>
        <w:rPr>
          <w:sz w:val="20"/>
          <w:szCs w:val="20"/>
          <w:color w:val="auto"/>
        </w:rPr>
      </w:pPr>
      <w:r>
        <w:rPr>
          <w:rFonts w:ascii="Arial" w:cs="Arial" w:eastAsia="Arial" w:hAnsi="Arial"/>
          <w:sz w:val="15"/>
          <w:szCs w:val="15"/>
          <w:color w:val="auto"/>
        </w:rPr>
        <w:t>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5" w:lineRule="exact"/>
        <w:rPr>
          <w:sz w:val="20"/>
          <w:szCs w:val="20"/>
          <w:color w:val="auto"/>
        </w:rPr>
      </w:pPr>
    </w:p>
    <w:p>
      <w:pPr>
        <w:ind w:left="460" w:right="60" w:firstLine="443"/>
        <w:spacing w:after="0" w:line="301" w:lineRule="auto"/>
        <w:tabs>
          <w:tab w:leader="none" w:pos="1278" w:val="left"/>
        </w:tabs>
        <w:numPr>
          <w:ilvl w:val="1"/>
          <w:numId w:val="34"/>
        </w:numPr>
        <w:rPr>
          <w:rFonts w:ascii="Arial" w:cs="Arial" w:eastAsia="Arial" w:hAnsi="Arial"/>
          <w:sz w:val="15"/>
          <w:szCs w:val="15"/>
          <w:color w:val="auto"/>
        </w:rPr>
      </w:pPr>
      <w:r>
        <w:rPr>
          <w:rFonts w:ascii="Arial" w:cs="Arial" w:eastAsia="Arial" w:hAnsi="Arial"/>
          <w:sz w:val="15"/>
          <w:szCs w:val="15"/>
          <w:b w:val="1"/>
          <w:bCs w:val="1"/>
          <w:i w:val="1"/>
          <w:iCs w:val="1"/>
          <w:color w:val="auto"/>
        </w:rPr>
        <w:t>Manner of Exercise of Committee Authority</w:t>
      </w:r>
      <w:r>
        <w:rPr>
          <w:rFonts w:ascii="Arial" w:cs="Arial" w:eastAsia="Arial" w:hAnsi="Arial"/>
          <w:sz w:val="15"/>
          <w:szCs w:val="15"/>
          <w:color w:val="auto"/>
        </w:rPr>
        <w:t>. The Committee, and not the Board, shall exercise sole and exclusive discretion on any matter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relating to a Participant then subject to Section 16 of the Exchange Act with respect to the Company to the extent necessary in order that transactions by such Participant shall be exempt under Rule 16b-3 under the Exchange Act. Any action of the Committee shall be final, conclusive and binding on all persons, including the Company, its Related Entities,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as the Committee shall determine, to perform such functions, including administrative functions as the Committee may determine to the extent that such delegation will not result in the loss of an exemption under Rule 16b-3(d)</w:t>
      </w:r>
    </w:p>
    <w:p>
      <w:pPr>
        <w:spacing w:after="0" w:line="4" w:lineRule="exact"/>
        <w:rPr>
          <w:rFonts w:ascii="Arial" w:cs="Arial" w:eastAsia="Arial" w:hAnsi="Arial"/>
          <w:sz w:val="15"/>
          <w:szCs w:val="15"/>
          <w:color w:val="auto"/>
        </w:rPr>
      </w:pPr>
    </w:p>
    <w:p>
      <w:pPr>
        <w:jc w:val="both"/>
        <w:ind w:left="460" w:right="80" w:firstLine="4"/>
        <w:spacing w:after="0" w:line="255" w:lineRule="auto"/>
        <w:tabs>
          <w:tab w:leader="none" w:pos="709"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49" w:lineRule="exact"/>
        <w:rPr>
          <w:rFonts w:ascii="Arial" w:cs="Arial" w:eastAsia="Arial" w:hAnsi="Arial"/>
          <w:sz w:val="18"/>
          <w:szCs w:val="18"/>
          <w:color w:val="auto"/>
        </w:rPr>
      </w:pPr>
    </w:p>
    <w:p>
      <w:pPr>
        <w:ind w:left="460" w:firstLine="443"/>
        <w:spacing w:after="0" w:line="294" w:lineRule="auto"/>
        <w:tabs>
          <w:tab w:leader="none" w:pos="1268" w:val="left"/>
        </w:tabs>
        <w:numPr>
          <w:ilvl w:val="1"/>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of Liability</w:t>
      </w:r>
      <w:r>
        <w:rPr>
          <w:rFonts w:ascii="Arial" w:cs="Arial" w:eastAsia="Arial" w:hAnsi="Arial"/>
          <w:sz w:val="16"/>
          <w:szCs w:val="16"/>
          <w:color w:val="auto"/>
        </w:rPr>
        <w:t>. The Committee and the Board, and each member thereof, shall be entitled to, in good faith, rely or act upon any report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02" w:lineRule="exact"/>
        <w:rPr>
          <w:sz w:val="20"/>
          <w:szCs w:val="20"/>
          <w:color w:val="auto"/>
        </w:rPr>
      </w:pPr>
    </w:p>
    <w:p>
      <w:pPr>
        <w:ind w:left="780" w:hanging="31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120" w:firstLine="443"/>
        <w:spacing w:after="0" w:line="298" w:lineRule="auto"/>
        <w:tabs>
          <w:tab w:leader="none" w:pos="1268" w:val="left"/>
        </w:tabs>
        <w:numPr>
          <w:ilvl w:val="1"/>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Overall Number of Shares Available for Delivery Under Plan</w:t>
      </w:r>
      <w:r>
        <w:rPr>
          <w:rFonts w:ascii="Arial" w:cs="Arial" w:eastAsia="Arial" w:hAnsi="Arial"/>
          <w:sz w:val="16"/>
          <w:szCs w:val="16"/>
          <w:color w:val="auto"/>
        </w:rPr>
        <w:t>. Subject to adjustment as provided in Section 10(c) hereof,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number of Shares reserved and available for delivery under the Plan shall be 2,500,000; provided, however, that the maximum number of Shares issued or available for issuance under the Plan with respect to Awards other than Options and Stock Appreciation Rights shall not exceed 1,250,000. Any Shares delivered under the Plan may consist, in whole or in part, of authorized and unissued shares or treasury shares.</w:t>
      </w:r>
    </w:p>
    <w:p>
      <w:pPr>
        <w:spacing w:after="0" w:line="18" w:lineRule="exact"/>
        <w:rPr>
          <w:rFonts w:ascii="Arial" w:cs="Arial" w:eastAsia="Arial" w:hAnsi="Arial"/>
          <w:sz w:val="16"/>
          <w:szCs w:val="16"/>
          <w:color w:val="auto"/>
        </w:rPr>
      </w:pPr>
    </w:p>
    <w:p>
      <w:pPr>
        <w:ind w:left="460" w:right="40" w:firstLine="443"/>
        <w:spacing w:after="0" w:line="291" w:lineRule="auto"/>
        <w:tabs>
          <w:tab w:leader="none" w:pos="1278" w:val="left"/>
        </w:tabs>
        <w:numPr>
          <w:ilvl w:val="1"/>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Application of Limitation to Grants of Award</w:t>
      </w:r>
      <w:r>
        <w:rPr>
          <w:rFonts w:ascii="Arial" w:cs="Arial" w:eastAsia="Arial" w:hAnsi="Arial"/>
          <w:sz w:val="16"/>
          <w:szCs w:val="16"/>
          <w:color w:val="auto"/>
        </w:rPr>
        <w:t>. No Award may be granted if the number of Shares to be delivered in connection with such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or, in the case of an Award relating to Shares but settled only in cash (such as cash-only Stock Appreciation Rights), the number of Shares to which such Award relates,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25" w:lineRule="exact"/>
        <w:rPr>
          <w:rFonts w:ascii="Arial" w:cs="Arial" w:eastAsia="Arial" w:hAnsi="Arial"/>
          <w:sz w:val="16"/>
          <w:szCs w:val="16"/>
          <w:color w:val="auto"/>
        </w:rPr>
      </w:pPr>
    </w:p>
    <w:p>
      <w:pPr>
        <w:ind w:left="1280" w:hanging="377"/>
        <w:spacing w:after="0"/>
        <w:tabs>
          <w:tab w:leader="none" w:pos="1280" w:val="left"/>
        </w:tabs>
        <w:numPr>
          <w:ilvl w:val="1"/>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20" w:right="60" w:firstLine="421"/>
        <w:spacing w:after="0" w:line="268" w:lineRule="auto"/>
        <w:tabs>
          <w:tab w:leader="none" w:pos="1681" w:val="left"/>
        </w:tabs>
        <w:numPr>
          <w:ilvl w:val="2"/>
          <w:numId w:val="36"/>
        </w:numPr>
        <w:rPr>
          <w:rFonts w:ascii="Arial" w:cs="Arial" w:eastAsia="Arial" w:hAnsi="Arial"/>
          <w:sz w:val="18"/>
          <w:szCs w:val="18"/>
          <w:color w:val="auto"/>
        </w:rPr>
      </w:pPr>
      <w:r>
        <w:rPr>
          <w:rFonts w:ascii="Arial" w:cs="Arial" w:eastAsia="Arial" w:hAnsi="Arial"/>
          <w:sz w:val="18"/>
          <w:szCs w:val="18"/>
          <w:color w:val="auto"/>
        </w:rPr>
        <w:t>If any Shares subject to an Award are forfeited, expire or otherwise terminate without issuance of such Shares, or any Award is settled for cash or otherwise does not result in the issuance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rPr>
        <w:t>all or a portion of the Shares subject to such Award, the Shares shall, to the extent of such forfeiture, expiration, termination, cash settlement or non-issuance, again be available for Awards under the Plan, subject to Section 4(c)(v) below.</w:t>
      </w:r>
    </w:p>
    <w:p>
      <w:pPr>
        <w:spacing w:after="0" w:line="37" w:lineRule="exact"/>
        <w:rPr>
          <w:sz w:val="20"/>
          <w:szCs w:val="20"/>
          <w:color w:val="auto"/>
        </w:rPr>
      </w:pPr>
    </w:p>
    <w:p>
      <w:pPr>
        <w:ind w:left="920" w:right="340" w:firstLine="421"/>
        <w:spacing w:after="0" w:line="325" w:lineRule="auto"/>
        <w:tabs>
          <w:tab w:leader="none" w:pos="1720" w:val="left"/>
        </w:tabs>
        <w:numPr>
          <w:ilvl w:val="2"/>
          <w:numId w:val="37"/>
        </w:numPr>
        <w:rPr>
          <w:rFonts w:ascii="Arial" w:cs="Arial" w:eastAsia="Arial" w:hAnsi="Arial"/>
          <w:sz w:val="16"/>
          <w:szCs w:val="16"/>
          <w:color w:val="auto"/>
        </w:rPr>
      </w:pPr>
      <w:r>
        <w:rPr>
          <w:rFonts w:ascii="Arial" w:cs="Arial" w:eastAsia="Arial" w:hAnsi="Arial"/>
          <w:sz w:val="16"/>
          <w:szCs w:val="16"/>
          <w:color w:val="auto"/>
        </w:rPr>
        <w:t>Awards that are settled or exercised through the payment of Shares shall be counted in full against the number of Shares available for award under the Plan, regardless of the number of Shares actually issued upon settlement or exercise of any such Award.</w:t>
      </w:r>
    </w:p>
    <w:p>
      <w:pPr>
        <w:spacing w:after="0" w:line="1" w:lineRule="exact"/>
        <w:rPr>
          <w:rFonts w:ascii="Arial" w:cs="Arial" w:eastAsia="Arial" w:hAnsi="Arial"/>
          <w:sz w:val="16"/>
          <w:szCs w:val="16"/>
          <w:color w:val="auto"/>
        </w:rPr>
      </w:pPr>
    </w:p>
    <w:p>
      <w:pPr>
        <w:ind w:left="920" w:right="20" w:firstLine="421"/>
        <w:spacing w:after="0" w:line="288" w:lineRule="auto"/>
        <w:tabs>
          <w:tab w:leader="none" w:pos="1779" w:val="left"/>
        </w:tabs>
        <w:numPr>
          <w:ilvl w:val="2"/>
          <w:numId w:val="37"/>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25" w:lineRule="exact"/>
        <w:rPr>
          <w:rFonts w:ascii="Arial" w:cs="Arial" w:eastAsia="Arial" w:hAnsi="Arial"/>
          <w:sz w:val="16"/>
          <w:szCs w:val="16"/>
          <w:color w:val="auto"/>
        </w:rPr>
      </w:pPr>
    </w:p>
    <w:p>
      <w:pPr>
        <w:ind w:left="1760" w:hanging="419"/>
        <w:spacing w:after="0"/>
        <w:tabs>
          <w:tab w:leader="none" w:pos="17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Any Shares that again become available for delivery pursuant to this Section 4(c) shall be added back as one (1) Share.</w:t>
      </w:r>
    </w:p>
    <w:p>
      <w:pPr>
        <w:spacing w:after="0" w:line="76" w:lineRule="exact"/>
        <w:rPr>
          <w:rFonts w:ascii="Arial" w:cs="Arial" w:eastAsia="Arial" w:hAnsi="Arial"/>
          <w:sz w:val="18"/>
          <w:szCs w:val="18"/>
          <w:color w:val="auto"/>
        </w:rPr>
      </w:pPr>
    </w:p>
    <w:p>
      <w:pPr>
        <w:ind w:left="920" w:right="100" w:firstLine="421"/>
        <w:spacing w:after="0" w:line="298" w:lineRule="auto"/>
        <w:tabs>
          <w:tab w:leader="none" w:pos="1720" w:val="left"/>
        </w:tabs>
        <w:numPr>
          <w:ilvl w:val="2"/>
          <w:numId w:val="37"/>
        </w:numPr>
        <w:rPr>
          <w:rFonts w:ascii="Arial" w:cs="Arial" w:eastAsia="Arial" w:hAnsi="Arial"/>
          <w:sz w:val="16"/>
          <w:szCs w:val="16"/>
          <w:color w:val="auto"/>
        </w:rPr>
      </w:pPr>
      <w:r>
        <w:rPr>
          <w:rFonts w:ascii="Arial" w:cs="Arial" w:eastAsia="Arial" w:hAnsi="Arial"/>
          <w:sz w:val="16"/>
          <w:szCs w:val="16"/>
          <w:color w:val="auto"/>
        </w:rPr>
        <w:t>Notwithstanding anything in this Section 4(c) to the contrary and solely for purposes of determining whether Shares are available for the delivery of Incentive Stock Options, the maximum aggregate number of shares that may be granted under this Plan shall be determined without regard to any Shares restored pursuant to this Section 4(c) that, if taken into account, would cause the Plan to fail the requirement under Code Section 422 that the Plan designate a maximum aggregate number of shares that may be issued.</w:t>
      </w:r>
    </w:p>
    <w:p>
      <w:pPr>
        <w:spacing w:after="0" w:line="18" w:lineRule="exact"/>
        <w:rPr>
          <w:rFonts w:ascii="Arial" w:cs="Arial" w:eastAsia="Arial" w:hAnsi="Arial"/>
          <w:sz w:val="16"/>
          <w:szCs w:val="16"/>
          <w:color w:val="auto"/>
        </w:rPr>
      </w:pPr>
    </w:p>
    <w:p>
      <w:pPr>
        <w:ind w:left="460" w:right="320" w:firstLine="443"/>
        <w:spacing w:after="0" w:line="268" w:lineRule="auto"/>
        <w:tabs>
          <w:tab w:leader="none" w:pos="1278" w:val="left"/>
        </w:tabs>
        <w:numPr>
          <w:ilvl w:val="1"/>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No Further Awards Under Prior Plan</w:t>
      </w:r>
      <w:r>
        <w:rPr>
          <w:rFonts w:ascii="Arial" w:cs="Arial" w:eastAsia="Arial" w:hAnsi="Arial"/>
          <w:sz w:val="18"/>
          <w:szCs w:val="18"/>
          <w:color w:val="auto"/>
        </w:rPr>
        <w:t>. In light of the adoption of this Plan, no further awards shall be made under the Prior Plan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Date.</w:t>
      </w:r>
    </w:p>
    <w:p>
      <w:pPr>
        <w:spacing w:after="0" w:line="118" w:lineRule="exact"/>
        <w:rPr>
          <w:rFonts w:ascii="Arial" w:cs="Arial" w:eastAsia="Arial" w:hAnsi="Arial"/>
          <w:sz w:val="18"/>
          <w:szCs w:val="18"/>
          <w:color w:val="auto"/>
        </w:rPr>
      </w:pPr>
    </w:p>
    <w:p>
      <w:pPr>
        <w:ind w:right="80" w:firstLine="464"/>
        <w:spacing w:after="0" w:line="294" w:lineRule="auto"/>
        <w:tabs>
          <w:tab w:leader="none" w:pos="764"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 Per-Person Award Limitations</w:t>
      </w:r>
      <w:r>
        <w:rPr>
          <w:rFonts w:ascii="Arial" w:cs="Arial" w:eastAsia="Arial" w:hAnsi="Arial"/>
          <w:sz w:val="16"/>
          <w:szCs w:val="16"/>
          <w:color w:val="auto"/>
        </w:rPr>
        <w:t>. Awards may be granted under the Plan only to Eligible Persons. Subject to adjustment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10(c), in any fiscal year of the Company during any part of which the Plan is in effect, no Participant may be granted Awards with respect to more than 500,000 Shares. In addition, the maximum dollar value payable to any one Participant with respect to Performance Units is (x) $1,000,000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$2,000,000.</w:t>
      </w:r>
    </w:p>
    <w:p>
      <w:pPr>
        <w:spacing w:after="0" w:line="102" w:lineRule="exact"/>
        <w:rPr>
          <w:rFonts w:ascii="Arial" w:cs="Arial" w:eastAsia="Arial" w:hAnsi="Arial"/>
          <w:sz w:val="16"/>
          <w:szCs w:val="16"/>
          <w:color w:val="auto"/>
        </w:rPr>
      </w:pPr>
    </w:p>
    <w:p>
      <w:pPr>
        <w:ind w:left="780" w:hanging="31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firstLine="443"/>
        <w:spacing w:after="0" w:line="283" w:lineRule="auto"/>
        <w:tabs>
          <w:tab w:leader="none" w:pos="1268" w:val="left"/>
        </w:tabs>
        <w:numPr>
          <w:ilvl w:val="1"/>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Awards may be granted on the terms and conditions set forth in this Section 6. In addition, the Committee may impose on any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The Committee shall retain full power and discretion to accelerate, waive or modify, at any time, any term or condition of an Award that is not mandatory under the Plan. Except in</w:t>
      </w:r>
    </w:p>
    <w:p>
      <w:pPr>
        <w:spacing w:after="0" w:line="2" w:lineRule="exact"/>
        <w:rPr>
          <w:rFonts w:ascii="Arial" w:cs="Arial" w:eastAsia="Arial" w:hAnsi="Arial"/>
          <w:sz w:val="16"/>
          <w:szCs w:val="16"/>
          <w:color w:val="auto"/>
        </w:rPr>
      </w:pPr>
    </w:p>
    <w:p>
      <w:pPr>
        <w:jc w:val="both"/>
        <w:ind w:left="460" w:right="280"/>
        <w:spacing w:after="0" w:line="361" w:lineRule="auto"/>
        <w:rPr>
          <w:rFonts w:ascii="Arial" w:cs="Arial" w:eastAsia="Arial" w:hAnsi="Arial"/>
          <w:sz w:val="16"/>
          <w:szCs w:val="16"/>
          <w:color w:val="auto"/>
        </w:rPr>
      </w:pPr>
      <w:r>
        <w:rPr>
          <w:rFonts w:ascii="Arial" w:cs="Arial" w:eastAsia="Arial" w:hAnsi="Arial"/>
          <w:sz w:val="15"/>
          <w:szCs w:val="15"/>
          <w:color w:val="auto"/>
        </w:rPr>
        <w:t>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80" w:hanging="377"/>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Committee is authorized to grant Options to any Eligible Person on the following terms and conditions:</w:t>
      </w:r>
    </w:p>
    <w:p>
      <w:pPr>
        <w:spacing w:after="0" w:line="76" w:lineRule="exact"/>
        <w:rPr>
          <w:rFonts w:ascii="Arial" w:cs="Arial" w:eastAsia="Arial" w:hAnsi="Arial"/>
          <w:sz w:val="18"/>
          <w:szCs w:val="18"/>
          <w:color w:val="auto"/>
        </w:rPr>
      </w:pPr>
    </w:p>
    <w:p>
      <w:pPr>
        <w:ind w:left="920" w:firstLine="421"/>
        <w:spacing w:after="0" w:line="286" w:lineRule="auto"/>
        <w:tabs>
          <w:tab w:leader="none" w:pos="1681" w:val="left"/>
        </w:tabs>
        <w:numPr>
          <w:ilvl w:val="1"/>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Other than in connection with Substitute Awards, the exercise price per Share purchasable under an Option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10(c), the Committee shall not be permitted to (A) lower the exercise price per Share of an Option after it is granted, (B) cancel an Option when the exercise price per Share exceeds the Fair Market Value of the underlying Shares in exchange for another Award (other than in connection with Substitute Awards), or (C) take any other action with respect to an Option that may be treated as a repricing, without approval of the Company’s shareholders.</w:t>
      </w:r>
    </w:p>
    <w:p>
      <w:pPr>
        <w:spacing w:after="0" w:line="32" w:lineRule="exact"/>
        <w:rPr>
          <w:rFonts w:ascii="Arial" w:cs="Arial" w:eastAsia="Arial" w:hAnsi="Arial"/>
          <w:sz w:val="16"/>
          <w:szCs w:val="16"/>
          <w:color w:val="auto"/>
        </w:rPr>
      </w:pPr>
    </w:p>
    <w:p>
      <w:pPr>
        <w:ind w:left="920" w:right="20" w:firstLine="421"/>
        <w:spacing w:after="0" w:line="289" w:lineRule="auto"/>
        <w:tabs>
          <w:tab w:leader="none" w:pos="1730" w:val="left"/>
        </w:tabs>
        <w:numPr>
          <w:ilvl w:val="1"/>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Time and Method of Exercise</w:t>
      </w:r>
      <w:r>
        <w:rPr>
          <w:rFonts w:ascii="Arial" w:cs="Arial" w:eastAsia="Arial" w:hAnsi="Arial"/>
          <w:sz w:val="16"/>
          <w:szCs w:val="16"/>
          <w:color w:val="auto"/>
        </w:rPr>
        <w:t>. The Committee shall determine the time or times at which or the circumstances under which an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other Awards or Awards granted under other plans of the Company or a Related Entity, or other property (including notes or other contractual obligations of Participants to make payment on a deferred basis provided that such deferred payments are not in violation of the Sarbanes-Oxley Act of 2002, or any rule or regulation adopted thereunder or any other applicable law), and the methods by or forms in which Shares will be delivered or deemed to be delivered to Participants.</w:t>
      </w:r>
    </w:p>
    <w:p>
      <w:pPr>
        <w:spacing w:after="0" w:line="23" w:lineRule="exact"/>
        <w:rPr>
          <w:rFonts w:ascii="Arial" w:cs="Arial" w:eastAsia="Arial" w:hAnsi="Arial"/>
          <w:sz w:val="16"/>
          <w:szCs w:val="16"/>
          <w:color w:val="auto"/>
        </w:rPr>
      </w:pPr>
    </w:p>
    <w:p>
      <w:pPr>
        <w:ind w:left="920" w:right="120" w:firstLine="421"/>
        <w:spacing w:after="0" w:line="291" w:lineRule="auto"/>
        <w:tabs>
          <w:tab w:leader="none" w:pos="1779" w:val="left"/>
        </w:tabs>
        <w:numPr>
          <w:ilvl w:val="1"/>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 respects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25" w:lineRule="exact"/>
        <w:rPr>
          <w:rFonts w:ascii="Arial" w:cs="Arial" w:eastAsia="Arial" w:hAnsi="Arial"/>
          <w:sz w:val="16"/>
          <w:szCs w:val="16"/>
          <w:color w:val="auto"/>
        </w:rPr>
      </w:pPr>
    </w:p>
    <w:p>
      <w:pPr>
        <w:ind w:left="1500" w:right="40" w:firstLine="389"/>
        <w:spacing w:after="0" w:line="254" w:lineRule="auto"/>
        <w:tabs>
          <w:tab w:leader="none" w:pos="2316"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Option shall not be exercisable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49" w:lineRule="exact"/>
        <w:rPr>
          <w:rFonts w:ascii="Arial" w:cs="Arial" w:eastAsia="Arial" w:hAnsi="Arial"/>
          <w:sz w:val="18"/>
          <w:szCs w:val="18"/>
          <w:color w:val="auto"/>
        </w:rPr>
      </w:pPr>
    </w:p>
    <w:p>
      <w:pPr>
        <w:ind w:left="1500" w:right="180" w:firstLine="389"/>
        <w:spacing w:after="0" w:line="254" w:lineRule="auto"/>
        <w:tabs>
          <w:tab w:leader="none" w:pos="2303"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the Incentive Stock Option is granted) of the Shares with respect to which Incentive Stock Options granted under the Plan and</w:t>
      </w:r>
    </w:p>
    <w:p>
      <w:pPr>
        <w:ind w:left="1500"/>
        <w:spacing w:after="0"/>
        <w:rPr>
          <w:rFonts w:ascii="Arial" w:cs="Arial" w:eastAsia="Arial" w:hAnsi="Arial"/>
          <w:sz w:val="18"/>
          <w:szCs w:val="18"/>
          <w:color w:val="auto"/>
        </w:rPr>
      </w:pPr>
      <w:r>
        <w:rPr>
          <w:rFonts w:ascii="Arial" w:cs="Arial" w:eastAsia="Arial" w:hAnsi="Arial"/>
          <w:sz w:val="18"/>
          <w:szCs w:val="18"/>
          <w:color w:val="auto"/>
        </w:rPr>
        <w:t>all other option plans of the Company (and any parent corporation or subsidiary corporation of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right="160"/>
        <w:spacing w:after="0" w:line="347" w:lineRule="auto"/>
        <w:rPr>
          <w:sz w:val="20"/>
          <w:szCs w:val="20"/>
          <w:color w:val="auto"/>
        </w:rPr>
      </w:pPr>
      <w:r>
        <w:rPr>
          <w:rFonts w:ascii="Arial" w:cs="Arial" w:eastAsia="Arial" w:hAnsi="Arial"/>
          <w:sz w:val="15"/>
          <w:szCs w:val="15"/>
          <w:color w:val="auto"/>
        </w:rPr>
        <w:t>Company, as those terms are defined in Sections 424(e) and (f) of the Code, respectively) during any calendar year exercisable for the first time by the Participant during any calendar year shall not (to the extent required by the Code at the time of the grant) exceed $100,000.</w:t>
      </w:r>
    </w:p>
    <w:p>
      <w:pPr>
        <w:spacing w:after="0" w:line="1" w:lineRule="exact"/>
        <w:rPr>
          <w:sz w:val="20"/>
          <w:szCs w:val="20"/>
          <w:color w:val="auto"/>
        </w:rPr>
      </w:pPr>
    </w:p>
    <w:p>
      <w:pPr>
        <w:ind w:left="460" w:firstLine="443"/>
        <w:spacing w:after="0" w:line="256" w:lineRule="auto"/>
        <w:tabs>
          <w:tab w:leader="none" w:pos="1268"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in conjunction with all or part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48" w:lineRule="exact"/>
        <w:rPr>
          <w:rFonts w:ascii="Arial" w:cs="Arial" w:eastAsia="Arial" w:hAnsi="Arial"/>
          <w:sz w:val="18"/>
          <w:szCs w:val="18"/>
          <w:color w:val="auto"/>
        </w:rPr>
      </w:pPr>
    </w:p>
    <w:p>
      <w:pPr>
        <w:ind w:left="920" w:right="220" w:firstLine="421"/>
        <w:spacing w:after="0" w:line="289" w:lineRule="auto"/>
        <w:tabs>
          <w:tab w:leader="none" w:pos="1681"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Right to Payment</w:t>
      </w:r>
      <w:r>
        <w:rPr>
          <w:rFonts w:ascii="Arial" w:cs="Arial" w:eastAsia="Arial" w:hAnsi="Arial"/>
          <w:sz w:val="16"/>
          <w:szCs w:val="16"/>
          <w:color w:val="auto"/>
        </w:rPr>
        <w:t>. A Stock Appreciation Right shall confer on the Participant to whom it is granted a right to receive, upon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thereof, the excess of (A) the Fair Market Value of one Share on the date of exercise over (B) the grant price of the Stock Appreciation Right as determined by the Committee. The grant price of a Stock Appreciation Right shall not be less than the Fair Market Value of a Share on the date of grant, in the case of a Freestanding Stock Appreciation Right, or less than the associated Option exercise price, in the case of a Tandem Stock Appreciation Right. Other than pursuant to Section 10(c), the Committee shall not be permitted to (A) lower the grant price per Share of a Stock Appreciation Right after it is granted, (B) cancel a Stock Appreciation Right when the grant price per Share exceeds the Fair Market Value of the underlying Shares in exchange for another Award (other than in connection with Substitute Awards), or (C) take any other action with respect to a Stock Appreciation Right that may be treated as a repricing, without shareholder approval.</w:t>
      </w:r>
    </w:p>
    <w:p>
      <w:pPr>
        <w:spacing w:after="0" w:line="23" w:lineRule="exact"/>
        <w:rPr>
          <w:rFonts w:ascii="Arial" w:cs="Arial" w:eastAsia="Arial" w:hAnsi="Arial"/>
          <w:sz w:val="16"/>
          <w:szCs w:val="16"/>
          <w:color w:val="auto"/>
        </w:rPr>
      </w:pPr>
    </w:p>
    <w:p>
      <w:pPr>
        <w:ind w:left="920" w:right="80" w:firstLine="421"/>
        <w:spacing w:after="0" w:line="291" w:lineRule="auto"/>
        <w:tabs>
          <w:tab w:leader="none" w:pos="1730"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Other Terms</w:t>
      </w:r>
      <w:r>
        <w:rPr>
          <w:rFonts w:ascii="Arial" w:cs="Arial" w:eastAsia="Arial" w:hAnsi="Arial"/>
          <w:sz w:val="16"/>
          <w:szCs w:val="16"/>
          <w:color w:val="auto"/>
        </w:rPr>
        <w:t>. The Committee shall determine at the date of grant or thereafter, the time or times at which and the circumstances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25" w:lineRule="exact"/>
        <w:rPr>
          <w:rFonts w:ascii="Arial" w:cs="Arial" w:eastAsia="Arial" w:hAnsi="Arial"/>
          <w:sz w:val="16"/>
          <w:szCs w:val="16"/>
          <w:color w:val="auto"/>
        </w:rPr>
      </w:pPr>
    </w:p>
    <w:p>
      <w:pPr>
        <w:ind w:left="920" w:right="40" w:firstLine="421"/>
        <w:spacing w:after="0" w:line="288" w:lineRule="auto"/>
        <w:tabs>
          <w:tab w:leader="none" w:pos="1779"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Tandem Stock Appreciation Rights</w:t>
      </w:r>
      <w:r>
        <w:rPr>
          <w:rFonts w:ascii="Arial" w:cs="Arial" w:eastAsia="Arial" w:hAnsi="Arial"/>
          <w:sz w:val="16"/>
          <w:szCs w:val="16"/>
          <w:color w:val="auto"/>
        </w:rPr>
        <w:t>. Any Tandem Stock Appreciation Right may be granted at the same time as the related Option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25" w:lineRule="exact"/>
        <w:rPr>
          <w:rFonts w:ascii="Arial" w:cs="Arial" w:eastAsia="Arial" w:hAnsi="Arial"/>
          <w:sz w:val="16"/>
          <w:szCs w:val="16"/>
          <w:color w:val="auto"/>
        </w:rPr>
      </w:pPr>
    </w:p>
    <w:p>
      <w:pPr>
        <w:ind w:left="1280" w:hanging="377"/>
        <w:spacing w:after="0"/>
        <w:tabs>
          <w:tab w:leader="none" w:pos="12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Committee is authorized to grant Restricted Stock Awards to any Eligible Person on the following terms and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70" w:lineRule="exact"/>
        <w:rPr>
          <w:rFonts w:ascii="Arial" w:cs="Arial" w:eastAsia="Arial" w:hAnsi="Arial"/>
          <w:sz w:val="16"/>
          <w:szCs w:val="16"/>
          <w:color w:val="auto"/>
        </w:rPr>
      </w:pPr>
    </w:p>
    <w:p>
      <w:pPr>
        <w:ind w:left="920" w:right="180" w:firstLine="421"/>
        <w:spacing w:after="0" w:line="306" w:lineRule="auto"/>
        <w:tabs>
          <w:tab w:leader="none" w:pos="1681"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Grant and Restrictions</w:t>
      </w:r>
      <w:r>
        <w:rPr>
          <w:rFonts w:ascii="Arial" w:cs="Arial" w:eastAsia="Arial" w:hAnsi="Arial"/>
          <w:sz w:val="16"/>
          <w:szCs w:val="16"/>
          <w:color w:val="auto"/>
        </w:rPr>
        <w:t>. Restricted Stock Awards shall be subject to such restrictions on transferability, risk of forfeiture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if any, as the Committee may impose, or as otherwise provided in this Plan, covering a period of time specified by the Committee (the “Restriction Period”). The terms of any Restricted Stock Award granted under the Plan shall be set forth in a written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80"/>
        <w:spacing w:after="0" w:line="290" w:lineRule="auto"/>
        <w:rPr>
          <w:sz w:val="20"/>
          <w:szCs w:val="20"/>
          <w:color w:val="auto"/>
        </w:rPr>
      </w:pPr>
      <w:r>
        <w:rPr>
          <w:rFonts w:ascii="Arial" w:cs="Arial" w:eastAsia="Arial" w:hAnsi="Arial"/>
          <w:sz w:val="16"/>
          <w:szCs w:val="16"/>
          <w:color w:val="auto"/>
        </w:rPr>
        <w:t>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Restriction Period, subject to Section 10(b) below, the Restricted Stock may not be sold, transferred, pledged, hypothecated, margined or otherwise encumbered by the Participant.</w:t>
      </w:r>
    </w:p>
    <w:p>
      <w:pPr>
        <w:spacing w:after="0" w:line="24" w:lineRule="exact"/>
        <w:rPr>
          <w:sz w:val="20"/>
          <w:szCs w:val="20"/>
          <w:color w:val="auto"/>
        </w:rPr>
      </w:pPr>
    </w:p>
    <w:p>
      <w:pPr>
        <w:ind w:left="920" w:right="40" w:firstLine="421"/>
        <w:spacing w:after="0" w:line="255" w:lineRule="auto"/>
        <w:tabs>
          <w:tab w:leader="none" w:pos="1730" w:val="left"/>
        </w:tabs>
        <w:numPr>
          <w:ilvl w:val="1"/>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the Committee may provide, by rule or regulation or in any Award Agreement, or may determine in any individual case, that forfeiture conditions relating to Restricted Stock Awards shall be waived in whole or in part in the event of terminations resulting from specified causes.</w:t>
      </w:r>
    </w:p>
    <w:p>
      <w:pPr>
        <w:spacing w:after="0" w:line="48" w:lineRule="exact"/>
        <w:rPr>
          <w:rFonts w:ascii="Arial" w:cs="Arial" w:eastAsia="Arial" w:hAnsi="Arial"/>
          <w:sz w:val="18"/>
          <w:szCs w:val="18"/>
          <w:color w:val="auto"/>
        </w:rPr>
      </w:pPr>
    </w:p>
    <w:p>
      <w:pPr>
        <w:ind w:left="920" w:firstLine="421"/>
        <w:spacing w:after="0" w:line="298" w:lineRule="auto"/>
        <w:tabs>
          <w:tab w:leader="none" w:pos="1779" w:val="left"/>
        </w:tabs>
        <w:numPr>
          <w:ilvl w:val="1"/>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 Committee shall determine.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8" w:lineRule="exact"/>
        <w:rPr>
          <w:rFonts w:ascii="Arial" w:cs="Arial" w:eastAsia="Arial" w:hAnsi="Arial"/>
          <w:sz w:val="16"/>
          <w:szCs w:val="16"/>
          <w:color w:val="auto"/>
        </w:rPr>
      </w:pPr>
    </w:p>
    <w:p>
      <w:pPr>
        <w:ind w:left="920" w:right="40" w:firstLine="421"/>
        <w:spacing w:after="0" w:line="294" w:lineRule="auto"/>
        <w:tabs>
          <w:tab w:leader="none" w:pos="1769" w:val="left"/>
        </w:tabs>
        <w:numPr>
          <w:ilvl w:val="1"/>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Dividends and Splits</w:t>
      </w:r>
      <w:r>
        <w:rPr>
          <w:rFonts w:ascii="Arial" w:cs="Arial" w:eastAsia="Arial" w:hAnsi="Arial"/>
          <w:sz w:val="16"/>
          <w:szCs w:val="16"/>
          <w:color w:val="auto"/>
        </w:rPr>
        <w:t>. As a condition to the grant of a Restricted Stock Award, the Committee may require or permit a Participant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 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21" w:lineRule="exact"/>
        <w:rPr>
          <w:rFonts w:ascii="Arial" w:cs="Arial" w:eastAsia="Arial" w:hAnsi="Arial"/>
          <w:sz w:val="16"/>
          <w:szCs w:val="16"/>
          <w:color w:val="auto"/>
        </w:rPr>
      </w:pPr>
    </w:p>
    <w:p>
      <w:pPr>
        <w:ind w:left="1280" w:hanging="377"/>
        <w:spacing w:after="0"/>
        <w:tabs>
          <w:tab w:leader="none" w:pos="12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Deferred Stock Award</w:t>
      </w:r>
      <w:r>
        <w:rPr>
          <w:rFonts w:ascii="Arial" w:cs="Arial" w:eastAsia="Arial" w:hAnsi="Arial"/>
          <w:sz w:val="16"/>
          <w:szCs w:val="16"/>
          <w:color w:val="auto"/>
        </w:rPr>
        <w:t>.  The Committee is authorized to grant Deferred Stock Awards to any Eligible Person on the following terms and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70" w:lineRule="exact"/>
        <w:rPr>
          <w:rFonts w:ascii="Arial" w:cs="Arial" w:eastAsia="Arial" w:hAnsi="Arial"/>
          <w:sz w:val="16"/>
          <w:szCs w:val="16"/>
          <w:color w:val="auto"/>
        </w:rPr>
      </w:pPr>
    </w:p>
    <w:p>
      <w:pPr>
        <w:ind w:left="920" w:right="40" w:firstLine="421"/>
        <w:spacing w:after="0" w:line="289" w:lineRule="auto"/>
        <w:tabs>
          <w:tab w:leader="none" w:pos="1681" w:val="left"/>
        </w:tabs>
        <w:numPr>
          <w:ilvl w:val="1"/>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Award and Restrictions</w:t>
      </w:r>
      <w:r>
        <w:rPr>
          <w:rFonts w:ascii="Arial" w:cs="Arial" w:eastAsia="Arial" w:hAnsi="Arial"/>
          <w:sz w:val="16"/>
          <w:szCs w:val="16"/>
          <w:color w:val="auto"/>
        </w:rPr>
        <w:t>. Satisfaction of a Deferred Stock Award shall occur upon expiration of the deferral period specified for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 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23" w:lineRule="exact"/>
        <w:rPr>
          <w:rFonts w:ascii="Arial" w:cs="Arial" w:eastAsia="Arial" w:hAnsi="Arial"/>
          <w:sz w:val="16"/>
          <w:szCs w:val="16"/>
          <w:color w:val="auto"/>
        </w:rPr>
      </w:pPr>
    </w:p>
    <w:p>
      <w:pPr>
        <w:ind w:left="920" w:right="80" w:firstLine="421"/>
        <w:spacing w:after="0" w:line="255" w:lineRule="auto"/>
        <w:tabs>
          <w:tab w:leader="none" w:pos="1730" w:val="left"/>
        </w:tabs>
        <w:numPr>
          <w:ilvl w:val="1"/>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deferral period or portion thereof to which forfeiture conditions apply (as provided in the Award Agreement evidencing the Deferred Stock Award), the Participant’s Deferred Stock Award that is at that time subject to a risk of forfeiture that has not lapsed or otherwise been satisfied shall be forfeited; provided that the Committee may provide, by rule or regulation or in any Award Agreement, or may determine in any individual case, that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80"/>
        <w:spacing w:after="0" w:line="325" w:lineRule="auto"/>
        <w:rPr>
          <w:sz w:val="20"/>
          <w:szCs w:val="20"/>
          <w:color w:val="auto"/>
        </w:rPr>
      </w:pPr>
      <w:r>
        <w:rPr>
          <w:rFonts w:ascii="Arial" w:cs="Arial" w:eastAsia="Arial" w:hAnsi="Arial"/>
          <w:sz w:val="16"/>
          <w:szCs w:val="16"/>
          <w:color w:val="auto"/>
        </w:rPr>
        <w:t>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1" w:lineRule="exact"/>
        <w:rPr>
          <w:sz w:val="20"/>
          <w:szCs w:val="20"/>
          <w:color w:val="auto"/>
        </w:rPr>
      </w:pPr>
    </w:p>
    <w:p>
      <w:pPr>
        <w:ind w:left="920" w:right="20" w:firstLine="421"/>
        <w:spacing w:after="0" w:line="294" w:lineRule="auto"/>
        <w:tabs>
          <w:tab w:leader="none" w:pos="1779" w:val="left"/>
        </w:tabs>
        <w:numPr>
          <w:ilvl w:val="1"/>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Unless otherwise determined by the Committee at date of grant, any Dividend Equivalents that are granted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w:t>
      </w:r>
    </w:p>
    <w:p>
      <w:pPr>
        <w:spacing w:after="0" w:line="102" w:lineRule="exact"/>
        <w:rPr>
          <w:rFonts w:ascii="Arial" w:cs="Arial" w:eastAsia="Arial" w:hAnsi="Arial"/>
          <w:sz w:val="16"/>
          <w:szCs w:val="16"/>
          <w:color w:val="auto"/>
        </w:rPr>
      </w:pPr>
    </w:p>
    <w:p>
      <w:pPr>
        <w:ind w:left="460" w:right="40" w:firstLine="443"/>
        <w:spacing w:after="0" w:line="294" w:lineRule="auto"/>
        <w:tabs>
          <w:tab w:leader="none" w:pos="1249"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 a bonus, or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21" w:lineRule="exact"/>
        <w:rPr>
          <w:rFonts w:ascii="Arial" w:cs="Arial" w:eastAsia="Arial" w:hAnsi="Arial"/>
          <w:sz w:val="16"/>
          <w:szCs w:val="16"/>
          <w:color w:val="auto"/>
        </w:rPr>
      </w:pPr>
    </w:p>
    <w:p>
      <w:pPr>
        <w:ind w:left="460" w:firstLine="443"/>
        <w:spacing w:after="0" w:line="294" w:lineRule="auto"/>
        <w:tabs>
          <w:tab w:leader="none" w:pos="1278"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The Committee is authorized to grant Dividend Equivalents to any Eligible Person entitling the Eligible Person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cash, Shares, other Awards, or other property equal in value to the dividends paid with respect to a specified number of Shares, or other periodic payments. Dividend 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w:t>
      </w:r>
    </w:p>
    <w:p>
      <w:pPr>
        <w:spacing w:after="0" w:line="21" w:lineRule="exact"/>
        <w:rPr>
          <w:rFonts w:ascii="Arial" w:cs="Arial" w:eastAsia="Arial" w:hAnsi="Arial"/>
          <w:sz w:val="16"/>
          <w:szCs w:val="16"/>
          <w:color w:val="auto"/>
        </w:rPr>
      </w:pPr>
    </w:p>
    <w:p>
      <w:pPr>
        <w:ind w:left="460" w:right="80" w:firstLine="443"/>
        <w:spacing w:after="0" w:line="287" w:lineRule="auto"/>
        <w:tabs>
          <w:tab w:leader="none" w:pos="1278"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 The Committee is authorized to grant Performance Awards to any Eligible Person payable in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9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28" w:lineRule="exact"/>
        <w:rPr>
          <w:rFonts w:ascii="Arial" w:cs="Arial" w:eastAsia="Arial" w:hAnsi="Arial"/>
          <w:sz w:val="16"/>
          <w:szCs w:val="16"/>
          <w:color w:val="auto"/>
        </w:rPr>
      </w:pPr>
    </w:p>
    <w:p>
      <w:pPr>
        <w:ind w:left="460" w:right="40" w:firstLine="443"/>
        <w:spacing w:after="0" w:line="251" w:lineRule="auto"/>
        <w:tabs>
          <w:tab w:leader="none" w:pos="1239"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The Committee is authorized, subject to limitations under applicable law, to grant to any Eligible Person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w:t>
      </w:r>
    </w:p>
    <w:p>
      <w:pPr>
        <w:spacing w:after="0" w:line="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loans are not in violation of the Sarbanes Oxley Act of 2002, or any rule or regulation adopted thereunder 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any other applicable law) paid for at such times, by such methods, and in such forms, including, without limitation, cash, Shares, other Awards or other property, as the Committee shall determine.</w:t>
      </w:r>
    </w:p>
    <w:p>
      <w:pPr>
        <w:spacing w:after="0" w:line="118" w:lineRule="exact"/>
        <w:rPr>
          <w:sz w:val="20"/>
          <w:szCs w:val="20"/>
          <w:color w:val="auto"/>
        </w:rPr>
      </w:pPr>
    </w:p>
    <w:p>
      <w:pPr>
        <w:ind w:left="820" w:hanging="35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p>
    <w:p>
      <w:pPr>
        <w:spacing w:after="0" w:line="76" w:lineRule="exact"/>
        <w:rPr>
          <w:rFonts w:ascii="Arial" w:cs="Arial" w:eastAsia="Arial" w:hAnsi="Arial"/>
          <w:sz w:val="18"/>
          <w:szCs w:val="18"/>
          <w:color w:val="auto"/>
        </w:rPr>
      </w:pPr>
    </w:p>
    <w:p>
      <w:pPr>
        <w:ind w:left="460" w:firstLine="443"/>
        <w:spacing w:after="0" w:line="287" w:lineRule="auto"/>
        <w:tabs>
          <w:tab w:leader="none" w:pos="1268" w:val="left"/>
        </w:tabs>
        <w:numPr>
          <w:ilvl w:val="1"/>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Stand-Alone, Additional, Tandem, and Substitute Awards. </w:t>
      </w:r>
      <w:r>
        <w:rPr>
          <w:rFonts w:ascii="Arial" w:cs="Arial" w:eastAsia="Arial" w:hAnsi="Arial"/>
          <w:sz w:val="16"/>
          <w:szCs w:val="16"/>
          <w:color w:val="auto"/>
        </w:rPr>
        <w:t>Awards granted under the Plan may, in the discretion of the Committee, be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Stock minus the value of the cash compensation surrendered (for example, Options or Stock Appreciation Right granted with an exercise price or grant price “discounted” by the amount of the cash compensation surrendered).</w:t>
      </w:r>
    </w:p>
    <w:p>
      <w:pPr>
        <w:spacing w:after="0" w:line="28" w:lineRule="exact"/>
        <w:rPr>
          <w:rFonts w:ascii="Arial" w:cs="Arial" w:eastAsia="Arial" w:hAnsi="Arial"/>
          <w:sz w:val="16"/>
          <w:szCs w:val="16"/>
          <w:color w:val="auto"/>
        </w:rPr>
      </w:pPr>
    </w:p>
    <w:p>
      <w:pPr>
        <w:ind w:left="460" w:right="20" w:firstLine="443"/>
        <w:spacing w:after="0" w:line="259" w:lineRule="auto"/>
        <w:tabs>
          <w:tab w:leader="none" w:pos="1278" w:val="left"/>
        </w:tabs>
        <w:numPr>
          <w:ilvl w:val="1"/>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 in no event shall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any Option or Stock Appreciation Right exceed a period of ten years (or in the case of an Incentive Stock Option such shorter term as may be required under Section 422 of the Code).</w:t>
      </w:r>
    </w:p>
    <w:p>
      <w:pPr>
        <w:spacing w:after="0" w:line="45" w:lineRule="exact"/>
        <w:rPr>
          <w:rFonts w:ascii="Arial" w:cs="Arial" w:eastAsia="Arial" w:hAnsi="Arial"/>
          <w:sz w:val="18"/>
          <w:szCs w:val="18"/>
          <w:color w:val="auto"/>
        </w:rPr>
      </w:pPr>
    </w:p>
    <w:p>
      <w:pPr>
        <w:ind w:left="460" w:firstLine="443"/>
        <w:spacing w:after="0" w:line="286" w:lineRule="auto"/>
        <w:tabs>
          <w:tab w:leader="none" w:pos="1268" w:val="left"/>
        </w:tabs>
        <w:numPr>
          <w:ilvl w:val="1"/>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Form and Timing of Payment Under Awards; Deferrals</w:t>
      </w:r>
      <w:r>
        <w:rPr>
          <w:rFonts w:ascii="Arial" w:cs="Arial" w:eastAsia="Arial" w:hAnsi="Arial"/>
          <w:sz w:val="16"/>
          <w:szCs w:val="16"/>
          <w:color w:val="auto"/>
        </w:rPr>
        <w:t>. Subject to the terms of the Plan and any applicable Award Agreement, payments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Any installment or deferral provided for in the preceding sentence shall, however, be subject to the Company’s compliance with the provisions of the Sarbanes-Oxley Act of 2002, the rules and regulations adopted by the Securities and Exchange Commission thereunder, and all applicable rules of the Nasdaq Stock Market or any national securities exchange on which the Company’s securities are listed for trading and, if not listed for trading on either the Nasdaq Stock Market or a national securities exchange, then the rules of the Nasdaq Stock Market. The settlement of any Award may be accelerated, and cash paid in lieu of Shares in connection with such settlement, in the discretion of the Committee or upon occurrence of one or more specified events (in addition to a Change in Control). Installment or deferred payments may be required by the Committee (subject to Section 10(e) of the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26" w:lineRule="exact"/>
        <w:rPr>
          <w:rFonts w:ascii="Arial" w:cs="Arial" w:eastAsia="Arial" w:hAnsi="Arial"/>
          <w:sz w:val="16"/>
          <w:szCs w:val="16"/>
          <w:color w:val="auto"/>
        </w:rPr>
      </w:pPr>
    </w:p>
    <w:p>
      <w:pPr>
        <w:ind w:left="460" w:right="60" w:firstLine="443"/>
        <w:spacing w:after="0" w:line="294" w:lineRule="auto"/>
        <w:tabs>
          <w:tab w:leader="none" w:pos="1278" w:val="left"/>
        </w:tabs>
        <w:numPr>
          <w:ilvl w:val="1"/>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It is the intent of the Company that the grant of any Awards to or other transaction by a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firstLine="443"/>
        <w:spacing w:after="0" w:line="256" w:lineRule="auto"/>
        <w:tabs>
          <w:tab w:leader="none" w:pos="1268" w:val="left"/>
        </w:tabs>
        <w:numPr>
          <w:ilvl w:val="1"/>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 If and to the extent that the Committee believes that any Awards may constitute a “nonqualified deferred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under Section 409A of the Code, the terms and conditions set forth in the Award Agreement for that Award shall be drafted in a manner that is intended to comply with, and those provisions (and the provisions of the Plan applicable thereto) shall be interpreted in a manner consistent with, the applicable requirements of Section 409A of the Code.</w:t>
      </w:r>
    </w:p>
    <w:p>
      <w:pPr>
        <w:spacing w:after="0" w:line="129" w:lineRule="exact"/>
        <w:rPr>
          <w:rFonts w:ascii="Arial" w:cs="Arial" w:eastAsia="Arial" w:hAnsi="Arial"/>
          <w:sz w:val="18"/>
          <w:szCs w:val="18"/>
          <w:color w:val="auto"/>
        </w:rPr>
      </w:pPr>
    </w:p>
    <w:p>
      <w:pPr>
        <w:ind w:left="820" w:hanging="356"/>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p>
    <w:p>
      <w:pPr>
        <w:spacing w:after="0" w:line="76" w:lineRule="exact"/>
        <w:rPr>
          <w:rFonts w:ascii="Arial" w:cs="Arial" w:eastAsia="Arial" w:hAnsi="Arial"/>
          <w:sz w:val="18"/>
          <w:szCs w:val="18"/>
          <w:color w:val="auto"/>
        </w:rPr>
      </w:pPr>
    </w:p>
    <w:p>
      <w:pPr>
        <w:ind w:left="460" w:right="20" w:firstLine="443"/>
        <w:spacing w:after="0" w:line="259" w:lineRule="auto"/>
        <w:tabs>
          <w:tab w:leader="none" w:pos="1268" w:val="left"/>
        </w:tabs>
        <w:numPr>
          <w:ilvl w:val="1"/>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The Committee, in its discretion, may determine at the time an Award is granted to an Eligible Person who is, or is likely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as of the end of the tax year in which the Company would claim a tax deduction in connection with such Award, a Covered Employee, that the provisions of this Section 8 shall be applicable to such Award.</w:t>
      </w:r>
    </w:p>
    <w:p>
      <w:pPr>
        <w:spacing w:after="0" w:line="45" w:lineRule="exact"/>
        <w:rPr>
          <w:rFonts w:ascii="Arial" w:cs="Arial" w:eastAsia="Arial" w:hAnsi="Arial"/>
          <w:sz w:val="18"/>
          <w:szCs w:val="18"/>
          <w:color w:val="auto"/>
        </w:rPr>
      </w:pPr>
    </w:p>
    <w:p>
      <w:pPr>
        <w:ind w:left="460" w:firstLine="443"/>
        <w:spacing w:after="0" w:line="284" w:lineRule="auto"/>
        <w:tabs>
          <w:tab w:leader="none" w:pos="1278" w:val="left"/>
        </w:tabs>
        <w:numPr>
          <w:ilvl w:val="1"/>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an Award is subject to this Section 8, then the lapsing of restrictions thereon and the distribution of cash, Shares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and (13) debt reduction.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The Committee shall exclude the impact of an event or occurrence which the Committee determines should appropriately be excluded, including without limitation (i) restructurings, discontinued operations, extraordinary items, and other unusual or non-recurring charges, (ii) an event either not directly related to the operations of the Company or not within the reasonable control of the Company’s management, or (iii) a change in accounting standards required by generally accepted accounting principles.</w:t>
      </w:r>
    </w:p>
    <w:p>
      <w:pPr>
        <w:spacing w:after="0" w:line="38" w:lineRule="exact"/>
        <w:rPr>
          <w:rFonts w:ascii="Arial" w:cs="Arial" w:eastAsia="Arial" w:hAnsi="Arial"/>
          <w:sz w:val="16"/>
          <w:szCs w:val="16"/>
          <w:color w:val="auto"/>
        </w:rPr>
      </w:pPr>
    </w:p>
    <w:p>
      <w:pPr>
        <w:ind w:left="460" w:right="220" w:firstLine="443"/>
        <w:spacing w:after="0" w:line="298" w:lineRule="auto"/>
        <w:tabs>
          <w:tab w:leader="none" w:pos="1268" w:val="left"/>
        </w:tabs>
        <w:numPr>
          <w:ilvl w:val="1"/>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Period; Timing For Establishing Performance Goals</w:t>
      </w:r>
      <w:r>
        <w:rPr>
          <w:rFonts w:ascii="Arial" w:cs="Arial" w:eastAsia="Arial" w:hAnsi="Arial"/>
          <w:sz w:val="16"/>
          <w:szCs w:val="16"/>
          <w:color w:val="auto"/>
        </w:rPr>
        <w:t>. Achievement of performance goals in respect of such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Code Section 162(m).</w:t>
      </w:r>
    </w:p>
    <w:p>
      <w:pPr>
        <w:spacing w:after="0" w:line="18" w:lineRule="exact"/>
        <w:rPr>
          <w:rFonts w:ascii="Arial" w:cs="Arial" w:eastAsia="Arial" w:hAnsi="Arial"/>
          <w:sz w:val="16"/>
          <w:szCs w:val="16"/>
          <w:color w:val="auto"/>
        </w:rPr>
      </w:pPr>
    </w:p>
    <w:p>
      <w:pPr>
        <w:ind w:left="460" w:right="40" w:firstLine="443"/>
        <w:spacing w:after="0" w:line="253" w:lineRule="auto"/>
        <w:tabs>
          <w:tab w:leader="none" w:pos="1278" w:val="left"/>
        </w:tabs>
        <w:numPr>
          <w:ilvl w:val="1"/>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Committee may, in its discretion, reduce the amount of a settlement otherwise to be made in connection with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this Section 8, but may not exercise discretion to increase any such amount payable to a Covered Employee in respect of an Award subject to this Section 8.</w:t>
      </w:r>
    </w:p>
    <w:p>
      <w:pPr>
        <w:ind w:left="460" w:right="280"/>
        <w:spacing w:after="0" w:line="261" w:lineRule="auto"/>
        <w:rPr>
          <w:rFonts w:ascii="Arial" w:cs="Arial" w:eastAsia="Arial" w:hAnsi="Arial"/>
          <w:sz w:val="18"/>
          <w:szCs w:val="18"/>
          <w:color w:val="auto"/>
        </w:rPr>
      </w:pPr>
      <w:r>
        <w:rPr>
          <w:rFonts w:ascii="Arial" w:cs="Arial" w:eastAsia="Arial" w:hAnsi="Arial"/>
          <w:sz w:val="18"/>
          <w:szCs w:val="18"/>
          <w:color w:val="auto"/>
        </w:rPr>
        <w:t>The Committee shall specify the circumstances in which such Awards shall be paid or forfeited in the event of termination of Continuous Service by the Participant prior to the end of a Performance Period or settlement of Awards.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35" w:lineRule="auto"/>
        <w:tabs>
          <w:tab w:leader="none" w:pos="1268" w:val="left"/>
        </w:tabs>
        <w:numPr>
          <w:ilvl w:val="2"/>
          <w:numId w:val="49"/>
        </w:numPr>
        <w:rPr>
          <w:rFonts w:ascii="Arial" w:cs="Arial" w:eastAsia="Arial" w:hAnsi="Arial"/>
          <w:sz w:val="15"/>
          <w:szCs w:val="15"/>
          <w:color w:val="auto"/>
        </w:rPr>
      </w:pPr>
      <w:r>
        <w:rPr>
          <w:rFonts w:ascii="Arial" w:cs="Arial" w:eastAsia="Arial" w:hAnsi="Arial"/>
          <w:sz w:val="15"/>
          <w:szCs w:val="15"/>
          <w:b w:val="1"/>
          <w:bCs w:val="1"/>
          <w:i w:val="1"/>
          <w:iCs w:val="1"/>
          <w:color w:val="auto"/>
        </w:rPr>
        <w:t>Committee Certification</w:t>
      </w:r>
      <w:r>
        <w:rPr>
          <w:rFonts w:ascii="Arial" w:cs="Arial" w:eastAsia="Arial" w:hAnsi="Arial"/>
          <w:sz w:val="15"/>
          <w:szCs w:val="15"/>
          <w:color w:val="auto"/>
        </w:rPr>
        <w:t>. No Participant shall receive any payment under the Plan that is subject to this Section 8 unless the Committee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Code Section 162(m).</w:t>
      </w:r>
    </w:p>
    <w:p>
      <w:pPr>
        <w:spacing w:after="0" w:line="68" w:lineRule="exact"/>
        <w:rPr>
          <w:rFonts w:ascii="Arial" w:cs="Arial" w:eastAsia="Arial" w:hAnsi="Arial"/>
          <w:sz w:val="15"/>
          <w:szCs w:val="15"/>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Change in Control.</w:t>
      </w:r>
    </w:p>
    <w:p>
      <w:pPr>
        <w:spacing w:after="0" w:line="82" w:lineRule="exact"/>
        <w:rPr>
          <w:rFonts w:ascii="Arial" w:cs="Arial" w:eastAsia="Arial" w:hAnsi="Arial"/>
          <w:sz w:val="18"/>
          <w:szCs w:val="18"/>
          <w:color w:val="auto"/>
        </w:rPr>
      </w:pPr>
    </w:p>
    <w:p>
      <w:pPr>
        <w:ind w:left="240" w:right="240" w:hanging="4"/>
        <w:spacing w:after="0" w:line="268" w:lineRule="auto"/>
        <w:tabs>
          <w:tab w:leader="none" w:pos="610" w:val="left"/>
        </w:tabs>
        <w:numPr>
          <w:ilvl w:val="1"/>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Effect of “Change in Control”</w:t>
      </w:r>
      <w:r>
        <w:rPr>
          <w:rFonts w:ascii="Arial" w:cs="Arial" w:eastAsia="Arial" w:hAnsi="Arial"/>
          <w:sz w:val="18"/>
          <w:szCs w:val="18"/>
          <w:color w:val="auto"/>
        </w:rPr>
        <w:t>. If and only to the extent provided in the Award Agreement, or to the extent otherwise determined by the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the occurrence of a “Change in Control,” as defined in Section 9(b):</w:t>
      </w:r>
    </w:p>
    <w:p>
      <w:pPr>
        <w:spacing w:after="0" w:line="37" w:lineRule="exact"/>
        <w:rPr>
          <w:rFonts w:ascii="Arial" w:cs="Arial" w:eastAsia="Arial" w:hAnsi="Arial"/>
          <w:sz w:val="18"/>
          <w:szCs w:val="18"/>
          <w:color w:val="auto"/>
        </w:rPr>
      </w:pPr>
    </w:p>
    <w:p>
      <w:pPr>
        <w:ind w:left="920" w:right="380" w:firstLine="421"/>
        <w:spacing w:after="0" w:line="268" w:lineRule="auto"/>
        <w:tabs>
          <w:tab w:leader="none" w:pos="1671" w:val="left"/>
        </w:tabs>
        <w:numPr>
          <w:ilvl w:val="4"/>
          <w:numId w:val="50"/>
        </w:numPr>
        <w:rPr>
          <w:rFonts w:ascii="Arial" w:cs="Arial" w:eastAsia="Arial" w:hAnsi="Arial"/>
          <w:sz w:val="18"/>
          <w:szCs w:val="18"/>
          <w:color w:val="auto"/>
        </w:rPr>
      </w:pPr>
      <w:r>
        <w:rPr>
          <w:rFonts w:ascii="Arial" w:cs="Arial" w:eastAsia="Arial" w:hAnsi="Arial"/>
          <w:sz w:val="18"/>
          <w:szCs w:val="18"/>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37" w:lineRule="exact"/>
        <w:rPr>
          <w:rFonts w:ascii="Arial" w:cs="Arial" w:eastAsia="Arial" w:hAnsi="Arial"/>
          <w:sz w:val="18"/>
          <w:szCs w:val="18"/>
          <w:color w:val="auto"/>
        </w:rPr>
      </w:pPr>
    </w:p>
    <w:p>
      <w:pPr>
        <w:ind w:left="920" w:right="100" w:firstLine="421"/>
        <w:spacing w:after="0" w:line="256" w:lineRule="auto"/>
        <w:tabs>
          <w:tab w:leader="none" w:pos="1720" w:val="left"/>
        </w:tabs>
        <w:numPr>
          <w:ilvl w:val="4"/>
          <w:numId w:val="50"/>
        </w:numPr>
        <w:rPr>
          <w:rFonts w:ascii="Arial" w:cs="Arial" w:eastAsia="Arial" w:hAnsi="Arial"/>
          <w:sz w:val="18"/>
          <w:szCs w:val="18"/>
          <w:color w:val="auto"/>
        </w:rPr>
      </w:pPr>
      <w:r>
        <w:rPr>
          <w:rFonts w:ascii="Arial" w:cs="Arial" w:eastAsia="Arial" w:hAnsi="Arial"/>
          <w:sz w:val="18"/>
          <w:szCs w:val="18"/>
          <w:color w:val="auto"/>
        </w:rPr>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 Section 10(a) hereof.</w:t>
      </w:r>
    </w:p>
    <w:p>
      <w:pPr>
        <w:spacing w:after="0" w:line="48" w:lineRule="exact"/>
        <w:rPr>
          <w:rFonts w:ascii="Arial" w:cs="Arial" w:eastAsia="Arial" w:hAnsi="Arial"/>
          <w:sz w:val="18"/>
          <w:szCs w:val="18"/>
          <w:color w:val="auto"/>
        </w:rPr>
      </w:pPr>
    </w:p>
    <w:p>
      <w:pPr>
        <w:ind w:left="920" w:right="80" w:firstLine="421"/>
        <w:spacing w:after="0" w:line="332" w:lineRule="auto"/>
        <w:tabs>
          <w:tab w:leader="none" w:pos="1776" w:val="left"/>
        </w:tabs>
        <w:numPr>
          <w:ilvl w:val="4"/>
          <w:numId w:val="50"/>
        </w:numPr>
        <w:rPr>
          <w:rFonts w:ascii="Arial" w:cs="Arial" w:eastAsia="Arial" w:hAnsi="Arial"/>
          <w:sz w:val="16"/>
          <w:szCs w:val="16"/>
          <w:color w:val="auto"/>
        </w:rPr>
      </w:pPr>
      <w:r>
        <w:rPr>
          <w:rFonts w:ascii="Arial" w:cs="Arial" w:eastAsia="Arial" w:hAnsi="Arial"/>
          <w:sz w:val="16"/>
          <w:szCs w:val="16"/>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71" w:lineRule="exact"/>
        <w:rPr>
          <w:rFonts w:ascii="Arial" w:cs="Arial" w:eastAsia="Arial" w:hAnsi="Arial"/>
          <w:sz w:val="16"/>
          <w:szCs w:val="16"/>
          <w:color w:val="auto"/>
        </w:rPr>
      </w:pPr>
    </w:p>
    <w:p>
      <w:pPr>
        <w:ind w:left="240" w:right="20" w:hanging="4"/>
        <w:spacing w:after="0" w:line="268" w:lineRule="auto"/>
        <w:tabs>
          <w:tab w:leader="none" w:pos="620" w:val="left"/>
        </w:tabs>
        <w:numPr>
          <w:ilvl w:val="1"/>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 Award Agreement, a “Change in Control” shall mean the occurrence of any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w:t>
      </w:r>
    </w:p>
    <w:p>
      <w:pPr>
        <w:spacing w:after="0" w:line="37" w:lineRule="exact"/>
        <w:rPr>
          <w:rFonts w:ascii="Arial" w:cs="Arial" w:eastAsia="Arial" w:hAnsi="Arial"/>
          <w:sz w:val="18"/>
          <w:szCs w:val="18"/>
          <w:color w:val="auto"/>
        </w:rPr>
      </w:pPr>
    </w:p>
    <w:p>
      <w:pPr>
        <w:jc w:val="both"/>
        <w:ind w:left="920" w:firstLine="421"/>
        <w:spacing w:after="0" w:line="286" w:lineRule="auto"/>
        <w:tabs>
          <w:tab w:leader="none" w:pos="1678" w:val="left"/>
        </w:tabs>
        <w:numPr>
          <w:ilvl w:val="4"/>
          <w:numId w:val="50"/>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then outstanding shares of common stock of the Company (the “Outstanding Company Common Stock”) or</w:t>
      </w:r>
    </w:p>
    <w:p>
      <w:pPr>
        <w:ind w:left="920" w:right="120" w:firstLine="1"/>
        <w:spacing w:after="0" w:line="252" w:lineRule="auto"/>
        <w:tabs>
          <w:tab w:leader="none" w:pos="1198" w:val="left"/>
        </w:tabs>
        <w:numPr>
          <w:ilvl w:val="3"/>
          <w:numId w:val="50"/>
        </w:numPr>
        <w:rPr>
          <w:rFonts w:ascii="Arial" w:cs="Arial" w:eastAsia="Arial" w:hAnsi="Arial"/>
          <w:sz w:val="18"/>
          <w:szCs w:val="18"/>
          <w:color w:val="auto"/>
        </w:rPr>
      </w:pPr>
      <w:r>
        <w:rPr>
          <w:rFonts w:ascii="Arial" w:cs="Arial" w:eastAsia="Arial" w:hAnsi="Arial"/>
          <w:sz w:val="18"/>
          <w:szCs w:val="18"/>
          <w:color w:val="auto"/>
        </w:rPr>
        <w:t>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of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corporation pursuant to a transaction which complies with clauses (A), (B) and (C) of subsection (iii) below; or</w:t>
      </w:r>
    </w:p>
    <w:p>
      <w:pPr>
        <w:spacing w:after="0" w:line="52" w:lineRule="exact"/>
        <w:rPr>
          <w:rFonts w:ascii="Arial" w:cs="Arial" w:eastAsia="Arial" w:hAnsi="Arial"/>
          <w:sz w:val="18"/>
          <w:szCs w:val="18"/>
          <w:color w:val="auto"/>
        </w:rPr>
      </w:pPr>
    </w:p>
    <w:p>
      <w:pPr>
        <w:ind w:left="920" w:right="80" w:firstLine="421"/>
        <w:spacing w:after="0" w:line="290" w:lineRule="auto"/>
        <w:tabs>
          <w:tab w:leader="none" w:pos="1774" w:val="left"/>
        </w:tabs>
        <w:numPr>
          <w:ilvl w:val="4"/>
          <w:numId w:val="51"/>
        </w:numPr>
        <w:rPr>
          <w:rFonts w:ascii="Arial" w:cs="Arial" w:eastAsia="Arial" w:hAnsi="Arial"/>
          <w:sz w:val="16"/>
          <w:szCs w:val="16"/>
          <w:color w:val="auto"/>
        </w:rPr>
      </w:pPr>
      <w:r>
        <w:rPr>
          <w:rFonts w:ascii="Arial" w:cs="Arial" w:eastAsia="Arial" w:hAnsi="Arial"/>
          <w:sz w:val="16"/>
          <w:szCs w:val="16"/>
          <w:color w:val="auto"/>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3" w:lineRule="exact"/>
        <w:rPr>
          <w:rFonts w:ascii="Arial" w:cs="Arial" w:eastAsia="Arial" w:hAnsi="Arial"/>
          <w:sz w:val="16"/>
          <w:szCs w:val="16"/>
          <w:color w:val="auto"/>
        </w:rPr>
      </w:pPr>
    </w:p>
    <w:p>
      <w:pPr>
        <w:ind w:left="920" w:right="400" w:firstLine="421"/>
        <w:spacing w:after="0" w:line="268" w:lineRule="auto"/>
        <w:tabs>
          <w:tab w:leader="none" w:pos="1779" w:val="left"/>
        </w:tabs>
        <w:numPr>
          <w:ilvl w:val="4"/>
          <w:numId w:val="51"/>
        </w:numPr>
        <w:rPr>
          <w:rFonts w:ascii="Arial" w:cs="Arial" w:eastAsia="Arial" w:hAnsi="Arial"/>
          <w:sz w:val="18"/>
          <w:szCs w:val="18"/>
          <w:color w:val="auto"/>
        </w:rPr>
      </w:pPr>
      <w:r>
        <w:rPr>
          <w:rFonts w:ascii="Arial" w:cs="Arial" w:eastAsia="Arial" w:hAnsi="Arial"/>
          <w:sz w:val="18"/>
          <w:szCs w:val="18"/>
          <w:color w:val="auto"/>
        </w:rPr>
        <w:t>Consummation of a reorganization, merger, statutory share exchange or consolidation or similar corporate transaction involving the Company or any of its Subsidiaries, a sale or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5" w:lineRule="auto"/>
        <w:rPr>
          <w:sz w:val="20"/>
          <w:szCs w:val="20"/>
          <w:color w:val="auto"/>
        </w:rPr>
      </w:pPr>
      <w:r>
        <w:rPr>
          <w:rFonts w:ascii="Arial" w:cs="Arial" w:eastAsia="Arial" w:hAnsi="Arial"/>
          <w:sz w:val="16"/>
          <w:szCs w:val="16"/>
          <w:color w:val="auto"/>
        </w:rPr>
        <w:t>disposition of all or substantially all of the assets of the Company, or the acquisition of assets or stock of another entity by the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 benefit plan (or related trust) of the Company or such corporation resulting from such Business Combination or any Person that as of the Effective Date owns Beneficial Ownership of a Controlling Interest) beneficially owns, directly or indirectly, fifty percent (50%)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32" w:lineRule="exact"/>
        <w:rPr>
          <w:sz w:val="20"/>
          <w:szCs w:val="20"/>
          <w:color w:val="auto"/>
        </w:rPr>
      </w:pPr>
    </w:p>
    <w:p>
      <w:pPr>
        <w:ind w:left="1760" w:hanging="419"/>
        <w:spacing w:after="0"/>
        <w:tabs>
          <w:tab w:leader="none" w:pos="17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76" w:lineRule="exact"/>
        <w:rPr>
          <w:rFonts w:ascii="Arial" w:cs="Arial" w:eastAsia="Arial" w:hAnsi="Arial"/>
          <w:sz w:val="18"/>
          <w:szCs w:val="18"/>
          <w:color w:val="auto"/>
        </w:rPr>
      </w:pPr>
    </w:p>
    <w:p>
      <w:pPr>
        <w:ind w:left="860" w:hanging="396"/>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p>
    <w:p>
      <w:pPr>
        <w:spacing w:after="0" w:line="76" w:lineRule="exact"/>
        <w:rPr>
          <w:rFonts w:ascii="Arial" w:cs="Arial" w:eastAsia="Arial" w:hAnsi="Arial"/>
          <w:sz w:val="18"/>
          <w:szCs w:val="18"/>
          <w:color w:val="auto"/>
        </w:rPr>
      </w:pPr>
    </w:p>
    <w:p>
      <w:pPr>
        <w:ind w:left="460" w:right="20" w:firstLine="443"/>
        <w:spacing w:after="0" w:line="290" w:lineRule="auto"/>
        <w:tabs>
          <w:tab w:leader="none" w:pos="1268" w:val="left"/>
        </w:tabs>
        <w:numPr>
          <w:ilvl w:val="1"/>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Compliance With Legal and Other Requirements</w:t>
      </w:r>
      <w:r>
        <w:rPr>
          <w:rFonts w:ascii="Arial" w:cs="Arial" w:eastAsia="Arial" w:hAnsi="Arial"/>
          <w:sz w:val="16"/>
          <w:szCs w:val="16"/>
          <w:color w:val="auto"/>
        </w:rPr>
        <w:t>. The Company may, to the extent deemed necessary or advisable by the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any stock exchange or automated quotation system upon which the Shares or other Company securities are listed or quoted,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23" w:lineRule="exact"/>
        <w:rPr>
          <w:rFonts w:ascii="Arial" w:cs="Arial" w:eastAsia="Arial" w:hAnsi="Arial"/>
          <w:sz w:val="16"/>
          <w:szCs w:val="16"/>
          <w:color w:val="auto"/>
        </w:rPr>
      </w:pPr>
    </w:p>
    <w:p>
      <w:pPr>
        <w:ind w:left="460" w:right="20" w:firstLine="443"/>
        <w:spacing w:after="0" w:line="287" w:lineRule="auto"/>
        <w:tabs>
          <w:tab w:leader="none" w:pos="1278" w:val="left"/>
        </w:tabs>
        <w:numPr>
          <w:ilvl w:val="1"/>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Limits on Transferability; Beneficiaries</w:t>
      </w:r>
      <w:r>
        <w:rPr>
          <w:rFonts w:ascii="Arial" w:cs="Arial" w:eastAsia="Arial" w:hAnsi="Arial"/>
          <w:sz w:val="16"/>
          <w:szCs w:val="16"/>
          <w:color w:val="auto"/>
        </w:rPr>
        <w:t>. No Award or other right or interest granted under the Plan shall be pledged, hypothecated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80" w:hanging="377"/>
        <w:spacing w:after="0"/>
        <w:tabs>
          <w:tab w:leader="none" w:pos="12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p>
    <w:p>
      <w:pPr>
        <w:spacing w:after="0" w:line="76" w:lineRule="exact"/>
        <w:rPr>
          <w:rFonts w:ascii="Arial" w:cs="Arial" w:eastAsia="Arial" w:hAnsi="Arial"/>
          <w:sz w:val="18"/>
          <w:szCs w:val="18"/>
          <w:color w:val="auto"/>
        </w:rPr>
      </w:pPr>
    </w:p>
    <w:p>
      <w:pPr>
        <w:ind w:left="920" w:right="100" w:firstLine="421"/>
        <w:spacing w:after="0" w:line="302" w:lineRule="auto"/>
        <w:tabs>
          <w:tab w:leader="none" w:pos="1681" w:val="left"/>
        </w:tabs>
        <w:numPr>
          <w:ilvl w:val="2"/>
          <w:numId w:val="54"/>
        </w:numPr>
        <w:rPr>
          <w:rFonts w:ascii="Arial" w:cs="Arial" w:eastAsia="Arial" w:hAnsi="Arial"/>
          <w:sz w:val="15"/>
          <w:szCs w:val="15"/>
          <w:color w:val="auto"/>
        </w:rPr>
      </w:pPr>
      <w:r>
        <w:rPr>
          <w:rFonts w:ascii="Arial" w:cs="Arial" w:eastAsia="Arial" w:hAnsi="Arial"/>
          <w:sz w:val="15"/>
          <w:szCs w:val="15"/>
          <w:b w:val="1"/>
          <w:bCs w:val="1"/>
          <w:i w:val="1"/>
          <w:iCs w:val="1"/>
          <w:color w:val="auto"/>
        </w:rPr>
        <w:t>Adjustments to Awards</w:t>
      </w:r>
      <w:r>
        <w:rPr>
          <w:rFonts w:ascii="Arial" w:cs="Arial" w:eastAsia="Arial" w:hAnsi="Arial"/>
          <w:sz w:val="15"/>
          <w:szCs w:val="15"/>
          <w:color w:val="auto"/>
        </w:rPr>
        <w:t>. In the event that any extraordinary dividend or other distribution (whether in the form of cash, Shares, or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5 hereof,</w:t>
      </w:r>
    </w:p>
    <w:p>
      <w:pPr>
        <w:ind w:left="920" w:right="120" w:firstLine="1"/>
        <w:spacing w:after="0" w:line="255" w:lineRule="auto"/>
        <w:tabs>
          <w:tab w:leader="none" w:pos="1198"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w:t>
      </w:r>
    </w:p>
    <w:p>
      <w:pPr>
        <w:spacing w:after="0" w:line="130" w:lineRule="exact"/>
        <w:rPr>
          <w:rFonts w:ascii="Arial" w:cs="Arial" w:eastAsia="Arial" w:hAnsi="Arial"/>
          <w:sz w:val="18"/>
          <w:szCs w:val="18"/>
          <w:color w:val="auto"/>
        </w:rPr>
      </w:pPr>
    </w:p>
    <w:p>
      <w:pPr>
        <w:ind w:left="920" w:firstLine="421"/>
        <w:spacing w:after="0" w:line="283" w:lineRule="auto"/>
        <w:tabs>
          <w:tab w:leader="none" w:pos="1730" w:val="left"/>
        </w:tabs>
        <w:numPr>
          <w:ilvl w:val="2"/>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Adjustments in Case of Certain Corporate Transactions</w:t>
      </w:r>
      <w:r>
        <w:rPr>
          <w:rFonts w:ascii="Arial" w:cs="Arial" w:eastAsia="Arial" w:hAnsi="Arial"/>
          <w:sz w:val="16"/>
          <w:szCs w:val="16"/>
          <w:color w:val="auto"/>
        </w:rPr>
        <w:t>. In the event of any merger, consolidation or other reorganization in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does not survive, or in the event of any Change in Control, any outstanding Awards may be dealt with in accordance with any of the following approaches, as determined by the agreement effectuating the transaction or, if and to the extent not so determined, as determined by the Committee: (a) the continuation of the outstanding Awards by the Company, if the Company is a surviving corporation, (b) the assumption or substitution for, as those terms are defined in Section 9(b)(iv) hereof, the outstanding Awards by the surviving corporation or its parent or subsidiary,</w:t>
      </w:r>
    </w:p>
    <w:p>
      <w:pPr>
        <w:spacing w:after="0" w:line="2" w:lineRule="exact"/>
        <w:rPr>
          <w:rFonts w:ascii="Arial" w:cs="Arial" w:eastAsia="Arial" w:hAnsi="Arial"/>
          <w:sz w:val="16"/>
          <w:szCs w:val="16"/>
          <w:color w:val="auto"/>
        </w:rPr>
      </w:pPr>
    </w:p>
    <w:p>
      <w:pPr>
        <w:ind w:left="920" w:right="20"/>
        <w:spacing w:after="0" w:line="287" w:lineRule="auto"/>
        <w:rPr>
          <w:rFonts w:ascii="Arial" w:cs="Arial" w:eastAsia="Arial" w:hAnsi="Arial"/>
          <w:sz w:val="16"/>
          <w:szCs w:val="16"/>
          <w:color w:val="auto"/>
        </w:rPr>
      </w:pPr>
      <w:r>
        <w:rPr>
          <w:rFonts w:ascii="Arial" w:cs="Arial" w:eastAsia="Arial" w:hAnsi="Arial"/>
          <w:sz w:val="16"/>
          <w:szCs w:val="16"/>
          <w:color w:val="auto"/>
        </w:rPr>
        <w:t>(c) 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30" w:lineRule="exact"/>
        <w:rPr>
          <w:sz w:val="20"/>
          <w:szCs w:val="20"/>
          <w:color w:val="auto"/>
        </w:rPr>
      </w:pPr>
    </w:p>
    <w:p>
      <w:pPr>
        <w:ind w:left="920" w:right="80" w:firstLine="421"/>
        <w:spacing w:after="0" w:line="286" w:lineRule="auto"/>
        <w:tabs>
          <w:tab w:leader="none" w:pos="1779"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Other Adjustments</w:t>
      </w:r>
      <w:r>
        <w:rPr>
          <w:rFonts w:ascii="Arial" w:cs="Arial" w:eastAsia="Arial" w:hAnsi="Arial"/>
          <w:sz w:val="16"/>
          <w:szCs w:val="16"/>
          <w:color w:val="auto"/>
        </w:rPr>
        <w:t>. The Committee (and the Board if and only to the extent such authority is not required to be exercised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to comply with Section 162(m) of the Code)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91" w:lineRule="auto"/>
        <w:tabs>
          <w:tab w:leader="none" w:pos="1278"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 an Award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w:t>
      </w:r>
    </w:p>
    <w:p>
      <w:pPr>
        <w:spacing w:after="0" w:line="25" w:lineRule="exact"/>
        <w:rPr>
          <w:rFonts w:ascii="Arial" w:cs="Arial" w:eastAsia="Arial" w:hAnsi="Arial"/>
          <w:sz w:val="16"/>
          <w:szCs w:val="16"/>
          <w:color w:val="auto"/>
        </w:rPr>
      </w:pPr>
    </w:p>
    <w:p>
      <w:pPr>
        <w:ind w:left="460" w:right="20" w:firstLine="443"/>
        <w:spacing w:after="0" w:line="287" w:lineRule="auto"/>
        <w:tabs>
          <w:tab w:leader="none" w:pos="1268"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 Committee’s authority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any stock exchange or automated quotation system on which the Shares may then be listed or quoted,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28" w:lineRule="exact"/>
        <w:rPr>
          <w:rFonts w:ascii="Arial" w:cs="Arial" w:eastAsia="Arial" w:hAnsi="Arial"/>
          <w:sz w:val="16"/>
          <w:szCs w:val="16"/>
          <w:color w:val="auto"/>
        </w:rPr>
      </w:pPr>
    </w:p>
    <w:p>
      <w:pPr>
        <w:ind w:left="1260" w:hanging="357"/>
        <w:spacing w:after="0"/>
        <w:tabs>
          <w:tab w:leader="none" w:pos="1260"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Rights Conferred Under Plan</w:t>
      </w:r>
      <w:r>
        <w:rPr>
          <w:rFonts w:ascii="Arial" w:cs="Arial" w:eastAsia="Arial" w:hAnsi="Arial"/>
          <w:sz w:val="16"/>
          <w:szCs w:val="16"/>
          <w:color w:val="auto"/>
        </w:rPr>
        <w:t>.  Neither the Plan nor any action taken hereunder or under any Award shall be construed as</w:t>
      </w:r>
    </w:p>
    <w:p>
      <w:pPr>
        <w:spacing w:after="0" w:line="38" w:lineRule="exact"/>
        <w:rPr>
          <w:rFonts w:ascii="Arial" w:cs="Arial" w:eastAsia="Arial" w:hAnsi="Arial"/>
          <w:sz w:val="16"/>
          <w:szCs w:val="16"/>
          <w:color w:val="auto"/>
        </w:rPr>
      </w:pPr>
    </w:p>
    <w:p>
      <w:pPr>
        <w:ind w:left="460" w:right="40" w:firstLine="4"/>
        <w:spacing w:after="0" w:line="286" w:lineRule="auto"/>
        <w:tabs>
          <w:tab w:leader="none" w:pos="670" w:val="left"/>
        </w:tabs>
        <w:numPr>
          <w:ilvl w:val="0"/>
          <w:numId w:val="58"/>
        </w:numPr>
        <w:rPr>
          <w:rFonts w:ascii="Arial" w:cs="Arial" w:eastAsia="Arial" w:hAnsi="Arial"/>
          <w:sz w:val="16"/>
          <w:szCs w:val="16"/>
          <w:color w:val="auto"/>
        </w:rPr>
      </w:pPr>
      <w:r>
        <w:rPr>
          <w:rFonts w:ascii="Arial" w:cs="Arial" w:eastAsia="Arial" w:hAnsi="Arial"/>
          <w:sz w:val="16"/>
          <w:szCs w:val="16"/>
          <w:color w:val="auto"/>
        </w:rPr>
        <w:t>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Shares awarded pursuant to this Plan unless and until the Participant is duly issued Shares on the stock books of the Company in accordance with the terms of an Award. Neither the Company nor any of the Company’s officers, directors, representatives or agents are granting any rights under the Plan to the Participant whatsoever, oral or written, express or implied, other than those rights expressly set forth in this Plan or the Award Agreement.</w:t>
      </w:r>
    </w:p>
    <w:p>
      <w:pPr>
        <w:spacing w:after="0" w:line="26" w:lineRule="exact"/>
        <w:rPr>
          <w:rFonts w:ascii="Arial" w:cs="Arial" w:eastAsia="Arial" w:hAnsi="Arial"/>
          <w:sz w:val="16"/>
          <w:szCs w:val="16"/>
          <w:color w:val="auto"/>
        </w:rPr>
      </w:pPr>
    </w:p>
    <w:p>
      <w:pPr>
        <w:ind w:left="460" w:right="60" w:firstLine="443"/>
        <w:spacing w:after="0" w:line="312" w:lineRule="auto"/>
        <w:tabs>
          <w:tab w:leader="none" w:pos="1278" w:val="left"/>
        </w:tabs>
        <w:numPr>
          <w:ilvl w:val="1"/>
          <w:numId w:val="58"/>
        </w:numPr>
        <w:rPr>
          <w:rFonts w:ascii="Arial" w:cs="Arial" w:eastAsia="Arial" w:hAnsi="Arial"/>
          <w:sz w:val="15"/>
          <w:szCs w:val="15"/>
          <w:color w:val="auto"/>
        </w:rPr>
      </w:pPr>
      <w:r>
        <w:rPr>
          <w:rFonts w:ascii="Arial" w:cs="Arial" w:eastAsia="Arial" w:hAnsi="Arial"/>
          <w:sz w:val="15"/>
          <w:szCs w:val="15"/>
          <w:b w:val="1"/>
          <w:bCs w:val="1"/>
          <w:i w:val="1"/>
          <w:iCs w:val="1"/>
          <w:color w:val="auto"/>
        </w:rPr>
        <w:t>Unfunded Status of Awards; Creation of Trusts</w:t>
      </w:r>
      <w:r>
        <w:rPr>
          <w:rFonts w:ascii="Arial" w:cs="Arial" w:eastAsia="Arial" w:hAnsi="Arial"/>
          <w:sz w:val="15"/>
          <w:szCs w:val="15"/>
          <w:color w:val="auto"/>
        </w:rPr>
        <w:t>. The Plan is intended to constitute an “unfunded” plan for incentive and deferred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With respect to any payments not yet made to a Participant or obligation to deliver Shares pursuant to an Award, nothing contained in the Plan or any Award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278"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Nonexclusivity of the Plan</w:t>
      </w:r>
      <w:r>
        <w:rPr>
          <w:rFonts w:ascii="Arial" w:cs="Arial" w:eastAsia="Arial" w:hAnsi="Arial"/>
          <w:sz w:val="16"/>
          <w:szCs w:val="16"/>
          <w:color w:val="auto"/>
        </w:rPr>
        <w:t>. Neither the adoption of the Plan by the Board nor its submission to the shareholders of the Company for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2" w:lineRule="exact"/>
        <w:rPr>
          <w:rFonts w:ascii="Arial" w:cs="Arial" w:eastAsia="Arial" w:hAnsi="Arial"/>
          <w:sz w:val="16"/>
          <w:szCs w:val="16"/>
          <w:color w:val="auto"/>
        </w:rPr>
      </w:pPr>
    </w:p>
    <w:p>
      <w:pPr>
        <w:ind w:left="460" w:right="160" w:firstLine="443"/>
        <w:spacing w:after="0" w:line="255" w:lineRule="auto"/>
        <w:tabs>
          <w:tab w:leader="none" w:pos="1239"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 a forfeiture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48" w:lineRule="exact"/>
        <w:rPr>
          <w:rFonts w:ascii="Arial" w:cs="Arial" w:eastAsia="Arial" w:hAnsi="Arial"/>
          <w:sz w:val="18"/>
          <w:szCs w:val="18"/>
          <w:color w:val="auto"/>
        </w:rPr>
      </w:pPr>
    </w:p>
    <w:p>
      <w:pPr>
        <w:ind w:left="460" w:right="20" w:firstLine="443"/>
        <w:spacing w:after="0" w:line="325" w:lineRule="auto"/>
        <w:tabs>
          <w:tab w:leader="none" w:pos="1239"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Governing Law</w:t>
      </w:r>
      <w:r>
        <w:rPr>
          <w:rFonts w:ascii="Arial" w:cs="Arial" w:eastAsia="Arial" w:hAnsi="Arial"/>
          <w:sz w:val="16"/>
          <w:szCs w:val="16"/>
          <w:color w:val="auto"/>
        </w:rPr>
        <w:t>. The validity, construction and effect of the Plan, any rules and regulations under the Plan, and any Award Agreement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in accordance with the laws of the State of Delaware without giving effect to principles of conflict of laws, and applicable federal law.</w:t>
      </w:r>
    </w:p>
    <w:p>
      <w:pPr>
        <w:spacing w:after="0" w:line="1" w:lineRule="exact"/>
        <w:rPr>
          <w:rFonts w:ascii="Arial" w:cs="Arial" w:eastAsia="Arial" w:hAnsi="Arial"/>
          <w:sz w:val="16"/>
          <w:szCs w:val="16"/>
          <w:color w:val="auto"/>
        </w:rPr>
      </w:pPr>
    </w:p>
    <w:p>
      <w:pPr>
        <w:ind w:left="460" w:right="320" w:firstLine="443"/>
        <w:spacing w:after="0" w:line="306" w:lineRule="auto"/>
        <w:tabs>
          <w:tab w:leader="none" w:pos="1278"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Non-U.S. Laws</w:t>
      </w:r>
      <w:r>
        <w:rPr>
          <w:rFonts w:ascii="Arial" w:cs="Arial" w:eastAsia="Arial" w:hAnsi="Arial"/>
          <w:sz w:val="16"/>
          <w:szCs w:val="16"/>
          <w:color w:val="auto"/>
        </w:rPr>
        <w:t>. The Committee shall have the authority to adopt such modifications, procedures, and subplans as may be necessary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12" w:lineRule="exact"/>
        <w:rPr>
          <w:rFonts w:ascii="Arial" w:cs="Arial" w:eastAsia="Arial" w:hAnsi="Arial"/>
          <w:sz w:val="16"/>
          <w:szCs w:val="16"/>
          <w:color w:val="auto"/>
        </w:rPr>
      </w:pPr>
    </w:p>
    <w:p>
      <w:pPr>
        <w:ind w:left="460" w:right="20" w:firstLine="443"/>
        <w:spacing w:after="0" w:line="289" w:lineRule="auto"/>
        <w:tabs>
          <w:tab w:leader="none" w:pos="1239"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Plan Effective Date and Shareholder Approval; Termination of Plan</w:t>
      </w:r>
      <w:r>
        <w:rPr>
          <w:rFonts w:ascii="Arial" w:cs="Arial" w:eastAsia="Arial" w:hAnsi="Arial"/>
          <w:sz w:val="16"/>
          <w:szCs w:val="16"/>
          <w:color w:val="auto"/>
        </w:rPr>
        <w:t>. The Plan shall become effective on the Effective Date, which 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940"/>
        <w:spacing w:after="0"/>
        <w:rPr>
          <w:sz w:val="20"/>
          <w:szCs w:val="20"/>
          <w:color w:val="auto"/>
        </w:rPr>
      </w:pPr>
      <w:r>
        <w:rPr>
          <w:rFonts w:ascii="Arial" w:cs="Arial" w:eastAsia="Arial" w:hAnsi="Arial"/>
          <w:sz w:val="16"/>
          <w:szCs w:val="16"/>
          <w:b w:val="1"/>
          <w:bCs w:val="1"/>
          <w:color w:val="auto"/>
        </w:rPr>
        <w:t>CASUAL MALE RETAIL GROUP, INC.</w:t>
      </w:r>
    </w:p>
    <w:p>
      <w:pPr>
        <w:spacing w:after="0" w:line="4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Notice of 2006 Annual Meeting of</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Stockholders and Proxy Statement</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Monday, July 31, 2006</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10:00 A.M.</w:t>
      </w:r>
    </w:p>
    <w:p>
      <w:pPr>
        <w:spacing w:after="0" w:line="14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Greenberg Traurig, LLP</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200 Park Avenue</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MetLife Building</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New York, New York</w:t>
      </w:r>
    </w:p>
    <w:p>
      <w:pPr>
        <w:spacing w:after="0" w:line="14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Please sign your proxy and</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at the Annual Meeting.</w:t>
      </w:r>
    </w:p>
    <w:p>
      <w:pPr>
        <w:sectPr>
          <w:pgSz w:w="11900" w:h="16838" w:orient="portrait"/>
          <w:cols w:equalWidth="0" w:num="1">
            <w:col w:w="10219"/>
          </w:cols>
          <w:pgMar w:left="240" w:top="459" w:right="1440"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DETACH HERE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CASUAL MALE RETAIL GROUP, INC.</w:t>
      </w:r>
    </w:p>
    <w:p>
      <w:pPr>
        <w:spacing w:after="0" w:line="8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555 Turnpike Street, Canton, Massachusetts 02021</w:t>
      </w:r>
    </w:p>
    <w:p>
      <w:pPr>
        <w:spacing w:after="0" w:line="7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 To Be Held On July 31, 2006</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undersigned stockholder of Casual Male Retail Group, Inc., hereby appoints Seymour Holtzman and David A. Levin,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Monday, July 31, 2006, at 10:00 A.M. local time, at the offices of Greenberg Taurig, LLP, 200 Park Avenue, MetLife Building, 15th Floor, New York, New York,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SEE REVERSE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SIDE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SEE REVERSE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SIDE</w:t>
      </w:r>
    </w:p>
    <w:p>
      <w:pPr>
        <w:spacing w:after="0" w:line="165" w:lineRule="exact"/>
        <w:rPr>
          <w:sz w:val="20"/>
          <w:szCs w:val="20"/>
          <w:color w:val="auto"/>
        </w:rPr>
      </w:pPr>
    </w:p>
    <w:p>
      <w:pPr>
        <w:sectPr>
          <w:pgSz w:w="11900" w:h="16838" w:orient="portrait"/>
          <w:cols w:equalWidth="0" w:num="3">
            <w:col w:w="2940" w:space="720"/>
            <w:col w:w="5440" w:space="720"/>
            <w:col w:w="15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DETACH HERE</w:t>
      </w:r>
    </w:p>
    <w:p>
      <w:pPr>
        <w:sectPr>
          <w:pgSz w:w="11900" w:h="16838" w:orient="portrait"/>
          <w:cols w:equalWidth="0" w:num="1">
            <w:col w:w="11400"/>
          </w:cols>
          <w:pgMar w:left="240" w:top="459" w:right="259" w:bottom="1440" w:gutter="0" w:footer="0" w:header="0"/>
          <w:type w:val="continuous"/>
        </w:sectPr>
      </w:pPr>
    </w:p>
    <w:p>
      <w:pPr>
        <w:spacing w:after="0" w:line="181" w:lineRule="exact"/>
        <w:rPr>
          <w:sz w:val="20"/>
          <w:szCs w:val="20"/>
          <w:color w:val="auto"/>
        </w:rPr>
      </w:pPr>
    </w:p>
    <w:p>
      <w:pPr>
        <w:ind w:left="260" w:hanging="252"/>
        <w:spacing w:after="0"/>
        <w:tabs>
          <w:tab w:leader="none" w:pos="260" w:val="left"/>
        </w:tabs>
        <w:numPr>
          <w:ilvl w:val="0"/>
          <w:numId w:val="60"/>
        </w:numPr>
        <w:rPr>
          <w:rFonts w:ascii="MS PGothic" w:cs="MS PGothic" w:eastAsia="MS PGothic" w:hAnsi="MS PGothic"/>
          <w:sz w:val="18"/>
          <w:szCs w:val="18"/>
          <w:color w:val="auto"/>
        </w:rPr>
      </w:pPr>
      <w:r>
        <w:rPr>
          <w:rFonts w:ascii="Arial" w:cs="Arial" w:eastAsia="Arial" w:hAnsi="Arial"/>
          <w:sz w:val="18"/>
          <w:szCs w:val="18"/>
          <w:color w:val="auto"/>
        </w:rPr>
        <w:t>PLEASE MARK VOTES AS IN THIS EXAMPLE.</w:t>
      </w:r>
    </w:p>
    <w:p>
      <w:pPr>
        <w:spacing w:after="0" w:line="15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THIS PROXY IS PROPERLY EXECUTED AND RETURNED IT WILL BE VOTED AS SPECIFIED HEREIN. IF NO SPECIFIC DIRECTION IS GIVEN, IT WILL BE VOTED “FOR” EACH OF THE PROPOSALS. RECEIPT IS HEREBY ACKNOWLEDGED OF THE NOTICE OF ANNUAL MEETING AND PROXY STATEMENT OF CASUAL MALE RETAIL GROUP, INC. DATED JUNE 26, 2006.</w:t>
      </w:r>
    </w:p>
    <w:p>
      <w:pPr>
        <w:spacing w:after="0" w:line="1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b w:val="1"/>
          <w:bCs w:val="1"/>
          <w:color w:val="auto"/>
        </w:rPr>
        <w:t>Election of Directors</w:t>
      </w:r>
      <w:r>
        <w:rPr>
          <w:rFonts w:ascii="Arial" w:cs="Arial" w:eastAsia="Arial" w:hAnsi="Arial"/>
          <w:sz w:val="16"/>
          <w:szCs w:val="16"/>
          <w:color w:val="auto"/>
        </w:rPr>
        <w:t>: THE BOARD OF DIRECTORS RECOMMENDS A VOTE “FOR” ALL NOMINEES NAMED BELOW.</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Nominees: (1) Seymour Holtzman, (2) David A. Levin, (3) Alan S. Bernikow, (4) Jesse Choper, (5) Ward K. Mooney, (6) George T. Porter, Jr. and</w:t>
      </w:r>
    </w:p>
    <w:p>
      <w:pPr>
        <w:spacing w:after="0" w:line="38"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Robert L. Sockolov</w:t>
      </w:r>
    </w:p>
    <w:p>
      <w:pPr>
        <w:spacing w:after="0" w:line="118" w:lineRule="exact"/>
        <w:rPr>
          <w:rFonts w:ascii="Arial" w:cs="Arial" w:eastAsia="Arial" w:hAnsi="Arial"/>
          <w:sz w:val="18"/>
          <w:szCs w:val="18"/>
          <w:color w:val="auto"/>
        </w:rPr>
      </w:pPr>
    </w:p>
    <w:p>
      <w:pPr>
        <w:ind w:left="720" w:hanging="256"/>
        <w:spacing w:after="0" w:line="207" w:lineRule="exact"/>
        <w:tabs>
          <w:tab w:leader="none" w:pos="720" w:val="left"/>
        </w:tabs>
        <w:numPr>
          <w:ilvl w:val="1"/>
          <w:numId w:val="61"/>
        </w:numPr>
        <w:rPr>
          <w:rFonts w:ascii="MS PGothic" w:cs="MS PGothic" w:eastAsia="MS PGothic" w:hAnsi="MS PGothic"/>
          <w:sz w:val="18"/>
          <w:szCs w:val="18"/>
          <w:color w:val="auto"/>
        </w:rPr>
      </w:pPr>
      <w:r>
        <w:rPr>
          <w:rFonts w:ascii="Arial" w:cs="Arial" w:eastAsia="Arial" w:hAnsi="Arial"/>
          <w:sz w:val="18"/>
          <w:szCs w:val="18"/>
          <w:color w:val="auto"/>
        </w:rPr>
        <w:t xml:space="preserve">FOR ALL NOMINEES </w:t>
      </w:r>
      <w:r>
        <w:rPr>
          <w:rFonts w:ascii="MS PGothic" w:cs="MS PGothic" w:eastAsia="MS PGothic" w:hAnsi="MS PGothic"/>
          <w:sz w:val="18"/>
          <w:szCs w:val="18"/>
          <w:color w:val="auto"/>
        </w:rPr>
        <w:t>☐</w:t>
      </w:r>
      <w:r>
        <w:rPr>
          <w:rFonts w:ascii="Arial" w:cs="Arial" w:eastAsia="Arial" w:hAnsi="Arial"/>
          <w:sz w:val="18"/>
          <w:szCs w:val="18"/>
          <w:color w:val="auto"/>
        </w:rPr>
        <w:t xml:space="preserve"> WITHHELD FROM ALL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194945</wp:posOffset>
            </wp:positionV>
            <wp:extent cx="15347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400" w:lineRule="exact"/>
        <w:rPr>
          <w:sz w:val="20"/>
          <w:szCs w:val="20"/>
          <w:color w:val="auto"/>
        </w:rPr>
      </w:pPr>
    </w:p>
    <w:p>
      <w:pPr>
        <w:ind w:left="1600" w:hanging="259"/>
        <w:spacing w:after="0"/>
        <w:tabs>
          <w:tab w:leader="none" w:pos="160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FOR, except vote withheld from the nominee(s) as noted above.</w:t>
      </w:r>
    </w:p>
    <w:p>
      <w:pPr>
        <w:spacing w:after="0" w:line="151" w:lineRule="exact"/>
        <w:rPr>
          <w:rFonts w:ascii="MS PGothic" w:cs="MS PGothic" w:eastAsia="MS PGothic" w:hAnsi="MS PGothic"/>
          <w:sz w:val="18"/>
          <w:szCs w:val="18"/>
          <w:color w:val="auto"/>
        </w:rPr>
      </w:pPr>
    </w:p>
    <w:p>
      <w:pPr>
        <w:ind w:right="300" w:firstLine="8"/>
        <w:spacing w:after="0" w:line="275" w:lineRule="auto"/>
        <w:tabs>
          <w:tab w:leader="none" w:pos="307"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Approval of the adoption of the Company’s 2006 Incentive Compensation Plan</w:t>
      </w:r>
      <w:r>
        <w:rPr>
          <w:rFonts w:ascii="Arial" w:cs="Arial" w:eastAsia="Arial" w:hAnsi="Arial"/>
          <w:sz w:val="18"/>
          <w:szCs w:val="18"/>
          <w:color w:val="auto"/>
        </w:rPr>
        <w:t>: THE BOARD OF DIRECTORS RECOMMENDS A VOTE “FOR”</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2.</w:t>
      </w:r>
    </w:p>
    <w:p>
      <w:pPr>
        <w:spacing w:after="0" w:line="8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FOR </w:t>
      </w:r>
      <w:r>
        <w:rPr>
          <w:rFonts w:ascii="MS PGothic" w:cs="MS PGothic" w:eastAsia="MS PGothic" w:hAnsi="MS PGothic"/>
          <w:sz w:val="18"/>
          <w:szCs w:val="18"/>
          <w:color w:val="auto"/>
        </w:rPr>
        <w:t>☐</w:t>
      </w:r>
      <w:r>
        <w:rPr>
          <w:rFonts w:ascii="Arial" w:cs="Arial" w:eastAsia="Arial" w:hAnsi="Arial"/>
          <w:sz w:val="18"/>
          <w:szCs w:val="18"/>
          <w:color w:val="auto"/>
        </w:rPr>
        <w:t xml:space="preserve"> AGAINST </w:t>
      </w:r>
      <w:r>
        <w:rPr>
          <w:rFonts w:ascii="MS PGothic" w:cs="MS PGothic" w:eastAsia="MS PGothic" w:hAnsi="MS PGothic"/>
          <w:sz w:val="18"/>
          <w:szCs w:val="18"/>
          <w:color w:val="auto"/>
        </w:rPr>
        <w:t>☐</w:t>
      </w:r>
      <w:r>
        <w:rPr>
          <w:rFonts w:ascii="Arial" w:cs="Arial" w:eastAsia="Arial" w:hAnsi="Arial"/>
          <w:sz w:val="18"/>
          <w:szCs w:val="18"/>
          <w:color w:val="auto"/>
        </w:rPr>
        <w:t xml:space="preserve"> ABSTAIN </w:t>
      </w:r>
      <w:r>
        <w:rPr>
          <w:rFonts w:ascii="MS PGothic" w:cs="MS PGothic" w:eastAsia="MS PGothic" w:hAnsi="MS PGothic"/>
          <w:sz w:val="18"/>
          <w:szCs w:val="18"/>
          <w:color w:val="auto"/>
        </w:rPr>
        <w:t>☐</w:t>
      </w:r>
    </w:p>
    <w:p>
      <w:pPr>
        <w:spacing w:after="0" w:line="184" w:lineRule="exact"/>
        <w:rPr>
          <w:sz w:val="20"/>
          <w:szCs w:val="20"/>
          <w:color w:val="auto"/>
        </w:rPr>
      </w:pPr>
    </w:p>
    <w:p>
      <w:pPr>
        <w:ind w:firstLine="8"/>
        <w:spacing w:after="0" w:line="275" w:lineRule="auto"/>
        <w:tabs>
          <w:tab w:leader="none" w:pos="307"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Ratification of appointment of Ernst &amp; Young LLP as the Company’s independent registered public accounting firm</w:t>
      </w:r>
      <w:r>
        <w:rPr>
          <w:rFonts w:ascii="Arial" w:cs="Arial" w:eastAsia="Arial" w:hAnsi="Arial"/>
          <w:sz w:val="18"/>
          <w:szCs w:val="18"/>
          <w:color w:val="auto"/>
        </w:rPr>
        <w:t>: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RECOMMENDS A VOTE “FOR” PROPOSAL 3.</w:t>
      </w:r>
    </w:p>
    <w:p>
      <w:pPr>
        <w:sectPr>
          <w:pgSz w:w="11900" w:h="16838" w:orient="portrait"/>
          <w:cols w:equalWidth="0" w:num="1">
            <w:col w:w="11400"/>
          </w:cols>
          <w:pgMar w:left="240" w:top="459" w:right="259" w:bottom="1440" w:gutter="0" w:footer="0" w:header="0"/>
          <w:type w:val="continuous"/>
        </w:sectPr>
      </w:pPr>
    </w:p>
    <w:p>
      <w:pPr>
        <w:spacing w:after="0" w:line="8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FOR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AGAINST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ABSTAIN</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0"/>
          <w:szCs w:val="20"/>
          <w:color w:val="auto"/>
        </w:rPr>
      </w:pPr>
    </w:p>
    <w:p>
      <w:pPr>
        <w:sectPr>
          <w:pgSz w:w="11900" w:h="16838" w:orient="portrait"/>
          <w:cols w:equalWidth="0" w:num="5">
            <w:col w:w="600" w:space="80"/>
            <w:col w:w="760" w:space="100"/>
            <w:col w:w="140" w:space="100"/>
            <w:col w:w="740" w:space="80"/>
            <w:col w:w="8800"/>
          </w:cols>
          <w:pgMar w:left="240" w:top="459" w:right="259" w:bottom="1440" w:gutter="0" w:footer="0" w:header="0"/>
          <w:type w:val="continuous"/>
        </w:sectPr>
      </w:pPr>
    </w:p>
    <w:p>
      <w:pPr>
        <w:spacing w:after="0" w:line="3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MARK HERE IF YOU PLAN TO ATTEND THE MEETING</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5960" w:space="720"/>
            <w:col w:w="4720"/>
          </w:cols>
          <w:pgMar w:left="240" w:top="459" w:right="25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1">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880"/>
        <w:spacing w:after="0" w:line="207" w:lineRule="exact"/>
        <w:tabs>
          <w:tab w:leader="none" w:pos="6640" w:val="left"/>
        </w:tabs>
        <w:rPr>
          <w:sz w:val="20"/>
          <w:szCs w:val="20"/>
          <w:color w:val="auto"/>
        </w:rPr>
      </w:pPr>
      <w:r>
        <w:rPr>
          <w:rFonts w:ascii="Arial" w:cs="Arial" w:eastAsia="Arial" w:hAnsi="Arial"/>
          <w:sz w:val="18"/>
          <w:szCs w:val="18"/>
          <w:color w:val="auto"/>
        </w:rPr>
        <w:t>MARK HERE FOR ADDRESS CHANGE AND NOTE AT LEFT</w:t>
      </w:r>
      <w:r>
        <w:rPr>
          <w:sz w:val="20"/>
          <w:szCs w:val="20"/>
          <w:color w:val="auto"/>
        </w:rPr>
        <w:tab/>
      </w:r>
      <w:r>
        <w:rPr>
          <w:rFonts w:ascii="MS PGothic" w:cs="MS PGothic" w:eastAsia="MS PGothic" w:hAnsi="MS PGothic"/>
          <w:sz w:val="16"/>
          <w:szCs w:val="16"/>
          <w:color w:val="auto"/>
        </w:rPr>
        <w:t>☐</w:t>
      </w:r>
    </w:p>
    <w:p>
      <w:pPr>
        <w:spacing w:after="0" w:line="258"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IMPORTANT: Please sign your name or names exactly as printed on this</w:t>
      </w:r>
    </w:p>
    <w:p>
      <w:pPr>
        <w:spacing w:after="0" w:line="38"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proxy and fill in the date next to your signature. If more than one person is</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named, each must sign. When signing as attorney, executor, administrator,</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trustee or guardian, give title as such. If the stockholder is a corporation, this</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proxy should be signed by an authorized officer and such officer should state</w:t>
      </w:r>
    </w:p>
    <w:p>
      <w:pPr>
        <w:spacing w:after="0" w:line="4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his/her title.</w:t>
      </w:r>
    </w:p>
    <w:p>
      <w:pPr>
        <w:spacing w:after="0" w:line="300" w:lineRule="exact"/>
        <w:rPr>
          <w:sz w:val="20"/>
          <w:szCs w:val="20"/>
          <w:color w:val="auto"/>
        </w:rPr>
      </w:pPr>
    </w:p>
    <w:p>
      <w:pPr>
        <w:ind w:left="20"/>
        <w:spacing w:after="0"/>
        <w:tabs>
          <w:tab w:leader="none" w:pos="2460" w:val="left"/>
          <w:tab w:leader="none" w:pos="4600" w:val="left"/>
          <w:tab w:leader="none" w:pos="70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-13970</wp:posOffset>
            </wp:positionV>
            <wp:extent cx="5344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4160" cy="8890"/>
                    </a:xfrm>
                    <a:prstGeom prst="rect">
                      <a:avLst/>
                    </a:prstGeom>
                    <a:noFill/>
                  </pic:spPr>
                </pic:pic>
              </a:graphicData>
            </a:graphic>
          </wp:anchor>
        </w:drawing>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lvl w:ilvl="1">
      <w:lvlJc w:val="left"/>
      <w:lvlText w:val="%2)"/>
      <w:numFmt w:val="decimal"/>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4"/>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2"/>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1."/>
      <w:numFmt w:val="decimal"/>
      <w:start w:val="1"/>
    </w:lvl>
    <w:lvl w:ilvl="1">
      <w:lvlJc w:val="left"/>
      <w:lvlText w:val="%2."/>
      <w:numFmt w:val="lowerLetter"/>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5"/>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decimal"/>
      <w:start w:val="4"/>
    </w:lvl>
  </w:abstractNum>
  <w:abstractNum w:abstractNumId="20">
    <w:nsid w:val="70A64E2A"/>
    <w:multiLevelType w:val="hybridMultilevel"/>
    <w:lvl w:ilvl="0">
      <w:lvlJc w:val="left"/>
      <w:lvlText w:val="%1"/>
      <w:numFmt w:val="decimal"/>
      <w:start w:val="1"/>
    </w:lvl>
    <w:lvl w:ilvl="1">
      <w:lvlJc w:val="left"/>
      <w:lvlText w:val="(%2)"/>
      <w:numFmt w:val="lowerLetter"/>
      <w:start w:val="1"/>
    </w:lvl>
  </w:abstractNum>
  <w:abstractNum w:abstractNumId="21">
    <w:nsid w:val="6A2342EC"/>
    <w:multiLevelType w:val="hybridMultilevel"/>
    <w:lvl w:ilvl="0">
      <w:lvlJc w:val="left"/>
      <w:lvlText w:val="(%1)"/>
      <w:numFmt w:val="decimal"/>
      <w:start w:val="3"/>
    </w:lvl>
    <w:lvl w:ilvl="1">
      <w:lvlJc w:val="left"/>
      <w:lvlText w:val="(%2)"/>
      <w:numFmt w:val="lowerLetter"/>
      <w:start w:val="2"/>
    </w:lvl>
  </w:abstractNum>
  <w:abstractNum w:abstractNumId="22">
    <w:nsid w:val="2A487CB0"/>
    <w:multiLevelType w:val="hybridMultilevel"/>
    <w:lvl w:ilvl="0">
      <w:lvlJc w:val="left"/>
      <w:lvlText w:val="%1"/>
      <w:numFmt w:val="decimal"/>
      <w:start w:val="1"/>
    </w:lvl>
    <w:lvl w:ilvl="1">
      <w:lvlJc w:val="left"/>
      <w:lvlText w:val="(%2)"/>
      <w:numFmt w:val="lowerLetter"/>
      <w:start w:val="3"/>
    </w:lvl>
  </w:abstractNum>
  <w:abstractNum w:abstractNumId="23">
    <w:nsid w:val="1D4ED43B"/>
    <w:multiLevelType w:val="hybridMultilevel"/>
    <w:lvl w:ilvl="0">
      <w:lvlJc w:val="left"/>
      <w:lvlText w:val="(%1)"/>
      <w:numFmt w:val="decimal"/>
      <w:start w:val="2"/>
    </w:lvl>
    <w:lvl w:ilvl="1">
      <w:lvlJc w:val="left"/>
      <w:lvlText w:val="(%2)"/>
      <w:numFmt w:val="lowerLetter"/>
      <w:start w:val="4"/>
    </w:lvl>
  </w:abstractNum>
  <w:abstractNum w:abstractNumId="24">
    <w:nsid w:val="725A06FB"/>
    <w:multiLevelType w:val="hybridMultilevel"/>
    <w:lvl w:ilvl="0">
      <w:lvlJc w:val="left"/>
      <w:lvlText w:val="%1."/>
      <w:numFmt w:val="decimal"/>
      <w:start w:val="1"/>
    </w:lvl>
    <w:lvl w:ilvl="1">
      <w:lvlJc w:val="left"/>
      <w:lvlText w:val="(%2)"/>
      <w:numFmt w:val="lowerLetter"/>
      <w:start w:val="1"/>
    </w:lvl>
  </w:abstractNum>
  <w:abstractNum w:abstractNumId="25">
    <w:nsid w:val="2CD89A32"/>
    <w:multiLevelType w:val="hybridMultilevel"/>
    <w:lvl w:ilvl="0">
      <w:lvlJc w:val="left"/>
      <w:lvlText w:val="%1"/>
      <w:numFmt w:val="lowerLetter"/>
      <w:start w:val="1"/>
    </w:lvl>
    <w:lvl w:ilvl="1">
      <w:lvlJc w:val="left"/>
      <w:lvlText w:val="(%2)"/>
      <w:numFmt w:val="lowerLetter"/>
      <w:start w:val="9"/>
    </w:lvl>
  </w:abstractNum>
  <w:abstractNum w:abstractNumId="26">
    <w:nsid w:val="57E4CCAF"/>
    <w:multiLevelType w:val="hybridMultilevel"/>
    <w:lvl w:ilvl="0">
      <w:lvlJc w:val="left"/>
      <w:lvlText w:val="(%1)"/>
      <w:numFmt w:val="lowerLetter"/>
      <w:start w:val="61"/>
    </w:lvl>
    <w:lvl w:ilvl="1">
      <w:lvlJc w:val="left"/>
      <w:lvlText w:val="(%2)"/>
      <w:numFmt w:val="lowerLetter"/>
      <w:start w:val="10"/>
    </w:lvl>
  </w:abstractNum>
  <w:abstractNum w:abstractNumId="27">
    <w:nsid w:val="7A6D8D3C"/>
    <w:multiLevelType w:val="hybridMultilevel"/>
    <w:lvl w:ilvl="0">
      <w:lvlJc w:val="left"/>
      <w:lvlText w:val="(%1)"/>
      <w:numFmt w:val="lowerLetter"/>
      <w:start w:val="35"/>
    </w:lvl>
    <w:lvl w:ilvl="1">
      <w:lvlJc w:val="left"/>
      <w:lvlText w:val="(%2)"/>
      <w:numFmt w:val="lowerLetter"/>
      <w:start w:val="12"/>
    </w:lvl>
  </w:abstractNum>
  <w:abstractNum w:abstractNumId="28">
    <w:nsid w:val="4B588F54"/>
    <w:multiLevelType w:val="hybridMultilevel"/>
    <w:lvl w:ilvl="0">
      <w:lvlJc w:val="left"/>
      <w:lvlText w:val="%1"/>
      <w:numFmt w:val="lowerLetter"/>
      <w:start w:val="1"/>
    </w:lvl>
    <w:lvl w:ilvl="1">
      <w:lvlJc w:val="left"/>
      <w:lvlText w:val="(%2)"/>
      <w:numFmt w:val="lowerLetter"/>
      <w:start w:val="23"/>
    </w:lvl>
  </w:abstractNum>
  <w:abstractNum w:abstractNumId="29">
    <w:nsid w:val="542289EC"/>
    <w:multiLevelType w:val="hybridMultilevel"/>
    <w:lvl w:ilvl="0">
      <w:lvlJc w:val="left"/>
      <w:lvlText w:val="(%1)"/>
      <w:numFmt w:val="lowerLetter"/>
      <w:start w:val="35"/>
    </w:lvl>
    <w:lvl w:ilvl="1">
      <w:lvlJc w:val="left"/>
      <w:lvlText w:val="(%2)"/>
      <w:numFmt w:val="lowerLetter"/>
      <w:start w:val="24"/>
    </w:lvl>
  </w:abstractNum>
  <w:abstractNum w:abstractNumId="30">
    <w:nsid w:val="6DE91B18"/>
    <w:multiLevelType w:val="hybridMultilevel"/>
    <w:lvl w:ilvl="0">
      <w:lvlJc w:val="left"/>
      <w:lvlText w:val="(%1)"/>
      <w:numFmt w:val="lowerLetter"/>
      <w:start w:val="27"/>
    </w:lvl>
  </w:abstractNum>
  <w:abstractNum w:abstractNumId="31">
    <w:nsid w:val="38437FDB"/>
    <w:multiLevelType w:val="hybridMultilevel"/>
    <w:lvl w:ilvl="0">
      <w:lvlJc w:val="left"/>
      <w:lvlText w:val="%1"/>
      <w:numFmt w:val="decimal"/>
      <w:start w:val="1"/>
    </w:lvl>
    <w:lvl w:ilvl="1">
      <w:lvlJc w:val="left"/>
      <w:lvlText w:val="(%2)"/>
      <w:numFmt w:val="lowerLetter"/>
      <w:start w:val="34"/>
    </w:lvl>
  </w:abstractNum>
  <w:abstractNum w:abstractNumId="32">
    <w:nsid w:val="7644A45C"/>
    <w:multiLevelType w:val="hybridMultilevel"/>
    <w:lvl w:ilvl="0">
      <w:lvlJc w:val="left"/>
      <w:lvlText w:val="%1."/>
      <w:numFmt w:val="decimal"/>
      <w:start w:val="3"/>
    </w:lvl>
    <w:lvl w:ilvl="1">
      <w:lvlJc w:val="left"/>
      <w:lvlText w:val="(%2)"/>
      <w:numFmt w:val="lowerLetter"/>
      <w:start w:val="1"/>
    </w:lvl>
  </w:abstractNum>
  <w:abstractNum w:abstractNumId="33">
    <w:nsid w:val="32FFF902"/>
    <w:multiLevelType w:val="hybridMultilevel"/>
    <w:lvl w:ilvl="0">
      <w:lvlJc w:val="left"/>
      <w:lvlText w:val="%1"/>
      <w:numFmt w:val="decimal"/>
      <w:start w:val="1"/>
    </w:lvl>
    <w:lvl w:ilvl="1">
      <w:lvlJc w:val="left"/>
      <w:lvlText w:val="(%2)"/>
      <w:numFmt w:val="lowerLetter"/>
      <w:start w:val="2"/>
    </w:lvl>
  </w:abstractNum>
  <w:abstractNum w:abstractNumId="34">
    <w:nsid w:val="684A481A"/>
    <w:multiLevelType w:val="hybridMultilevel"/>
    <w:lvl w:ilvl="0">
      <w:lvlJc w:val="left"/>
      <w:lvlText w:val="(%1)"/>
      <w:numFmt w:val="decimal"/>
      <w:start w:val="1"/>
    </w:lvl>
    <w:lvl w:ilvl="1">
      <w:lvlJc w:val="left"/>
      <w:lvlText w:val="(%2)"/>
      <w:numFmt w:val="lowerLetter"/>
      <w:start w:val="3"/>
    </w:lvl>
  </w:abstractNum>
  <w:abstractNum w:abstractNumId="35">
    <w:nsid w:val="579478F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6">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7">
    <w:nsid w:val="3DC240F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8">
    <w:nsid w:val="1BA026F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9">
    <w:nsid w:val="79A1DEA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0">
    <w:nsid w:val="75C6C33A"/>
    <w:multiLevelType w:val="hybridMultilevel"/>
    <w:lvl w:ilvl="0">
      <w:lvlJc w:val="left"/>
      <w:lvlText w:val="(%1)"/>
      <w:numFmt w:val="lowerLetter"/>
      <w:start w:val="3"/>
    </w:lvl>
    <w:lvl w:ilvl="1">
      <w:lvlJc w:val="left"/>
      <w:lvlText w:val="(%2)"/>
      <w:numFmt w:val="lowerRoman"/>
      <w:start w:val="1"/>
    </w:lvl>
  </w:abstractNum>
  <w:abstractNum w:abstractNumId="41">
    <w:nsid w:val="12E685FB"/>
    <w:multiLevelType w:val="hybridMultilevel"/>
    <w:lvl w:ilvl="0">
      <w:lvlJc w:val="left"/>
      <w:lvlText w:val="%1"/>
      <w:numFmt w:val="lowerLetter"/>
      <w:start w:val="1"/>
    </w:lvl>
    <w:lvl w:ilvl="1">
      <w:lvlJc w:val="left"/>
      <w:lvlText w:val="(%2)"/>
      <w:numFmt w:val="lowerRoman"/>
      <w:start w:val="2"/>
    </w:lvl>
  </w:abstractNum>
  <w:abstractNum w:abstractNumId="42">
    <w:nsid w:val="70C6A529"/>
    <w:multiLevelType w:val="hybridMultilevel"/>
    <w:lvl w:ilvl="0">
      <w:lvlJc w:val="left"/>
      <w:lvlText w:val="(%1)"/>
      <w:numFmt w:val="lowerLetter"/>
      <w:start w:val="5"/>
    </w:lvl>
    <w:lvl w:ilvl="1">
      <w:lvlJc w:val="left"/>
      <w:lvlText w:val="(%2)"/>
      <w:numFmt w:val="lowerRoman"/>
      <w:start w:val="1"/>
    </w:lvl>
  </w:abstractNum>
  <w:abstractNum w:abstractNumId="43">
    <w:nsid w:val="520EEDD1"/>
    <w:multiLevelType w:val="hybridMultilevel"/>
    <w:lvl w:ilvl="0">
      <w:lvlJc w:val="left"/>
      <w:lvlText w:val="%1"/>
      <w:numFmt w:val="lowerLetter"/>
      <w:start w:val="1"/>
    </w:lvl>
    <w:lvl w:ilvl="1">
      <w:lvlJc w:val="left"/>
      <w:lvlText w:val="(%2)"/>
      <w:numFmt w:val="lowerLetter"/>
      <w:start w:val="61"/>
    </w:lvl>
  </w:abstractNum>
  <w:abstractNum w:abstractNumId="44">
    <w:nsid w:val="374A3FE6"/>
    <w:multiLevelType w:val="hybridMultilevel"/>
    <w:lvl w:ilvl="0">
      <w:lvlJc w:val="left"/>
      <w:lvlText w:val="(%1)"/>
      <w:numFmt w:val="lowerLetter"/>
      <w:start w:val="6"/>
    </w:lvl>
    <w:lvl w:ilvl="1">
      <w:lvlJc w:val="left"/>
      <w:lvlText w:val="%2"/>
      <w:numFmt w:val="lowerLetter"/>
      <w:start w:val="1"/>
    </w:lvl>
  </w:abstractNum>
  <w:abstractNum w:abstractNumId="45">
    <w:nsid w:val="4F4EF005"/>
    <w:multiLevelType w:val="hybridMultilevel"/>
    <w:lvl w:ilvl="0">
      <w:lvlJc w:val="left"/>
      <w:lvlText w:val="%1."/>
      <w:numFmt w:val="decimal"/>
      <w:start w:val="7"/>
    </w:lvl>
    <w:lvl w:ilvl="1">
      <w:lvlJc w:val="left"/>
      <w:lvlText w:val="(%2)"/>
      <w:numFmt w:val="lowerLetter"/>
      <w:start w:val="1"/>
    </w:lvl>
  </w:abstractNum>
  <w:abstractNum w:abstractNumId="46">
    <w:nsid w:val="23F9C13C"/>
    <w:multiLevelType w:val="hybridMultilevel"/>
    <w:lvl w:ilvl="0">
      <w:lvlJc w:val="left"/>
      <w:lvlText w:val="%1"/>
      <w:numFmt w:val="decimal"/>
      <w:start w:val="1"/>
    </w:lvl>
    <w:lvl w:ilvl="1">
      <w:lvlJc w:val="left"/>
      <w:lvlText w:val="(%2)"/>
      <w:numFmt w:val="lowerLetter"/>
      <w:start w:val="5"/>
    </w:lvl>
  </w:abstractNum>
  <w:abstractNum w:abstractNumId="47">
    <w:nsid w:val="649BB77C"/>
    <w:multiLevelType w:val="hybridMultilevel"/>
    <w:lvl w:ilvl="0">
      <w:lvlJc w:val="left"/>
      <w:lvlText w:val="%1."/>
      <w:numFmt w:val="decimal"/>
      <w:start w:val="8"/>
    </w:lvl>
    <w:lvl w:ilvl="1">
      <w:lvlJc w:val="left"/>
      <w:lvlText w:val="(%2)"/>
      <w:numFmt w:val="lowerLetter"/>
      <w:start w:val="1"/>
    </w:lvl>
  </w:abstractNum>
  <w:abstractNum w:abstractNumId="48">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lvl w:ilvl="3">
      <w:lvlJc w:val="left"/>
      <w:lvlText w:val="%4"/>
      <w:numFmt w:val="upperLetter"/>
      <w:start w:val="1"/>
    </w:lvl>
    <w:lvl w:ilvl="4">
      <w:lvlJc w:val="left"/>
      <w:lvlText w:val="%5"/>
      <w:numFmt w:val="lowerRoman"/>
      <w:start w:val="1"/>
    </w:lvl>
  </w:abstractNum>
  <w:abstractNum w:abstractNumId="49">
    <w:nsid w:val="39386575"/>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5)"/>
      <w:numFmt w:val="lowerRoman"/>
      <w:start w:val="1"/>
    </w:lvl>
  </w:abstractNum>
  <w:abstractNum w:abstractNumId="50">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5)"/>
      <w:numFmt w:val="lowerRoman"/>
      <w:start w:val="2"/>
    </w:lvl>
  </w:abstractNum>
  <w:abstractNum w:abstractNumId="51">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2">
    <w:nsid w:val="235BA86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3">
    <w:nsid w:val="47398C89"/>
    <w:multiLevelType w:val="hybridMultilevel"/>
    <w:lvl w:ilvl="0">
      <w:lvlJc w:val="left"/>
      <w:lvlText w:val="(%1)"/>
      <w:numFmt w:val="lowerLetter"/>
      <w:start w:val="3"/>
    </w:lvl>
    <w:lvl w:ilvl="1">
      <w:lvlJc w:val="left"/>
      <w:lvlText w:val="(%2)"/>
      <w:numFmt w:val="upperLetter"/>
      <w:start w:val="2"/>
    </w:lvl>
    <w:lvl w:ilvl="2">
      <w:lvlJc w:val="left"/>
      <w:lvlText w:val="(%3)"/>
      <w:numFmt w:val="lowerLetter"/>
      <w:start w:val="9"/>
    </w:lvl>
  </w:abstractNum>
  <w:abstractNum w:abstractNumId="54">
    <w:nsid w:val="354FE9F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55">
    <w:nsid w:val="15B5AF5C"/>
    <w:multiLevelType w:val="hybridMultilevel"/>
    <w:lvl w:ilvl="0">
      <w:lvlJc w:val="left"/>
      <w:lvlText w:val="(%1)"/>
      <w:numFmt w:val="lowerRoman"/>
      <w:start w:val="3"/>
    </w:lvl>
  </w:abstractNum>
  <w:abstractNum w:abstractNumId="56">
    <w:nsid w:val="741226BB"/>
    <w:multiLevelType w:val="hybridMultilevel"/>
    <w:lvl w:ilvl="0">
      <w:lvlJc w:val="left"/>
      <w:lvlText w:val="%1"/>
      <w:numFmt w:val="lowerLetter"/>
      <w:start w:val="1"/>
    </w:lvl>
    <w:lvl w:ilvl="1">
      <w:lvlJc w:val="left"/>
      <w:lvlText w:val="(%2)"/>
      <w:numFmt w:val="lowerLetter"/>
      <w:start w:val="4"/>
    </w:lvl>
  </w:abstractNum>
  <w:abstractNum w:abstractNumId="57">
    <w:nsid w:val="D34B6A8"/>
    <w:multiLevelType w:val="hybridMultilevel"/>
    <w:lvl w:ilvl="0">
      <w:lvlJc w:val="left"/>
      <w:lvlText w:val="(%1)"/>
      <w:numFmt w:val="lowerLetter"/>
      <w:start w:val="9"/>
    </w:lvl>
    <w:lvl w:ilvl="1">
      <w:lvlJc w:val="left"/>
      <w:lvlText w:val="(%2)"/>
      <w:numFmt w:val="lowerLetter"/>
      <w:start w:val="7"/>
    </w:lvl>
  </w:abstractNum>
  <w:abstractNum w:abstractNumId="58">
    <w:nsid w:val="10233C99"/>
    <w:multiLevelType w:val="hybridMultilevel"/>
    <w:lvl w:ilvl="0">
      <w:lvlJc w:val="left"/>
      <w:lvlText w:val="(%1)"/>
      <w:numFmt w:val="lowerLetter"/>
      <w:start w:val="8"/>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1)"/>
      <w:numFmt w:val="decimal"/>
      <w:start w:val="7"/>
    </w:lvl>
    <w:lvl w:ilvl="1">
      <w:lvlJc w:val="left"/>
      <w:lvlText w:val="☐"/>
      <w:numFmt w:val="bullet"/>
      <w:start w:val="1"/>
    </w:lvl>
  </w:abstractNum>
  <w:abstractNum w:abstractNumId="61">
    <w:nsid w:val="7E0C57B1"/>
    <w:multiLevelType w:val="hybridMultilevel"/>
    <w:lvl w:ilvl="0">
      <w:lvlJc w:val="left"/>
      <w:lvlText w:val="%1."/>
      <w:numFmt w:val="decimal"/>
      <w:start w:val="1"/>
    </w:lvl>
    <w:lvl w:ilvl="1">
      <w:lvlJc w:val="left"/>
      <w:lvlText w:val="☐"/>
      <w:numFmt w:val="bullet"/>
      <w:start w:val="1"/>
    </w:lvl>
  </w:abstractNum>
  <w:abstractNum w:abstractNumId="62">
    <w:nsid w:val="77AE35E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2019-12-20T17:49:53Z</dcterms:created>
  <dcterms:modified xsi:type="dcterms:W3CDTF">2019-12-20T17:49:53Z</dcterms:modified>
</cp:coreProperties>
</file>