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1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780" w:hanging="254"/>
        <w:spacing w:after="0" w:line="277"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80" w:right="500" w:hanging="272"/>
        <w:spacing w:after="0" w:line="306" w:lineRule="auto"/>
        <w:tabs>
          <w:tab w:leader="none" w:pos="2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780" w:hanging="254"/>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494030</wp:posOffset>
            </wp:positionH>
            <wp:positionV relativeFrom="paragraph">
              <wp:posOffset>-3217545</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-2882900</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-2402840</wp:posOffset>
            </wp:positionV>
            <wp:extent cx="6757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-2042795</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-1682750</wp:posOffset>
            </wp:positionV>
            <wp:extent cx="6757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-850900</wp:posOffset>
            </wp:positionV>
            <wp:extent cx="675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-516255</wp:posOffset>
            </wp:positionV>
            <wp:extent cx="6757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-181610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782320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be held on August 13, 2015</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Notice is hereby given that the 2015 Annual Meeting of Stockholders of Destination XL Group, Inc. (the “Company”) will be held at the corporate offices of the Company, 555 Turnpike Street, Canton, Massachusetts 02021 at 9:00 A.M., local time, on Thursday, August 13, 2015 for the following purposes:</w:t>
      </w:r>
    </w:p>
    <w:p>
      <w:pPr>
        <w:spacing w:after="0" w:line="16" w:lineRule="exact"/>
        <w:rPr>
          <w:sz w:val="20"/>
          <w:szCs w:val="20"/>
          <w:color w:val="auto"/>
        </w:rPr>
      </w:pPr>
    </w:p>
    <w:p>
      <w:pPr>
        <w:ind w:left="760" w:right="460" w:hanging="37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ten directors to serve until the next Annual Meeting of Stockholders and until their respective successors have been duly elected and qualified.</w:t>
      </w:r>
    </w:p>
    <w:p>
      <w:pPr>
        <w:spacing w:after="0" w:line="62" w:lineRule="exact"/>
        <w:rPr>
          <w:rFonts w:ascii="Arial" w:cs="Arial" w:eastAsia="Arial" w:hAnsi="Arial"/>
          <w:sz w:val="18"/>
          <w:szCs w:val="18"/>
          <w:color w:val="auto"/>
        </w:rPr>
      </w:pPr>
    </w:p>
    <w:p>
      <w:pPr>
        <w:ind w:left="760" w:right="360" w:hanging="37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reapprove the performance measures under the 2006 Incentive Compensation Plan for purposes of, Section 162(m) of the Internal Revenue Code.</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30, 2016.</w:t>
      </w:r>
    </w:p>
    <w:p>
      <w:pPr>
        <w:spacing w:after="0" w:line="128" w:lineRule="exact"/>
        <w:rPr>
          <w:rFonts w:ascii="Arial" w:cs="Arial" w:eastAsia="Arial" w:hAnsi="Arial"/>
          <w:sz w:val="17"/>
          <w:szCs w:val="17"/>
          <w:color w:val="auto"/>
        </w:rPr>
      </w:pPr>
    </w:p>
    <w:p>
      <w:pPr>
        <w:ind w:left="760" w:hanging="37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ten nominees to serve as directors of the Company, (ii) FOR the reapproval of the material terms of the 2006 Incentive Compensation Plan, as amended, in order to preserve tax deductibility under Section 162(m) of the Internal Revenue Code, (iii) FOR the approval, on an advisory basis, of named executive officer compensation, and (iv) FOR the ratification of the appointment of KPMG LLP as our independent registered public accounting firm for the fiscal year ending January 30, 2016.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copies of our Annual Report on Form 10-K for the fiscal year ended January 31, 2015.</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of Directors has fixed the close of business on June 25, 2015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25, 2015 will be available for inspection by any of our stockholders for any purpose germane to the Annual Meeting during normal business hours at our principal executive offices, 555 Turnpike Street, Canton, Massachusetts 02021, beginning on August 3, 2015 and at the Annual Meeting.</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of record at the close of business on the record date, whose shares are registered directly in their name, and not in the name of a broker or other nominee, may vote their shares in person at the Annual Meeting, even though they have sent in proxies.</w:t>
      </w:r>
    </w:p>
    <w:p>
      <w:pPr>
        <w:spacing w:after="0" w:line="7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S. MOLLOY</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Canton,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July 2,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13,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2015 Annual Report to Stockholders are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103" w:lineRule="exact"/>
        <w:rPr>
          <w:sz w:val="20"/>
          <w:szCs w:val="20"/>
          <w:color w:val="auto"/>
        </w:rPr>
      </w:pPr>
    </w:p>
    <w:p>
      <w:pPr>
        <w:jc w:val="both"/>
        <w:ind w:left="260" w:right="240"/>
        <w:spacing w:after="0" w:line="264"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(1) give written notice of revocation to the Secretary of the Company at 555 Turnpike Street, Canton, Massachusetts 02021, prior to the vote to be taken at the Annual Meeting, (2) lodge a later-dated proxy or (3)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60" w:type="dxa"/>
            <w:vAlign w:val="bottom"/>
            <w:gridSpan w:val="5"/>
          </w:tcPr>
          <w:p>
            <w:pPr>
              <w:ind w:left="48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98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Use of Proxies</w:t>
              </w:r>
            </w:hyperlink>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80" w:type="dxa"/>
            <w:vAlign w:val="bottom"/>
            <w:gridSpan w:val="17"/>
            <w:vMerge w:val="continue"/>
          </w:tcPr>
          <w:p>
            <w:pPr>
              <w:spacing w:after="0"/>
              <w:rPr>
                <w:sz w:val="14"/>
                <w:szCs w:val="14"/>
                <w:color w:val="auto"/>
              </w:rPr>
            </w:pPr>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Security Ownership</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Proposal 1: Election of Directors</w:t>
              </w:r>
            </w:hyperlink>
          </w:p>
        </w:tc>
        <w:tc>
          <w:tcPr>
            <w:tcW w:w="8600" w:type="dxa"/>
            <w:vAlign w:val="bottom"/>
            <w:gridSpan w:val="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Committees of the Board</w:t>
              </w:r>
            </w:hyperlink>
          </w:p>
        </w:tc>
        <w:tc>
          <w:tcPr>
            <w:tcW w:w="9140" w:type="dxa"/>
            <w:vAlign w:val="bottom"/>
            <w:gridSpan w:val="10"/>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Director Compensation</w:t>
              </w:r>
            </w:hyperlink>
          </w:p>
        </w:tc>
        <w:tc>
          <w:tcPr>
            <w:tcW w:w="9280" w:type="dxa"/>
            <w:vAlign w:val="bottom"/>
            <w:gridSpan w:val="1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Discussion and Analysis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Executive Compensation</w:t>
              </w:r>
            </w:hyperlink>
          </w:p>
        </w:tc>
        <w:tc>
          <w:tcPr>
            <w:tcW w:w="1040" w:type="dxa"/>
            <w:vAlign w:val="bottom"/>
            <w:tcBorders>
              <w:top w:val="single" w:sz="8" w:color="0000EE"/>
            </w:tcBorders>
            <w:gridSpan w:val="4"/>
          </w:tcPr>
          <w:p>
            <w:pPr>
              <w:spacing w:after="0"/>
              <w:rPr>
                <w:sz w:val="17"/>
                <w:szCs w:val="17"/>
                <w:color w:val="auto"/>
              </w:rPr>
            </w:pPr>
          </w:p>
        </w:tc>
        <w:tc>
          <w:tcPr>
            <w:tcW w:w="8120" w:type="dxa"/>
            <w:vAlign w:val="bottom"/>
            <w:gridSpan w:val="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Proposal 2: Reapproval of the Performance Measures Under the 2006 Incentive Compensation Plan for Purposes</w:t>
              </w:r>
            </w:hyperlink>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of Section 162(m) of the Internal Revenue Code</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Proposal 3: Advisory Vote to Approve Named Executive Officer Compensation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Proposal 4: Ratification of Appointment of Independent Registered Public Accounting Firm</w:t>
              </w:r>
            </w:hyperlink>
          </w:p>
        </w:tc>
        <w:tc>
          <w:tcPr>
            <w:tcW w:w="434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Report of the Audit Committee</w:t>
              </w:r>
            </w:hyperlink>
          </w:p>
        </w:tc>
        <w:tc>
          <w:tcPr>
            <w:tcW w:w="8720" w:type="dxa"/>
            <w:vAlign w:val="bottom"/>
            <w:gridSpan w:val="9"/>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Delivery of Documents to Stockholders Sharing an Address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Stockholder Proposals</w:t>
              </w:r>
            </w:hyperlink>
          </w:p>
        </w:tc>
        <w:tc>
          <w:tcPr>
            <w:tcW w:w="666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Other Matters</w:t>
              </w:r>
            </w:hyperlink>
          </w:p>
        </w:tc>
        <w:tc>
          <w:tcPr>
            <w:tcW w:w="580" w:type="dxa"/>
            <w:vAlign w:val="bottom"/>
            <w:tcBorders>
              <w:top w:val="single" w:sz="8" w:color="0000EE"/>
            </w:tcBorders>
            <w:gridSpan w:val="2"/>
          </w:tcPr>
          <w:p>
            <w:pPr>
              <w:spacing w:after="0"/>
              <w:rPr>
                <w:sz w:val="17"/>
                <w:szCs w:val="17"/>
                <w:color w:val="auto"/>
              </w:rPr>
            </w:pPr>
          </w:p>
        </w:tc>
        <w:tc>
          <w:tcPr>
            <w:tcW w:w="9340" w:type="dxa"/>
            <w:vAlign w:val="bottom"/>
            <w:gridSpan w:val="1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0980" w:type="dxa"/>
            <w:vAlign w:val="bottom"/>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Appendix A – Destination XL Group, Inc. 2006 Incentive Compensation Plan, as amended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243"/>
        </w:trPr>
        <w:tc>
          <w:tcPr>
            <w:tcW w:w="220" w:type="dxa"/>
            <w:vAlign w:val="bottom"/>
            <w:tcBorders>
              <w:top w:val="single" w:sz="8" w:color="0000EE"/>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420" w:type="dxa"/>
            <w:vAlign w:val="bottom"/>
            <w:tcBorders>
              <w:top w:val="single" w:sz="8" w:color="0000EE"/>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13,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PROXIES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July 2, 2015, in connection with the solicitation by the Board of Directors of Destination XL Group, Inc. (the “Company”) of proxies to be used at the Annual Meeting of Stockholders, to be held at the Company’s corporate headquarters located at 555 Turnpike Street, Canton, Massachusetts 02021 at 9:00 A.M., local time, on Thursday, August 13, 2015 and at any and all adjournments thereof (the “Annual Meeting”). When proxies are returned properly executed, the shares represented will be voted in accordance with the stockholders’ instructions.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Stockholders are encouraged to vote on the matters to be considered. However, if no instructions have been specified by a stockholder, the shares covered by an executed proxy will be voted (i) FOR the election of all ten nominees to serve as directors of the Company, (ii) FOR the reapproval of the material terms of the 2006 Incentive Compensation Plan, as amended, in order to preserve tax deductibility under Section 162(m) of the Internal Revenue Code, (iii) FOR the approval, on an advisory basis, of named executive officer compensation, (iv) FOR the ratification of the appointment of KPMG LLP as our independent registered public accounting firm, for the fiscal year ending January 30, 2016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25, 2015, the record date for the Annual Meeting, will be entitled to notice of, and to vote at, the Annual Meeting. On that date, there were 50,747,684 shares of common stock issued and outstanding, excluding shares held by the Company in treasury. Each share is entitled to one vote at the Annual Meeting.</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majority of the votes properly cast is required for approval of all matters. However, as described in more detail in Proposal 3, Proposal 3 is an advisory vote and non-binding.</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order to carry on the business of the Annual Meeting, we must have a quorum. This means at least a majority of the outstanding shares of common stock eligible to vote must be represented at the Annual Meeting, either by proxy or in person. Treasury shares, which are shares owned by the Company itself, are not voted and do not count for this purpose. Abstentions and broker “non-votes” will be counted as present or represented at the Annual Meeting for purposes of determining the presence or absence of a quorum. A broker “non-vote” occurs when a broker or other nominee who holds shares for a beneficial owner withholds its vote on a particular proposal with respect to which it does not have discretionary voting power or instructions from the beneficial owner. A bank or broker does not have discretion to vote uninstructed shares on the proposals in this Proxy Statement, except for Proposal 4 to ratify the appointment of our independent registered public accounting firm, which is considered a “routine” proposal. As a result, if you hold your shares in street name, it is critical that you provide instructions to your bank or broker if you want your vote to count in the election of directors, the re-approval of the material terms of the 2006 Incentive Compensation Plan, as amended, and the advisory votes related to executive compensation. Votes will be tabulated by our transfer agent subject to the supervision of persons designated by the Board of Directors as inspectors.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15, 2015. We were informed that, except as indicated, each person has sole voting and investment power with respect to all shares of our common stock shown as beneficially owned by such person, subject to community property laws where applicable.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6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Owned</w:t>
            </w: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Class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360" w:type="dxa"/>
            <w:vAlign w:val="bottom"/>
            <w:vMerge w:val="continue"/>
            <w:shd w:val="clear" w:color="auto" w:fill="CFF0FC"/>
          </w:tcPr>
          <w:p>
            <w:pPr>
              <w:spacing w:after="0"/>
              <w:rPr>
                <w:sz w:val="18"/>
                <w:szCs w:val="18"/>
                <w:color w:val="auto"/>
              </w:rPr>
            </w:pPr>
          </w:p>
        </w:tc>
        <w:tc>
          <w:tcPr>
            <w:tcW w:w="1360" w:type="dxa"/>
            <w:vAlign w:val="bottom"/>
            <w:shd w:val="clear" w:color="auto" w:fill="CFF0FC"/>
          </w:tcPr>
          <w:p>
            <w:pPr>
              <w:ind w:left="640"/>
              <w:spacing w:after="0"/>
              <w:rPr>
                <w:sz w:val="20"/>
                <w:szCs w:val="20"/>
                <w:color w:val="auto"/>
              </w:rPr>
            </w:pPr>
            <w:r>
              <w:rPr>
                <w:rFonts w:ascii="Arial" w:cs="Arial" w:eastAsia="Arial" w:hAnsi="Arial"/>
                <w:sz w:val="17"/>
                <w:szCs w:val="17"/>
                <w:color w:val="auto"/>
                <w:w w:val="72"/>
              </w:rPr>
              <w:t>7,543,621(2)</w:t>
            </w:r>
          </w:p>
        </w:tc>
        <w:tc>
          <w:tcPr>
            <w:tcW w:w="3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RMCP GP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10100 Santa Monica Boulevard, Suite 925</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66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6,933,640(3)</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100 South Fifth Street</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Suite 2300</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640" w:type="dxa"/>
            <w:vAlign w:val="bottom"/>
          </w:tcPr>
          <w:p>
            <w:pPr>
              <w:spacing w:after="0"/>
              <w:rPr>
                <w:sz w:val="10"/>
                <w:szCs w:val="10"/>
                <w:color w:val="auto"/>
              </w:rPr>
            </w:pPr>
          </w:p>
        </w:tc>
        <w:tc>
          <w:tcPr>
            <w:tcW w:w="2060" w:type="dxa"/>
            <w:vAlign w:val="bottom"/>
            <w:gridSpan w:val="3"/>
          </w:tcPr>
          <w:p>
            <w:pPr>
              <w:spacing w:after="0"/>
              <w:rPr>
                <w:sz w:val="10"/>
                <w:szCs w:val="10"/>
                <w:color w:val="auto"/>
              </w:rPr>
            </w:pPr>
          </w:p>
        </w:tc>
        <w:tc>
          <w:tcPr>
            <w:tcW w:w="17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5,181,520(4)</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Advisors,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Glenhill Capital Management, LLC</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Glenhill Capital Overseas Master Fund, LP</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2060" w:type="dxa"/>
            <w:vAlign w:val="bottom"/>
            <w:gridSpan w:val="3"/>
          </w:tcPr>
          <w:p>
            <w:pPr>
              <w:ind w:left="1000"/>
              <w:spacing w:after="0"/>
              <w:rPr>
                <w:sz w:val="20"/>
                <w:szCs w:val="20"/>
                <w:color w:val="auto"/>
              </w:rPr>
            </w:pPr>
            <w:r>
              <w:rPr>
                <w:rFonts w:ascii="Arial" w:cs="Arial" w:eastAsia="Arial" w:hAnsi="Arial"/>
                <w:sz w:val="18"/>
                <w:szCs w:val="18"/>
                <w:color w:val="auto"/>
              </w:rPr>
              <w:t>4,475,658(5)</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Wilkes Barre, Pennsylvania 18702</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40" w:type="dxa"/>
            <w:vAlign w:val="bottom"/>
          </w:tcPr>
          <w:p>
            <w:pPr>
              <w:spacing w:after="0"/>
              <w:rPr>
                <w:sz w:val="21"/>
                <w:szCs w:val="21"/>
                <w:color w:val="auto"/>
              </w:rPr>
            </w:pPr>
          </w:p>
        </w:tc>
        <w:tc>
          <w:tcPr>
            <w:tcW w:w="2060" w:type="dxa"/>
            <w:vAlign w:val="bottom"/>
            <w:gridSpan w:val="3"/>
          </w:tcPr>
          <w:p>
            <w:pPr>
              <w:spacing w:after="0"/>
              <w:rPr>
                <w:sz w:val="21"/>
                <w:szCs w:val="21"/>
                <w:color w:val="auto"/>
              </w:rPr>
            </w:pPr>
          </w:p>
        </w:tc>
        <w:tc>
          <w:tcPr>
            <w:tcW w:w="1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Piper Jaffray Companies</w:t>
            </w:r>
          </w:p>
        </w:tc>
        <w:tc>
          <w:tcPr>
            <w:tcW w:w="206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3,257,203(6)</w:t>
            </w: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800 Nicollet Mall Suite 800</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Minneapolis, Minnesota 55402</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69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0" w:lineRule="exact"/>
        <w:rPr>
          <w:sz w:val="20"/>
          <w:szCs w:val="20"/>
          <w:color w:val="auto"/>
        </w:rPr>
      </w:pPr>
    </w:p>
    <w:p>
      <w:pPr>
        <w:ind w:left="760" w:right="40" w:hanging="372"/>
        <w:spacing w:after="0" w:line="282"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50,747,684 shares of our common stock outstanding as of June 15, 2015, plus securities deemed to be outstanding with respect to individual stockholders pursuant to Rule 13d-3(d)(1) under the Securities Exchange Act of 1934, as amended (the “Exchange Act”).</w:t>
      </w:r>
    </w:p>
    <w:p>
      <w:pPr>
        <w:spacing w:after="0" w:line="3" w:lineRule="exact"/>
        <w:rPr>
          <w:rFonts w:ascii="Arial" w:cs="Arial" w:eastAsia="Arial" w:hAnsi="Arial"/>
          <w:sz w:val="15"/>
          <w:szCs w:val="15"/>
          <w:color w:val="auto"/>
        </w:rPr>
      </w:pPr>
    </w:p>
    <w:p>
      <w:pPr>
        <w:ind w:left="760" w:right="40" w:hanging="372"/>
        <w:spacing w:after="0" w:line="281" w:lineRule="auto"/>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a Form 4, dated June 2, 2015, 7,522,354 of these shares are held directly by Red Mountain Partners, L.P., a Delaware limited partnership (“RMP”), which has the sole power to vote or direct the vote, and the sole power to dispose or direct the disposition of such shares, and 11,267 of these shares are held directly by Red Mountain Capital Partners LLC, a Delaware limited liability company (“RMCP LLC”), which has the sole power to vote or direct the vote, and the sole power to dispose or direct the disposition of such shares. RMCP GP LLC, a Delaware limited liability company (“RMCP GP”), is the general partner of RMP. RMCP LLC is the managing member of RMCP GP. Red Mountain Capital Management, Inc., a Delaware corporation (“RMCM”), is the managing member of RMCP LLC. Willem Mesdag is the president, sole executive officer, sole director and sole shareholder of RMCM. Each of RMCP GP, RMCP LLC, RMCM and Mr. Mesdag, by virtue of their direct or indirect control of RMP, may be deemed to beneficially own some or all of the shares held by RMP. Each of RMCM and Mr. Mesdag, by virtue of their direct or indirect control of RMCP LLC, may be deemed to beneficially own some or all of the shares held by RMCP LLC. The shares reported as beneficially owned also include 10,000 shares subject to stock options exercisable within 60 days held directly by Mr. Mesdag.</w:t>
      </w:r>
    </w:p>
    <w:p>
      <w:pPr>
        <w:spacing w:after="0" w:line="5" w:lineRule="exact"/>
        <w:rPr>
          <w:rFonts w:ascii="Arial" w:cs="Arial" w:eastAsia="Arial" w:hAnsi="Arial"/>
          <w:sz w:val="15"/>
          <w:szCs w:val="15"/>
          <w:color w:val="auto"/>
        </w:rPr>
      </w:pPr>
    </w:p>
    <w:p>
      <w:pPr>
        <w:jc w:val="both"/>
        <w:ind w:left="760" w:right="20" w:hanging="372"/>
        <w:spacing w:after="0" w:line="276"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Amendment No. 6 to Schedule 13G, dated December 31, 2014, stating that RBC Global Asset Management (U.S.) Inc. (“RBC”) was the beneficial owner of the number of shares of common stock set forth opposite its name in the table. RBC indicated that it has shared dispositive power with respect to all these shares and shared voting power with respect to 4,583,653 of these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380" w:right="40" w:hanging="372"/>
        <w:spacing w:after="0" w:line="282"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Amendment No. 8 to Schedule 13G, dated May 14, 2015.. Of these shares, (i) Glenn J. Krevlin and Glenhill Advisors, LLC (“Glenhill Advisors”) each has sole dispositive power with respect to all of these shares, sole voting power with respect to 4,626,761 of these shares and shared voting power with respect to 554,759 of these shares; (ii) Glenhill Capital Advisors, LLC (“Glenhill Capital”) has shared disposition power and shared voting power with respect to all of these shares; (iii) Glenhill Capital Management LLC (“Glenhill Management”) has shared dispositive power with respect to 4,626,761 of these shares and shared voting power with respect to 4,626,761 of these shares; and Glenhill Capital Overseas Master Fund, LP (“Glenhill Overseas”) has shared dispositive power with respect to 2,908,936 of these shares and shared voting power with respect to 2,908,936 of these shares.</w:t>
      </w:r>
    </w:p>
    <w:p>
      <w:pPr>
        <w:spacing w:after="0" w:line="3" w:lineRule="exact"/>
        <w:rPr>
          <w:rFonts w:ascii="Arial" w:cs="Arial" w:eastAsia="Arial" w:hAnsi="Arial"/>
          <w:sz w:val="15"/>
          <w:szCs w:val="15"/>
          <w:color w:val="auto"/>
        </w:rPr>
      </w:pPr>
    </w:p>
    <w:p>
      <w:pPr>
        <w:ind w:left="380"/>
        <w:spacing w:after="0" w:line="281" w:lineRule="auto"/>
        <w:rPr>
          <w:rFonts w:ascii="Arial" w:cs="Arial" w:eastAsia="Arial" w:hAnsi="Arial"/>
          <w:sz w:val="15"/>
          <w:szCs w:val="15"/>
          <w:color w:val="auto"/>
        </w:rPr>
      </w:pPr>
      <w:r>
        <w:rPr>
          <w:rFonts w:ascii="Arial" w:cs="Arial" w:eastAsia="Arial" w:hAnsi="Arial"/>
          <w:sz w:val="15"/>
          <w:szCs w:val="15"/>
          <w:color w:val="auto"/>
        </w:rPr>
        <w:t>Mr. Krevlin is the managing member and control person of Glenhill Advisors and is the sole shareholder of Krevlin Management, Inc. Krevlin Management, Inc. is the managing member of Glenhill Capital, which is the investment manager of Glenhill Overseas, Glenhill Concentrated Long Master Fund LLC, and Glenhill Long Fund, LP, each (along with Mr. Krevlin) a security holder of the Company. Glenhill Advisors is the managing member of Glenhill Management. Glenhill Management is the managing member of Glenhill Concentrated Long Master Fund, LLC, and Glenhill Long Fund GP, LLC, and is sole shareholder of Glenhill Capital Overseas GP, Ltd. Glenhill Capital Overseas GP, Ltd. is the general partner of Glenhill Overseas. Glenhill Long GP, LCC is the general partner of Glenhill Long Fund, LP. Glenhill Capital is also the investment manager for certain third party accounts in which 554,759 of these are held and managed by one or more of Mr. Krevlin, Glenhill Advisors, Glenhill Capital, Glenhill Management and Glenhill Overseas for the benefit of such third parties.</w:t>
      </w:r>
    </w:p>
    <w:p>
      <w:pPr>
        <w:spacing w:after="0" w:line="4" w:lineRule="exact"/>
        <w:rPr>
          <w:rFonts w:ascii="Arial" w:cs="Arial" w:eastAsia="Arial" w:hAnsi="Arial"/>
          <w:sz w:val="15"/>
          <w:szCs w:val="15"/>
          <w:color w:val="auto"/>
        </w:rPr>
      </w:pP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a Form 4, dated April 8, 2013.</w:t>
      </w:r>
    </w:p>
    <w:p>
      <w:pPr>
        <w:spacing w:after="0" w:line="18" w:lineRule="exact"/>
        <w:rPr>
          <w:rFonts w:ascii="Arial" w:cs="Arial" w:eastAsia="Arial" w:hAnsi="Arial"/>
          <w:sz w:val="16"/>
          <w:szCs w:val="16"/>
          <w:color w:val="auto"/>
        </w:rPr>
      </w:pPr>
    </w:p>
    <w:p>
      <w:pPr>
        <w:ind w:left="380" w:right="140" w:hanging="372"/>
        <w:spacing w:after="0" w:line="295"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Amendment No. 1 to Schedule 13G, dated December 31, 2014, stating that Advisory Research, Inc., a wholly-owned subsidiary of Piper Jaffray Companies (“Piper Jaffray”), is the beneficial owner of the number of shares of common stock set forth opposite its name in the table. Piper Jaffray indicated that it has sole dispositive power with respect to all of these shares and sole voting power with respect to 4,101,701 of these shares. Piper Jaffray may be deemed to be the beneficial owner of these shares through of Advisory Research, Inc. However, Piper Jaffray disclaims beneficial ownership of such shares.</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46"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table sets forth certain information as of June 15, 2015, with respect to our directors, our Named Executive Officers (as defined below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Name and Title</w:t>
            </w:r>
          </w:p>
        </w:tc>
        <w:tc>
          <w:tcPr>
            <w:tcW w:w="320" w:type="dxa"/>
            <w:vAlign w:val="bottom"/>
            <w:vMerge w:val="restart"/>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Number of Shares</w:t>
            </w: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71"/>
        </w:trPr>
        <w:tc>
          <w:tcPr>
            <w:tcW w:w="76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36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Class (1)</w:t>
            </w:r>
          </w:p>
        </w:tc>
        <w:tc>
          <w:tcPr>
            <w:tcW w:w="3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3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4,475,658</w:t>
            </w:r>
          </w:p>
        </w:tc>
        <w:tc>
          <w:tcPr>
            <w:tcW w:w="3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Executive Chairman of the Board</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1,261,714(2)</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President and Director</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98,265(3)</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157,878(4)</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Merchandising Officer – Planning and Allocation</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218,384(5)</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Derrick Walker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126,657(6)</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Marketing Officer</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Alan S. Bernikow, Director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58,903(7)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111,263(7)</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Director and former Interim Chief Financial Officer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42,333(8)</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7,543,621(9)</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77,912(7)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128,172(10)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184,469(7)</w:t>
            </w:r>
          </w:p>
        </w:tc>
        <w:tc>
          <w:tcPr>
            <w:tcW w:w="17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24,984(11)</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15,496,427(12)</w:t>
            </w: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0"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 w:lineRule="exact"/>
        <w:rPr>
          <w:rFonts w:ascii="Arial" w:cs="Arial" w:eastAsia="Arial" w:hAnsi="Arial"/>
          <w:sz w:val="14"/>
          <w:szCs w:val="14"/>
          <w:color w:val="auto"/>
        </w:rPr>
      </w:pPr>
    </w:p>
    <w:p>
      <w:pPr>
        <w:ind w:left="580" w:right="120" w:hanging="381"/>
        <w:spacing w:after="0" w:line="262"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50,747,684 shares of our common stock outstanding as of June 15, 2015, plus securities deemed to be outstanding with respect to individual stockholders pursuant to Rule 13d-3(d)(1) under the Exchange Act.</w:t>
      </w:r>
    </w:p>
    <w:p>
      <w:pPr>
        <w:ind w:left="580" w:right="340" w:hanging="381"/>
        <w:spacing w:after="0" w:line="301" w:lineRule="auto"/>
        <w:tabs>
          <w:tab w:leader="none" w:pos="580" w:val="left"/>
        </w:tabs>
        <w:numPr>
          <w:ilvl w:val="1"/>
          <w:numId w:val="7"/>
        </w:numPr>
        <w:rPr>
          <w:rFonts w:ascii="Arial" w:cs="Arial" w:eastAsia="Arial" w:hAnsi="Arial"/>
          <w:sz w:val="14"/>
          <w:szCs w:val="14"/>
          <w:color w:val="auto"/>
        </w:rPr>
      </w:pPr>
      <w:r>
        <w:rPr>
          <w:rFonts w:ascii="Arial" w:cs="Arial" w:eastAsia="Arial" w:hAnsi="Arial"/>
          <w:sz w:val="14"/>
          <w:szCs w:val="14"/>
          <w:color w:val="auto"/>
        </w:rPr>
        <w:t>Includes 39,188 shares subject to stock options exercisable within 60 days, 128,762 shares of unvested restricted stock, 160,952 shares of unvested restricted stock subject to performance pursuant to the Long-Term Incentive Plan 2013-2016 (“LTIP 2013-2016”) and 3,539 shares held pursuant to his 401(k) Plan account.</w:t>
      </w:r>
    </w:p>
    <w:p>
      <w:pPr>
        <w:spacing w:after="0" w:line="1" w:lineRule="exact"/>
        <w:rPr>
          <w:rFonts w:ascii="Arial" w:cs="Arial" w:eastAsia="Arial" w:hAnsi="Arial"/>
          <w:sz w:val="14"/>
          <w:szCs w:val="14"/>
          <w:color w:val="auto"/>
        </w:rPr>
      </w:pPr>
    </w:p>
    <w:p>
      <w:pPr>
        <w:ind w:left="580" w:right="280" w:hanging="381"/>
        <w:spacing w:after="0" w:line="264"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15,350 shares subject to stock options exercisable within 60 days, 22,222 shares of unvested restricted stock and 27,777 shares of unvested restricted stock subject to performance pursuant to the LTIP 2013-2016.</w:t>
      </w:r>
    </w:p>
    <w:p>
      <w:pPr>
        <w:ind w:left="580" w:right="280" w:hanging="381"/>
        <w:spacing w:after="0" w:line="264"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20,990 shares subject to stock options exercisable within 60 days, 36,111 shares of unvested restricted stock and 45,138 shares of unvested restricted stock subject to performance pursuant to the LTIP 2013-2016.</w:t>
      </w:r>
    </w:p>
    <w:p>
      <w:pPr>
        <w:ind w:left="580" w:right="520" w:hanging="381"/>
        <w:spacing w:after="0" w:line="264"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45,551 shares subject to stock options exercisable within 60 days, 36,111 shares of unvested restricted stock, 45,138 shares of unvested restricted stock subject to performance pursuant to the LTIP 2013-2016 and 3,900 shares held pursuant to his 401(k) Plan account.</w:t>
      </w:r>
    </w:p>
    <w:p>
      <w:pPr>
        <w:ind w:left="580" w:right="280" w:hanging="381"/>
        <w:spacing w:after="0" w:line="264"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42,631 shares subject to stock options exercisable within 60 days, 30,556 shares of unvested restricted stock and 38,194 shares of unvested restricted stock subject to performance pursuant to the LTIP 2013-2016.</w:t>
      </w:r>
    </w:p>
    <w:p>
      <w:pPr>
        <w:ind w:left="580" w:hanging="381"/>
        <w:spacing w:after="0"/>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25,000 shares subject to stock options exercisable within 60 days.</w:t>
      </w:r>
    </w:p>
    <w:p>
      <w:pPr>
        <w:spacing w:after="0" w:line="18" w:lineRule="exact"/>
        <w:rPr>
          <w:rFonts w:ascii="Arial" w:cs="Arial" w:eastAsia="Arial" w:hAnsi="Arial"/>
          <w:sz w:val="16"/>
          <w:szCs w:val="16"/>
          <w:color w:val="auto"/>
        </w:rPr>
      </w:pPr>
    </w:p>
    <w:p>
      <w:pPr>
        <w:ind w:left="580" w:hanging="381"/>
        <w:spacing w:after="0"/>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40,609 shares subject to stock options exercisable within 60 days and excludes 16,486 shares of deferred stock.</w:t>
      </w:r>
    </w:p>
    <w:p>
      <w:pPr>
        <w:spacing w:after="0" w:line="18" w:lineRule="exact"/>
        <w:rPr>
          <w:rFonts w:ascii="Arial" w:cs="Arial" w:eastAsia="Arial" w:hAnsi="Arial"/>
          <w:sz w:val="16"/>
          <w:szCs w:val="16"/>
          <w:color w:val="auto"/>
        </w:rPr>
      </w:pPr>
    </w:p>
    <w:p>
      <w:pPr>
        <w:ind w:left="580" w:hanging="381"/>
        <w:spacing w:after="0"/>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See Note (2) to the “Security Ownership of Certain Beneficial Owners” table above for information regarding the beneficial ownership of these shares.</w:t>
      </w:r>
    </w:p>
    <w:p>
      <w:pPr>
        <w:spacing w:after="0" w:line="18" w:lineRule="exact"/>
        <w:rPr>
          <w:rFonts w:ascii="Arial" w:cs="Arial" w:eastAsia="Arial" w:hAnsi="Arial"/>
          <w:sz w:val="16"/>
          <w:szCs w:val="16"/>
          <w:color w:val="auto"/>
        </w:rPr>
      </w:pPr>
    </w:p>
    <w:p>
      <w:pPr>
        <w:ind w:left="580" w:right="200" w:hanging="381"/>
        <w:spacing w:after="0" w:line="264" w:lineRule="auto"/>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37,757 shares subject to stock options exercisable within 60 days and excludes 5,094 shares of deferred stock held by the George Porter Trust. Mr. Porter is the trustee of the trust and has all voting and investment rights.</w:t>
      </w:r>
    </w:p>
    <w:p>
      <w:pPr>
        <w:ind w:left="580" w:hanging="381"/>
        <w:spacing w:after="0"/>
        <w:tabs>
          <w:tab w:leader="none" w:pos="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w:t>
      </w:r>
    </w:p>
    <w:p>
      <w:pPr>
        <w:spacing w:after="0" w:line="18" w:lineRule="exact"/>
        <w:rPr>
          <w:rFonts w:ascii="Arial" w:cs="Arial" w:eastAsia="Arial" w:hAnsi="Arial"/>
          <w:sz w:val="16"/>
          <w:szCs w:val="16"/>
          <w:color w:val="auto"/>
        </w:rPr>
      </w:pPr>
    </w:p>
    <w:p>
      <w:pPr>
        <w:ind w:left="580" w:right="100" w:hanging="381"/>
        <w:spacing w:after="0" w:line="363" w:lineRule="auto"/>
        <w:tabs>
          <w:tab w:leader="none" w:pos="580" w:val="left"/>
        </w:tabs>
        <w:numPr>
          <w:ilvl w:val="1"/>
          <w:numId w:val="7"/>
        </w:numPr>
        <w:rPr>
          <w:rFonts w:ascii="Arial" w:cs="Arial" w:eastAsia="Arial" w:hAnsi="Arial"/>
          <w:sz w:val="14"/>
          <w:szCs w:val="14"/>
          <w:color w:val="auto"/>
        </w:rPr>
      </w:pPr>
      <w:r>
        <w:rPr>
          <w:rFonts w:ascii="Arial" w:cs="Arial" w:eastAsia="Arial" w:hAnsi="Arial"/>
          <w:sz w:val="14"/>
          <w:szCs w:val="14"/>
          <w:color w:val="auto"/>
        </w:rPr>
        <w:t>Includes 546,097 shares subject to stock options exercisable within 60 days, 433,964 of unvested shares of restricted stock, 580,641 shares of unvested restricted stock subject to performance pursuant to the LTIP 2013-2016, 17,266 shares held pursuant to respective 401(k) Plan accounts and excludes 21,580 of deferred stock.</w:t>
      </w:r>
    </w:p>
    <w:p>
      <w:pPr>
        <w:spacing w:after="0" w:line="12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337" w:right="1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Board of Directors, in accordance with our By-Laws, as amended (the “By-Laws”), has set the number of members of our Board of Directors at ten. At the Annual Meeting, ten nominees will be elected to serve on the Board until the 2016 Annual Meeting of Stockholders and until their respective successors have been duly elected and qualified. The Nominating and Corporate Governance Committee has recommended, and the Board has nominated, Seymour Holtzman, David A. Levin, Alan S. Bernikow, Jesse Choper, John E. Kyees, Willem Mesdag, Ward K. Mooney, George T. Porter Jr., Mitchell S. Presser and Ivy Ross as nominees. All of the nominees currently serve as members of our Board of Directors. Each of the nominees has agreed to stand for re-election and to serve if elected.</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Willem Mesdag, Ward K. Mooney, George T. Porter Jr., Mitchell S. Presser and Ivy Ross. Although management expects all nominees to serve if elected, proxies will be voted for a substitute if a nominee is unable or unwilling to accept nomination or election. Cumulative voting is not permitted.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affirmative vote of a majority of the shares of common stock properly cast at the Annual Meeting, in person or by proxy, is required for the election of each of the nominees. Any abstentions and broker non-votes will not be counted as votes cast on this proposal and, accordingly, will have no effect.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ten individuals named below as directors of our Company.</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1, 2015 and the year in which each became a director of our Company: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AGE</w:t>
            </w:r>
          </w:p>
        </w:tc>
        <w:tc>
          <w:tcPr>
            <w:tcW w:w="2580" w:type="dxa"/>
            <w:vAlign w:val="bottom"/>
          </w:tcPr>
          <w:p>
            <w:pPr>
              <w:spacing w:after="0"/>
              <w:rPr>
                <w:sz w:val="14"/>
                <w:szCs w:val="14"/>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58"/>
        </w:trPr>
        <w:tc>
          <w:tcPr>
            <w:tcW w:w="2640" w:type="dxa"/>
            <w:vAlign w:val="bottom"/>
            <w:gridSpan w:val="2"/>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258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216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79</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Executive Chairman of the Board and Director</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74</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(1),(5)</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79</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(1),(2),(3)</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68</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former Interim Chief Financial Officer (4)</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Willem Mesdag</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(2),(3)</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(2),(3)</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68</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(3)</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 (1)</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264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496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Kyees served as our interim Chief Financial Officer from February 2, 2014 until May 31, 2014.</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Bernikow was a member of the Audit Committee until May 14, 2015, when he was replaced by Mr.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969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i w:val="1"/>
          <w:iCs w:val="1"/>
          <w:color w:val="auto"/>
        </w:rPr>
        <w:t xml:space="preserve">Seymour Holtzman </w:t>
      </w:r>
      <w:r>
        <w:rPr>
          <w:rFonts w:ascii="Arial" w:cs="Arial" w:eastAsia="Arial" w:hAnsi="Arial"/>
          <w:sz w:val="17"/>
          <w:szCs w:val="17"/>
          <w:color w:val="auto"/>
        </w:rPr>
        <w:t>has served as our Executive Chairman of the Board since August 2014. From April 2000 to August 2014, Mr. Holtzman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On May 25, 2001, the Board of Directors hired Mr. Holtzman as an employee.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indirectly the owner of C.D. Peacock, Inc., a Chicago, Illinois retail jewelry establishment, the managing member of Luxury Swiss, LLC, a retail Rolex Watch establishment, and the managing member of Homeclick, LLC, a privately-held internet retailer specializing in luxury brands for the home. Mr. Holtzman was the chief executive officer and co-chairman of the board of George Foreman Enterprises, Inc., formerly MM Companies, Inc. until his resignation in November 2010. Mr. Holtzman is a successful entrepreneur with extensive experience working with public companies and provides valuable insight to the Board with respect to strategic planning.</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David A. Levin </w:t>
      </w:r>
      <w:r>
        <w:rPr>
          <w:rFonts w:ascii="Arial" w:cs="Arial" w:eastAsia="Arial" w:hAnsi="Arial"/>
          <w:sz w:val="17"/>
          <w:szCs w:val="17"/>
          <w:color w:val="auto"/>
        </w:rPr>
        <w:t>has been our President and Chief Executive Officer since April 10, 2000 and a director since April 11, 2000. From 1999 to 2000,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us, Mr. Levin has been instrumental in transforming us from a company which exclusively operated Levi Strauss &amp; Co. branded apparel to the largest specialty retailer of big &amp; tall men’s apparel. In May 2012, Mr. Levin joined the board of directors of Christopher &amp; Banks Corporation, a publicly-traded company that specializes in women’s apparel. Mr. Levin brings to the Board valuable experience in merchandising and marketing initiatives.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to May 2003, Mr. Bernikow served as the Deputy Chief Executive Officer at Deloitte</w:t>
      </w:r>
    </w:p>
    <w:p>
      <w:pPr>
        <w:spacing w:after="0" w:line="46" w:lineRule="exact"/>
        <w:rPr>
          <w:sz w:val="20"/>
          <w:szCs w:val="20"/>
          <w:color w:val="auto"/>
        </w:rPr>
      </w:pPr>
    </w:p>
    <w:p>
      <w:pPr>
        <w:ind w:right="20" w:firstLine="8"/>
        <w:spacing w:after="0" w:line="267" w:lineRule="auto"/>
        <w:tabs>
          <w:tab w:leader="none" w:pos="185" w:val="left"/>
        </w:tabs>
        <w:numPr>
          <w:ilvl w:val="0"/>
          <w:numId w:val="9"/>
        </w:numPr>
        <w:rPr>
          <w:rFonts w:ascii="Arial" w:cs="Arial" w:eastAsia="Arial" w:hAnsi="Arial"/>
          <w:sz w:val="17"/>
          <w:szCs w:val="17"/>
          <w:color w:val="auto"/>
        </w:rPr>
      </w:pPr>
      <w:r>
        <w:rPr>
          <w:rFonts w:ascii="Arial" w:cs="Arial" w:eastAsia="Arial" w:hAnsi="Arial"/>
          <w:sz w:val="17"/>
          <w:szCs w:val="17"/>
          <w:color w:val="auto"/>
        </w:rPr>
        <w:t>Touche LLP where he was responsible for assisting the firm on special projects such as firm mergers and acquisitions, partner affairs and litigation matters.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 publicly-traded company, and Revlon Consumer Products Corporation and is chairman of the audit committee, compensation committee and stock plan committee of Revlon, Inc.; a member of the board of directors of Mack-Cali Realty Corporation, a publicly-traded company, as well as the chairman of the audit committee of Mack-Cali; and is a member of the board of directors of UBS Global Asset Management (US) Inc., a wholly-owned subsidiary of UBS AG, and currently serves as chairman of its audit committee. Mr. Bernikow has also served as a member of the boards of directors of several investment funds managed by UBS. Mr. Bernikow is also a member of the board of directors of Florida Community Bank and is chairman of its audit committee and a member of its compensation committee. Based on Mr. Bernikow’s significant financial and accounting background, including 30 years of experience in public accounting, his experience serving as a director and audit committee member, and his status as an audit committee financial expert, the Nominating and Corporate Governance Committee concluded that Mr. Bernikow has the requisite experience, qualifications, attributes and skills necessary to serve as a member of the Board.</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w:t>
      </w:r>
      <w:r>
        <w:rPr>
          <w:rFonts w:ascii="Arial" w:cs="Arial" w:eastAsia="Arial" w:hAnsi="Arial"/>
          <w:sz w:val="18"/>
          <w:szCs w:val="18"/>
          <w:i w:val="1"/>
          <w:iCs w:val="1"/>
          <w:color w:val="auto"/>
        </w:rPr>
        <w:t xml:space="preserve"> </w:t>
      </w:r>
      <w:r>
        <w:rPr>
          <w:rFonts w:ascii="Arial" w:cs="Arial" w:eastAsia="Arial" w:hAnsi="Arial"/>
          <w:sz w:val="18"/>
          <w:szCs w:val="18"/>
          <w:color w:val="auto"/>
        </w:rPr>
        <w:t>School of Law, where he has taught since 1965. From 1960 to 1961, Professor Choper was a law clerk for Supreme Court Chief Justice Earl Warren. Mr. Choper is a member of the California Horseracing Board. Mr. Choper was a member of the board of directors of George Foreman Enterprises, Inc.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been a director since May 3, 2010. From February 2, 2014 until May 31, 2014, Mr. Kyees served as Interim Chief Financial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2003 until his retirement in 2010, Mr. Kyees was the chief financial officer of Urban Outfitters, Inc. and also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was a member of the board of directors of Hot Topic, Inc., a formerly publicly-traded company, and was a member of the audit committee. Mr. Kyees is a member of the board of directors of Rackwise, Inc., a publicly-traded company, and is a member of the audit committee.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60"/>
        <w:spacing w:after="0" w:line="293"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29, 2014. Mr. Mesdag is the managing partner of Red Mountain Capital Partners LLC, an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firm. Prior to founding Red Mountain in 2005, Mr. Mesdag was a partner and managing director of Goldman Sachs &amp; Co., which he joined in 1981. Prior to Goldman Sachs, he was a securities lawyer at Ballard, Spahr, Andrews &amp; Ingersoll, which he joined in 1978. He currently serves on the boards of Encore Capital Group, Inc., a publicly-traded company, and Nature’s Sunshine Products, Inc., a publicly-traded company. He previously served on the boards of 3i Group plc, Cost Plus, Inc. and Skandia Group AB. Having had an extensive career in international investment banking and finance, Mr. Mesdag brings to the Board significant knowledge and experience related to business and financial issues and corporate governance.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Prior to 2010,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 The Board has determined that based on Mr. Mooney’s extensive knowledge and experience in finance qualifies him as an “audit committee financial expert.”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George T. Porter, Jr. </w:t>
      </w:r>
      <w:r>
        <w:rPr>
          <w:rFonts w:ascii="Arial" w:cs="Arial" w:eastAsia="Arial" w:hAnsi="Arial"/>
          <w:sz w:val="18"/>
          <w:szCs w:val="18"/>
          <w:color w:val="auto"/>
        </w:rPr>
        <w:t>has been a director since October 28, 1999. Mr. Porter was president of Levi’s USA for Levi Strauss &amp; Co. from 1994 to</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Mitchell S. Presser </w:t>
      </w:r>
      <w:r>
        <w:rPr>
          <w:rFonts w:ascii="Arial" w:cs="Arial" w:eastAsia="Arial" w:hAnsi="Arial"/>
          <w:sz w:val="17"/>
          <w:szCs w:val="17"/>
          <w:color w:val="auto"/>
        </w:rPr>
        <w:t>has been a director since May 1, 2007. Since July 2014, Mr. Presser has been a partner and the head of U.S. M&amp;A and private equity at</w:t>
      </w:r>
      <w:r>
        <w:rPr>
          <w:rFonts w:ascii="Arial" w:cs="Arial" w:eastAsia="Arial" w:hAnsi="Arial"/>
          <w:sz w:val="17"/>
          <w:szCs w:val="17"/>
          <w:i w:val="1"/>
          <w:iCs w:val="1"/>
          <w:color w:val="auto"/>
        </w:rPr>
        <w:t xml:space="preserve"> </w:t>
      </w:r>
      <w:r>
        <w:rPr>
          <w:rFonts w:ascii="Arial" w:cs="Arial" w:eastAsia="Arial" w:hAnsi="Arial"/>
          <w:sz w:val="17"/>
          <w:szCs w:val="17"/>
          <w:color w:val="auto"/>
        </w:rPr>
        <w:t>Freshfields Bruckhaus Deringer. From January 2014 until July 2014, Mr. Presser was a senior advisor to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31, 2013. In May 2014, Ms. Ross joined Google X as head of Glass. From July 2011 until April 2014, Ms. Ross</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Chosen by Fast Company and BusinessWeek as the new face of leadership, Ross was a contributing author to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we continue to build our Destination XL brand.</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43, became our Senior Vice President, Chief Financial Officer and Treasurer on June 1, 2014. From August 2009 to May 31, 2014, Mr.</w:t>
      </w:r>
      <w:r>
        <w:rPr>
          <w:rFonts w:ascii="Arial" w:cs="Arial" w:eastAsia="Arial" w:hAnsi="Arial"/>
          <w:sz w:val="18"/>
          <w:szCs w:val="18"/>
          <w:i w:val="1"/>
          <w:iCs w:val="1"/>
          <w:color w:val="auto"/>
        </w:rPr>
        <w:t xml:space="preserve"> </w:t>
      </w:r>
      <w:r>
        <w:rPr>
          <w:rFonts w:ascii="Arial" w:cs="Arial" w:eastAsia="Arial" w:hAnsi="Arial"/>
          <w:sz w:val="18"/>
          <w:szCs w:val="18"/>
          <w:color w:val="auto"/>
        </w:rPr>
        <w:t>Stratton was our Senior Vice President of Finance, Corporate Controller and Chief Accounting Officer. Mr. Stratton joined us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52,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the vice president operations &amp; facilities for Redcats USA, a division of the French multi-national company PPR, from 1999 to April 2008.</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Angela Chew</w:t>
      </w:r>
      <w:r>
        <w:rPr>
          <w:rFonts w:ascii="Arial" w:cs="Arial" w:eastAsia="Arial" w:hAnsi="Arial"/>
          <w:sz w:val="18"/>
          <w:szCs w:val="18"/>
          <w:color w:val="auto"/>
        </w:rPr>
        <w:t>, 48, has been our Senior Vice President and Chief Sourcing Officer since February 2015. From March 2013 to February 2015, Ms. Chew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Senior Vice President of Global Sourcing and Product Development. Prior to that, from May 2010 to March 2013, Ms. Chew was our Vice President of Global Sourcing. Ms. Chew joined the Company in February 2009 as our Director of Global Sourcing. Prior to joining our Company, from October 2007 to December 2008 Ms. Chew was the senior product manager for Redcats USA. From 2007 to 2009, Ms. Chew was an independent retail consultant and analyst with the Gerson Lehrman Group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in 2006, she held the positions of director and executive vice president of global sourcing for Rocawear. Prior to that, Ms. Chew was the founder &amp; partner of several apparel manufacturing companies &amp; franchise restaurants. She also held various merchandising management positions with Macy’s corporate in New York and Hong Kong.</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32, has been our Vice President of Finance and Corporate Controller since June 2014 and in May 2015 he was also appointed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From November 2010 until May 2014, Mr. Cooney was our Director of Financial Accounting and Reporting. Prior to joining the Company, Mr. Cooney was an audit manager with PricewaterhouseCoopers LLP, which he joined in August 2004. Mr. Cooney received a B.S. in Accounting from Providence College and a M.S. in Accounting from Boston College and is a CPA licensed in the Commonwealth of Massachusetts.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Kenneth M. Ederle, </w:t>
      </w:r>
      <w:r>
        <w:rPr>
          <w:rFonts w:ascii="Arial" w:cs="Arial" w:eastAsia="Arial" w:hAnsi="Arial"/>
          <w:sz w:val="18"/>
          <w:szCs w:val="18"/>
          <w:color w:val="auto"/>
        </w:rPr>
        <w:t>50, has been our Senior Vice President and Chief Merchandising Officer since April 2013 and in April 2015 his role was expanded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Planning and Allocation. Prior to that, from May 2011 until April 2013, Mr. Ederle was our Senior Vice President – 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Jack R. McKinney, </w:t>
      </w:r>
      <w:r>
        <w:rPr>
          <w:rFonts w:ascii="Arial" w:cs="Arial" w:eastAsia="Arial" w:hAnsi="Arial"/>
          <w:sz w:val="18"/>
          <w:szCs w:val="18"/>
          <w:color w:val="auto"/>
        </w:rPr>
        <w:t>59,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55, has been our Senior Vice President and General Counsel since April 2010 and became Secretary of the Company on May 15,</w:t>
      </w:r>
    </w:p>
    <w:p>
      <w:pPr>
        <w:spacing w:after="0" w:line="35"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 xml:space="preserve">Brian S. Reaves, </w:t>
      </w:r>
      <w:r>
        <w:rPr>
          <w:rFonts w:ascii="Arial" w:cs="Arial" w:eastAsia="Arial" w:hAnsi="Arial"/>
          <w:sz w:val="16"/>
          <w:szCs w:val="16"/>
          <w:color w:val="auto"/>
        </w:rPr>
        <w:t>54, has been our Senior Vice President and Chief Sales Officer since November 2014. From May 2010 until November 2014, Mr. Reaves</w:t>
      </w:r>
      <w:r>
        <w:rPr>
          <w:rFonts w:ascii="Arial" w:cs="Arial" w:eastAsia="Arial" w:hAnsi="Arial"/>
          <w:sz w:val="16"/>
          <w:szCs w:val="16"/>
          <w:i w:val="1"/>
          <w:iCs w:val="1"/>
          <w:color w:val="auto"/>
        </w:rPr>
        <w:t xml:space="preserve"> </w:t>
      </w:r>
      <w:r>
        <w:rPr>
          <w:rFonts w:ascii="Arial" w:cs="Arial" w:eastAsia="Arial" w:hAnsi="Arial"/>
          <w:sz w:val="16"/>
          <w:szCs w:val="16"/>
          <w:color w:val="auto"/>
        </w:rPr>
        <w:t>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4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 xml:space="preserve">Peter E. Schmitz, </w:t>
      </w:r>
      <w:r>
        <w:rPr>
          <w:rFonts w:ascii="Arial" w:cs="Arial" w:eastAsia="Arial" w:hAnsi="Arial"/>
          <w:sz w:val="18"/>
          <w:szCs w:val="18"/>
          <w:color w:val="auto"/>
        </w:rPr>
        <w:t>56, has been our Senior Vice President and Chief Real Estate Officer since June 2013. Prior to that, Mr. Schmitz was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Real Estate and Store Development. Prior to joining the Company in August 2007, Mr. Schmitz was the vice president of real estate for Brooks/Eckerd Pharmacy Chain from October 1995 to August 2007.</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66, has been our Senior Vice President of Human Resources since May 2006. From August 2003 through April 2006, Mr. Sprague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Derrick Walker, </w:t>
      </w:r>
      <w:r>
        <w:rPr>
          <w:rFonts w:ascii="Arial" w:cs="Arial" w:eastAsia="Arial" w:hAnsi="Arial"/>
          <w:sz w:val="18"/>
          <w:szCs w:val="18"/>
          <w:color w:val="auto"/>
        </w:rPr>
        <w:t>46, has been our Senior Vice President and Chief Marketing Officer since May 2012. Prior to joining our Company, Mr. Walker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marketing for Lenscrafters from December 2009 to November 2011. Before that, Mr. Walker was the vice president of marketing for Finish Line from December 2006 to September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Board of Directors is currently comprised of ten members and there are no vacancies. A majority of the members of the Board are “independent” under the rules of the Nasdaq Global Select Market (“Nasdaq”). The Board has determined that the following directors are independent: Messrs. Bernikow, Choper, Kyees, Mesdag, Mooney, Porter, Presser and Ross.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Board of Directors met six times during our fiscal year ended January 31, 2015 (“fiscal 2014”). All directors attended more than 80% of all meetings of the Board and meetings of the committees of the Board on which each director served.</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August 7,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69" w:lineRule="exact"/>
        <w:rPr>
          <w:sz w:val="20"/>
          <w:szCs w:val="20"/>
          <w:color w:val="auto"/>
        </w:rPr>
      </w:pPr>
    </w:p>
    <w:p>
      <w:pPr>
        <w:ind w:left="780" w:right="120" w:hanging="254"/>
        <w:spacing w:after="0" w:line="28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Published Governance Guidelines. </w:t>
      </w:r>
      <w:r>
        <w:rPr>
          <w:rFonts w:ascii="Arial" w:cs="Arial" w:eastAsia="Arial" w:hAnsi="Arial"/>
          <w:sz w:val="18"/>
          <w:szCs w:val="18"/>
          <w:color w:val="auto"/>
        </w:rPr>
        <w:t>A copy of the Governance Guidelines can be found under “Corporate Governance –Charters &amp; Policies”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Investor Relations page of our website at </w:t>
      </w:r>
      <w:r>
        <w:rPr>
          <w:rFonts w:ascii="Arial" w:cs="Arial" w:eastAsia="Arial" w:hAnsi="Arial"/>
          <w:sz w:val="18"/>
          <w:szCs w:val="18"/>
          <w:i w:val="1"/>
          <w:iCs w:val="1"/>
          <w:color w:val="auto"/>
        </w:rPr>
        <w:t>www.destinationXL.com.</w:t>
      </w:r>
    </w:p>
    <w:p>
      <w:pPr>
        <w:spacing w:after="0" w:line="53" w:lineRule="exact"/>
        <w:rPr>
          <w:rFonts w:ascii="Arial" w:cs="Arial" w:eastAsia="Arial" w:hAnsi="Arial"/>
          <w:sz w:val="18"/>
          <w:szCs w:val="18"/>
          <w:color w:val="auto"/>
        </w:rPr>
      </w:pPr>
    </w:p>
    <w:p>
      <w:pPr>
        <w:ind w:left="780" w:right="60" w:hanging="254"/>
        <w:spacing w:after="0" w:line="28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qualification of their successors).</w:t>
      </w:r>
    </w:p>
    <w:p>
      <w:pPr>
        <w:spacing w:after="0" w:line="53" w:lineRule="exact"/>
        <w:rPr>
          <w:rFonts w:ascii="Arial" w:cs="Arial" w:eastAsia="Arial" w:hAnsi="Arial"/>
          <w:sz w:val="18"/>
          <w:szCs w:val="18"/>
          <w:color w:val="auto"/>
        </w:rPr>
      </w:pPr>
    </w:p>
    <w:p>
      <w:pPr>
        <w:ind w:left="780" w:right="80" w:hanging="254"/>
        <w:spacing w:after="0" w:line="29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In June 2015, the Company amended its By-Laws to require, in an uncontested election,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votes properly cast for the election of our directors. In the case of a contested election, a plurality vote will still be required for the election of directors. Furthermore, in uncontested elections, any nominee for director who does not receive the approval of a majority of the votes properly cast will promptly tender to the Board his or her offer of resignation. If such an event were to occur, the amendment provides that the Nominating and Corporate Governance Committee of the Board will consider the resignation offer and make a recommendation to the Board whether to accept or reject the resignation offer based on all factors it deems relevant, including the various factors set forth in the By-Laws. The amendment further provides that the Board will take action within 90 days following certification of the stockholders’ vote.</w:t>
      </w:r>
    </w:p>
    <w:p>
      <w:pPr>
        <w:spacing w:after="0" w:line="53" w:lineRule="exact"/>
        <w:rPr>
          <w:rFonts w:ascii="Arial" w:cs="Arial" w:eastAsia="Arial" w:hAnsi="Arial"/>
          <w:sz w:val="16"/>
          <w:szCs w:val="16"/>
          <w:color w:val="auto"/>
        </w:rPr>
      </w:pPr>
    </w:p>
    <w:p>
      <w:pPr>
        <w:ind w:left="780" w:right="40" w:hanging="254"/>
        <w:spacing w:after="0" w:line="25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w:t>
      </w:r>
      <w:r>
        <w:rPr>
          <w:rFonts w:ascii="Arial" w:cs="Arial" w:eastAsia="Arial" w:hAnsi="Arial"/>
          <w:sz w:val="18"/>
          <w:szCs w:val="18"/>
          <w:color w:val="auto"/>
        </w:rPr>
        <w:t>The vast majority of our Board is comprised of independent directors, with the exception of our Executive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our Chief Executive Officer. Mr. Kyees served as our Interim Chief Financial Officer from February 2, 2014 to May 31, 2014, during which time he was not an independent director. Effective June 1, 2014, in accordance with NASDAQ rules, Mr. Kyees was considered an independent director but will not be able to serve as a member of our Audit Committee for a period of three years after his service as Interim Chief Financial Officer concluded.</w:t>
      </w:r>
    </w:p>
    <w:p>
      <w:pPr>
        <w:spacing w:after="0" w:line="75" w:lineRule="exact"/>
        <w:rPr>
          <w:rFonts w:ascii="Arial" w:cs="Arial" w:eastAsia="Arial" w:hAnsi="Arial"/>
          <w:sz w:val="18"/>
          <w:szCs w:val="18"/>
          <w:color w:val="auto"/>
        </w:rPr>
      </w:pPr>
    </w:p>
    <w:p>
      <w:pPr>
        <w:ind w:left="780" w:right="40" w:hanging="254"/>
        <w:spacing w:after="0" w:line="277"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Independent Lead Director. </w:t>
      </w:r>
      <w:r>
        <w:rPr>
          <w:rFonts w:ascii="Arial" w:cs="Arial" w:eastAsia="Arial" w:hAnsi="Arial"/>
          <w:sz w:val="17"/>
          <w:szCs w:val="17"/>
          <w:color w:val="auto"/>
        </w:rPr>
        <w:t>An independent director serves as "presiding director" at Board meetings on an alphabetically rotating schedule.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presiding director chairs any meeting of the independent directors and facilitates communications between other members of the Board and the Executive Chairman of the Board and/or the Chief Executive Officer. However, each director is free to communicate directly with the Executive Chairman of the Board and with the Chief Executive Officer. The following is a listing of the independent lead director at each of the in-person Board of Director meetings in fiscal 2014 (there is no presiding director for telephonic meetings):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of Meeting</w:t>
            </w: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Presiding Director</w:t>
            </w:r>
          </w:p>
        </w:tc>
      </w:tr>
      <w:tr>
        <w:trPr>
          <w:trHeight w:val="210"/>
        </w:trPr>
        <w:tc>
          <w:tcPr>
            <w:tcW w:w="4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May 15, 2014</w:t>
            </w:r>
          </w:p>
        </w:tc>
        <w:tc>
          <w:tcPr>
            <w:tcW w:w="100" w:type="dxa"/>
            <w:vAlign w:val="bottom"/>
            <w:tcBorders>
              <w:top w:val="single" w:sz="8" w:color="CFF0FC"/>
            </w:tcBorders>
            <w:shd w:val="clear" w:color="auto" w:fill="CFF0FC"/>
          </w:tcPr>
          <w:p>
            <w:pPr>
              <w:spacing w:after="0"/>
              <w:rPr>
                <w:sz w:val="18"/>
                <w:szCs w:val="18"/>
                <w:color w:val="auto"/>
              </w:rPr>
            </w:pPr>
          </w:p>
        </w:tc>
        <w:tc>
          <w:tcPr>
            <w:tcW w:w="4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4"/>
              </w:rPr>
              <w:t>Jesse Choper</w:t>
            </w:r>
          </w:p>
        </w:tc>
      </w:tr>
      <w:tr>
        <w:trPr>
          <w:trHeight w:val="216"/>
        </w:trPr>
        <w:tc>
          <w:tcPr>
            <w:tcW w:w="4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7, 2014</w:t>
            </w:r>
          </w:p>
        </w:tc>
        <w:tc>
          <w:tcPr>
            <w:tcW w:w="4580" w:type="dxa"/>
            <w:vAlign w:val="bottom"/>
          </w:tcPr>
          <w:p>
            <w:pPr>
              <w:jc w:val="center"/>
              <w:spacing w:after="0"/>
              <w:rPr>
                <w:sz w:val="20"/>
                <w:szCs w:val="20"/>
                <w:color w:val="auto"/>
              </w:rPr>
            </w:pPr>
            <w:r>
              <w:rPr>
                <w:rFonts w:ascii="Arial" w:cs="Arial" w:eastAsia="Arial" w:hAnsi="Arial"/>
                <w:sz w:val="18"/>
                <w:szCs w:val="18"/>
                <w:color w:val="auto"/>
                <w:w w:val="89"/>
              </w:rPr>
              <w:t>John Kyees</w:t>
            </w:r>
          </w:p>
        </w:tc>
      </w:tr>
      <w:tr>
        <w:trPr>
          <w:trHeight w:val="216"/>
        </w:trPr>
        <w:tc>
          <w:tcPr>
            <w:tcW w:w="45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January 29, 2015</w:t>
            </w:r>
          </w:p>
        </w:tc>
        <w:tc>
          <w:tcPr>
            <w:tcW w:w="4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Willem Mesdag</w:t>
            </w:r>
          </w:p>
        </w:tc>
      </w:tr>
    </w:tbl>
    <w:p>
      <w:pPr>
        <w:spacing w:after="0" w:line="90" w:lineRule="exact"/>
        <w:rPr>
          <w:sz w:val="20"/>
          <w:szCs w:val="20"/>
          <w:color w:val="auto"/>
        </w:rPr>
      </w:pPr>
    </w:p>
    <w:p>
      <w:pPr>
        <w:ind w:left="780" w:right="620" w:hanging="254"/>
        <w:spacing w:after="0" w:line="347"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auto"/>
        </w:rPr>
        <w:t>All members of our Audit, Compensation, and Nominating and Corporate Governance Committees are</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directors, and none receives compensation from us other than for service on our Board of Directors or its committees.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ind w:left="780" w:right="40" w:hanging="254"/>
        <w:spacing w:after="0" w:line="303"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Independent Executive Sessions. </w:t>
      </w:r>
      <w:r>
        <w:rPr>
          <w:rFonts w:ascii="Arial" w:cs="Arial" w:eastAsia="Arial" w:hAnsi="Arial"/>
          <w:sz w:val="16"/>
          <w:szCs w:val="16"/>
          <w:color w:val="auto"/>
        </w:rPr>
        <w:t>As contemplated by the Governance Guidelines, the Board of Directors is required to have at least semi-annual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where independent directors meet without the Executive Chairman or Mr. Levin (who do not qualify as “independent” under Nasdaq rules) and management. For fiscal 2014, the Board of Directors held three independent executive sessions. In addition, periodically throughout the year, the full Board of Directors, including the Executive Chairman, may meet without management participation.</w:t>
      </w:r>
    </w:p>
    <w:p>
      <w:pPr>
        <w:spacing w:after="0" w:line="43" w:lineRule="exact"/>
        <w:rPr>
          <w:rFonts w:ascii="Arial" w:cs="Arial" w:eastAsia="Arial" w:hAnsi="Arial"/>
          <w:sz w:val="16"/>
          <w:szCs w:val="16"/>
          <w:color w:val="auto"/>
        </w:rPr>
      </w:pPr>
    </w:p>
    <w:p>
      <w:pPr>
        <w:ind w:left="780" w:right="780" w:hanging="254"/>
        <w:spacing w:after="0" w:line="313"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Committee Authority to Retain Independent Advisors. </w:t>
      </w:r>
      <w:r>
        <w:rPr>
          <w:rFonts w:ascii="Arial" w:cs="Arial" w:eastAsia="Arial" w:hAnsi="Arial"/>
          <w:sz w:val="17"/>
          <w:szCs w:val="17"/>
          <w:color w:val="auto"/>
        </w:rPr>
        <w:t>Each of the Audit, Compensation and Nominating and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has the authority to retain independent advisors, with all fees and expenses to be paid by the Company.</w:t>
      </w:r>
    </w:p>
    <w:p>
      <w:pPr>
        <w:spacing w:after="0" w:line="30" w:lineRule="exact"/>
        <w:rPr>
          <w:rFonts w:ascii="Arial" w:cs="Arial" w:eastAsia="Arial" w:hAnsi="Arial"/>
          <w:sz w:val="17"/>
          <w:szCs w:val="17"/>
          <w:color w:val="auto"/>
        </w:rPr>
      </w:pPr>
    </w:p>
    <w:p>
      <w:pPr>
        <w:ind w:left="780" w:right="160" w:hanging="254"/>
        <w:spacing w:after="0" w:line="26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Policies and Procedures. </w:t>
      </w:r>
      <w:r>
        <w:rPr>
          <w:rFonts w:ascii="Arial" w:cs="Arial" w:eastAsia="Arial" w:hAnsi="Arial"/>
          <w:sz w:val="18"/>
          <w:szCs w:val="18"/>
          <w:color w:val="auto"/>
        </w:rPr>
        <w:t>Under its charter, the Audit Committee's prior approval is required for all audit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permitted non-audit services as defined and permitted by the Sarbanes-Oxley Act of 2002) to be provided by our independent registered public accounting firm.</w:t>
      </w:r>
    </w:p>
    <w:p>
      <w:pPr>
        <w:spacing w:after="0" w:line="68" w:lineRule="exact"/>
        <w:rPr>
          <w:rFonts w:ascii="Arial" w:cs="Arial" w:eastAsia="Arial" w:hAnsi="Arial"/>
          <w:sz w:val="18"/>
          <w:szCs w:val="18"/>
          <w:color w:val="auto"/>
        </w:rPr>
      </w:pPr>
    </w:p>
    <w:p>
      <w:pPr>
        <w:ind w:left="780" w:hanging="254"/>
        <w:spacing w:after="0" w:line="289" w:lineRule="auto"/>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Audit Committee Financial Expert. </w:t>
      </w:r>
      <w:r>
        <w:rPr>
          <w:rFonts w:ascii="Arial" w:cs="Arial" w:eastAsia="Arial" w:hAnsi="Arial"/>
          <w:sz w:val="17"/>
          <w:szCs w:val="17"/>
          <w:color w:val="auto"/>
        </w:rPr>
        <w:t>Mr. Bernikow served as our “audit committee financial expert” until May 14, 2015. Effective May 14, 2015,</w:t>
      </w:r>
      <w:r>
        <w:rPr>
          <w:rFonts w:ascii="Arial" w:cs="Arial" w:eastAsia="Arial" w:hAnsi="Arial"/>
          <w:sz w:val="17"/>
          <w:szCs w:val="17"/>
          <w:b w:val="1"/>
          <w:bCs w:val="1"/>
          <w:color w:val="auto"/>
        </w:rPr>
        <w:t xml:space="preserve"> </w:t>
      </w:r>
      <w:r>
        <w:rPr>
          <w:rFonts w:ascii="Arial" w:cs="Arial" w:eastAsia="Arial" w:hAnsi="Arial"/>
          <w:sz w:val="17"/>
          <w:szCs w:val="17"/>
          <w:color w:val="auto"/>
        </w:rPr>
        <w:t>with his appointment to the audit committee during the Board meeting held on May 14, 2015, our Board has determined that Mr. Mooney is an “audit committee financial expert” under the rules of the SEC and is independent as defined by Nasdaq listing standards.</w:t>
      </w:r>
    </w:p>
    <w:p>
      <w:pPr>
        <w:spacing w:after="0" w:line="50" w:lineRule="exact"/>
        <w:rPr>
          <w:rFonts w:ascii="Arial" w:cs="Arial" w:eastAsia="Arial" w:hAnsi="Arial"/>
          <w:sz w:val="17"/>
          <w:szCs w:val="17"/>
          <w:color w:val="auto"/>
        </w:rPr>
      </w:pPr>
    </w:p>
    <w:p>
      <w:pPr>
        <w:ind w:left="780" w:right="20" w:hanging="254"/>
        <w:spacing w:after="0" w:line="287"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Through fiscal 2014, our directors were strongly encouraged, but not required, to receive 50%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in equity until such time that the fair value of equity held was equal to three times the annual retainer. In December 2014, the Non-Employee Director Compensation Plan, which is described below under “</w:t>
      </w:r>
      <w:r>
        <w:rPr>
          <w:rFonts w:ascii="Arial" w:cs="Arial" w:eastAsia="Arial" w:hAnsi="Arial"/>
          <w:sz w:val="16"/>
          <w:szCs w:val="16"/>
          <w:i w:val="1"/>
          <w:iCs w:val="1"/>
          <w:color w:val="auto"/>
        </w:rPr>
        <w:t>Director Compensation,</w:t>
      </w:r>
      <w:r>
        <w:rPr>
          <w:rFonts w:ascii="Arial" w:cs="Arial" w:eastAsia="Arial" w:hAnsi="Arial"/>
          <w:sz w:val="16"/>
          <w:szCs w:val="16"/>
          <w:color w:val="auto"/>
        </w:rPr>
        <w:t>” was amended to require that beginning in fiscal 2015, each director elect at least 50% of his or her quarterly retainer to be paid in equity, in the form of options, shares or deferred stock or any combination thereof. Such equity may not be sold by the director without the approval of the Board of Directors while each director is still serving on the Board. While we do not have any required guidelines for stock ownership for members of senior management, we do encourage our senior management to have ownership in our Company. From fiscal 2009 to fiscal 2012, the Compensation Committee required that each participant in our long-term incentive plan irrevocably elect to receive at least 50% of any award earned in the form of equity. A participant could choose shares of restricted stock or stock options, or any combination thereof, all of which vested ratably over a three year period beginning one year from the date of award. For the long-term incentive plan for fiscal 2013-2016, which is described in detail below under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Components of Executive Compensation – Long-term performance based plans</w:t>
      </w:r>
      <w:r>
        <w:rPr>
          <w:rFonts w:ascii="Arial" w:cs="Arial" w:eastAsia="Arial" w:hAnsi="Arial"/>
          <w:sz w:val="16"/>
          <w:szCs w:val="16"/>
          <w:color w:val="auto"/>
        </w:rPr>
        <w:t>”, 75% of any award earned will be paid in equity (50%</w:t>
      </w:r>
      <w:r>
        <w:rPr>
          <w:rFonts w:ascii="Arial" w:cs="Arial" w:eastAsia="Arial" w:hAnsi="Arial"/>
          <w:sz w:val="16"/>
          <w:szCs w:val="16"/>
          <w:i w:val="1"/>
          <w:iCs w:val="1"/>
          <w:color w:val="auto"/>
        </w:rPr>
        <w:t xml:space="preserve"> </w:t>
      </w:r>
      <w:r>
        <w:rPr>
          <w:rFonts w:ascii="Arial" w:cs="Arial" w:eastAsia="Arial" w:hAnsi="Arial"/>
          <w:sz w:val="16"/>
          <w:szCs w:val="16"/>
          <w:color w:val="auto"/>
        </w:rPr>
        <w:t>in restricted shares and 25% in stock options) with the remaining 25% in cash.</w:t>
      </w:r>
    </w:p>
    <w:p>
      <w:pPr>
        <w:spacing w:after="0" w:line="60" w:lineRule="exact"/>
        <w:rPr>
          <w:rFonts w:ascii="Arial" w:cs="Arial" w:eastAsia="Arial" w:hAnsi="Arial"/>
          <w:sz w:val="16"/>
          <w:szCs w:val="16"/>
          <w:color w:val="auto"/>
        </w:rPr>
      </w:pPr>
    </w:p>
    <w:p>
      <w:pPr>
        <w:ind w:left="780" w:right="20" w:hanging="254"/>
        <w:spacing w:after="0" w:line="26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68" w:lineRule="exact"/>
        <w:rPr>
          <w:rFonts w:ascii="Arial" w:cs="Arial" w:eastAsia="Arial" w:hAnsi="Arial"/>
          <w:sz w:val="18"/>
          <w:szCs w:val="18"/>
          <w:color w:val="auto"/>
        </w:rPr>
      </w:pPr>
    </w:p>
    <w:p>
      <w:pPr>
        <w:ind w:left="780" w:hanging="254"/>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80" w:right="160" w:hanging="254"/>
        <w:spacing w:after="0" w:line="282"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80" w:right="140" w:hanging="254"/>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Our employment agreements with members of our senior management contain a claw-back provision that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in 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the claw-back provision of our employment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Nominating and Corporate Governance Committee has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 The Committee was established to perform functions related to governance of our Company, including, but not limited to, planning for the succession of our CEO and such other officers as the Committee shall determine from time to time, recommending to the Board of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 w:name="page14"/>
    <w:bookmarkEnd w:id="13"/>
    <w:p>
      <w:pPr>
        <w:ind w:right="300"/>
        <w:spacing w:after="0" w:line="279" w:lineRule="auto"/>
        <w:rPr>
          <w:sz w:val="20"/>
          <w:szCs w:val="20"/>
          <w:color w:val="auto"/>
        </w:rPr>
      </w:pPr>
      <w:r>
        <w:rPr>
          <w:rFonts w:ascii="Arial" w:cs="Arial" w:eastAsia="Arial" w:hAnsi="Arial"/>
          <w:sz w:val="17"/>
          <w:szCs w:val="17"/>
          <w:color w:val="auto"/>
        </w:rPr>
        <w:t>individuals to stand for election as directors, overseeing and recommending the selection and composition of committees of the Board of Directors, and developing and recommending to the Board of Directors a set of corporate governance principles applicable to our Company. The current members of the Nominating and Corporate Governance Committee are Messrs. Choper, Bernikow and Presser, each of whom is “independent” under the rules of Nasdaq. The Nominating and Corporate Governance Committee met five times during fiscal 2014.</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62" w:lineRule="exact"/>
        <w:rPr>
          <w:sz w:val="20"/>
          <w:szCs w:val="20"/>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80" w:right="160" w:hanging="254"/>
        <w:spacing w:after="0" w:line="308"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80" w:right="260" w:hanging="254"/>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80" w:right="340" w:hanging="254"/>
        <w:spacing w:after="0" w:line="26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3" w:lineRule="exact"/>
        <w:rPr>
          <w:rFonts w:ascii="Arial" w:cs="Arial" w:eastAsia="Arial" w:hAnsi="Arial"/>
          <w:sz w:val="18"/>
          <w:szCs w:val="18"/>
          <w:color w:val="auto"/>
        </w:rPr>
      </w:pPr>
    </w:p>
    <w:p>
      <w:pPr>
        <w:ind w:left="780" w:right="240" w:hanging="254"/>
        <w:spacing w:after="0" w:line="27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117" w:lineRule="exact"/>
        <w:rPr>
          <w:sz w:val="20"/>
          <w:szCs w:val="20"/>
          <w:color w:val="auto"/>
        </w:rPr>
      </w:pPr>
    </w:p>
    <w:p>
      <w:pPr>
        <w:ind w:left="520" w:right="320" w:firstLine="253"/>
        <w:spacing w:after="0" w:line="342" w:lineRule="auto"/>
        <w:tabs>
          <w:tab w:leader="none" w:pos="9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5" w:lineRule="exact"/>
        <w:rPr>
          <w:rFonts w:ascii="Arial" w:cs="Arial" w:eastAsia="Arial" w:hAnsi="Arial"/>
          <w:sz w:val="16"/>
          <w:szCs w:val="16"/>
          <w:color w:val="auto"/>
        </w:rPr>
      </w:pPr>
    </w:p>
    <w:p>
      <w:pPr>
        <w:ind w:left="520" w:right="100" w:firstLine="253"/>
        <w:spacing w:after="0" w:line="277" w:lineRule="auto"/>
        <w:tabs>
          <w:tab w:leader="none" w:pos="9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62" w:lineRule="exact"/>
        <w:rPr>
          <w:rFonts w:ascii="Arial" w:cs="Arial" w:eastAsia="Arial" w:hAnsi="Arial"/>
          <w:sz w:val="18"/>
          <w:szCs w:val="18"/>
          <w:color w:val="auto"/>
        </w:rPr>
      </w:pPr>
    </w:p>
    <w:p>
      <w:pPr>
        <w:ind w:left="960" w:hanging="18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117" w:lineRule="exact"/>
        <w:rPr>
          <w:rFonts w:ascii="Arial" w:cs="Arial" w:eastAsia="Arial" w:hAnsi="Arial"/>
          <w:sz w:val="18"/>
          <w:szCs w:val="18"/>
          <w:color w:val="auto"/>
        </w:rPr>
      </w:pPr>
    </w:p>
    <w:p>
      <w:pPr>
        <w:ind w:left="1240" w:hanging="176"/>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117" w:lineRule="exact"/>
        <w:rPr>
          <w:rFonts w:ascii="Arial" w:cs="Arial" w:eastAsia="Arial" w:hAnsi="Arial"/>
          <w:sz w:val="18"/>
          <w:szCs w:val="18"/>
          <w:color w:val="auto"/>
        </w:rPr>
      </w:pPr>
    </w:p>
    <w:p>
      <w:pPr>
        <w:ind w:left="1240" w:right="140" w:hanging="176"/>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62" w:lineRule="exact"/>
        <w:rPr>
          <w:rFonts w:ascii="Arial" w:cs="Arial" w:eastAsia="Arial" w:hAnsi="Arial"/>
          <w:sz w:val="18"/>
          <w:szCs w:val="18"/>
          <w:color w:val="auto"/>
        </w:rPr>
      </w:pPr>
    </w:p>
    <w:p>
      <w:pPr>
        <w:ind w:left="1240" w:right="600" w:hanging="176"/>
        <w:spacing w:after="0" w:line="277" w:lineRule="auto"/>
        <w:tabs>
          <w:tab w:leader="none" w:pos="123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62" w:lineRule="exact"/>
        <w:rPr>
          <w:rFonts w:ascii="Arial" w:cs="Arial" w:eastAsia="Arial" w:hAnsi="Arial"/>
          <w:sz w:val="18"/>
          <w:szCs w:val="18"/>
          <w:color w:val="auto"/>
        </w:rPr>
      </w:pPr>
    </w:p>
    <w:p>
      <w:pPr>
        <w:ind w:left="1240" w:hanging="176"/>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62" w:lineRule="exact"/>
        <w:rPr>
          <w:rFonts w:ascii="Arial" w:cs="Arial" w:eastAsia="Arial" w:hAnsi="Arial"/>
          <w:sz w:val="18"/>
          <w:szCs w:val="18"/>
          <w:color w:val="auto"/>
        </w:rPr>
      </w:pPr>
    </w:p>
    <w:p>
      <w:pPr>
        <w:ind w:left="1240" w:hanging="176"/>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117" w:lineRule="exact"/>
        <w:rPr>
          <w:rFonts w:ascii="Arial" w:cs="Arial" w:eastAsia="Arial" w:hAnsi="Arial"/>
          <w:sz w:val="18"/>
          <w:szCs w:val="18"/>
          <w:color w:val="auto"/>
        </w:rPr>
      </w:pPr>
    </w:p>
    <w:p>
      <w:pPr>
        <w:ind w:left="1240" w:right="60" w:hanging="176"/>
        <w:spacing w:after="0" w:line="277" w:lineRule="auto"/>
        <w:tabs>
          <w:tab w:leader="none" w:pos="12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consent of the proposed director candidate (i) to be named in the proxy statement relating to our annual meeting of stockholders and (ii) to serve as a director if elected at such annual meeting.</w:t>
      </w:r>
    </w:p>
    <w:p>
      <w:pPr>
        <w:spacing w:after="0" w:line="62" w:lineRule="exact"/>
        <w:rPr>
          <w:rFonts w:ascii="Arial" w:cs="Arial" w:eastAsia="Arial" w:hAnsi="Arial"/>
          <w:sz w:val="18"/>
          <w:szCs w:val="18"/>
          <w:color w:val="auto"/>
        </w:rPr>
      </w:pPr>
    </w:p>
    <w:p>
      <w:pPr>
        <w:ind w:left="1240" w:right="280" w:hanging="176"/>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4" w:name="page15"/>
    <w:bookmarkEnd w:id="14"/>
    <w:p>
      <w:pPr>
        <w:ind w:right="40"/>
        <w:spacing w:after="0" w:line="269" w:lineRule="auto"/>
        <w:rPr>
          <w:sz w:val="20"/>
          <w:szCs w:val="20"/>
          <w:color w:val="auto"/>
        </w:rPr>
      </w:pPr>
      <w:r>
        <w:rPr>
          <w:rFonts w:ascii="Arial" w:cs="Arial" w:eastAsia="Arial" w:hAnsi="Arial"/>
          <w:sz w:val="17"/>
          <w:szCs w:val="17"/>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The Audit Committee is currently comprised of Messrs. Choper, Mooney and Mesdag. Each of the members of the Audit Committee is independent, as independence for Audit Committee members is defined under the rules of Nasdaq. Through May 14, 2015, Mr. Bernikow served on the audit committee and was our “audit committee financial expert” under the rules of the SEC. On May 14, 2015, Mr. Mooney was selected by the Board to replace Mr. Bernikow as a member of the Audit Committee and our Board determined that Mr. Mooney will now serve as our “audit committee financial expert.”</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p>
    <w:p>
      <w:pPr>
        <w:spacing w:after="0" w:line="170"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firstLine="8"/>
        <w:spacing w:after="0" w:line="253"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2014, the Audit Committee met five times.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“Report of the Audit Committee” included elsewhere in this Proxy Statement.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met seven times during fiscal 2014. The current members of the Compensation Committee are Messrs. Choper, Mesdag, Mooney and Porter, each of whom is “independent” under the rules of the Nasdaq.</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16 of this Proxy Statement. Among other things, the Compensation Discussion and Analysis describes in greater detail the Compensation Committee’s role in the executive compensation process.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currently separate the positions of Chief Executive Officer and Executive Chairman of the Board of Directors. Since 2002, Mr. Holtzman has served as our Chairman and since August 2014 as Executive Chairman. The responsibilities of the Executive Chairman of the Board of Directors include presiding at all meetings of the Board of Directors and stockholders of the Corporation and any such duties and functions as may from time to time be assigned by the Board of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ind w:right="280"/>
        <w:spacing w:after="0" w:line="257" w:lineRule="auto"/>
        <w:rPr>
          <w:sz w:val="20"/>
          <w:szCs w:val="20"/>
          <w:color w:val="auto"/>
        </w:rPr>
      </w:pPr>
      <w:r>
        <w:rPr>
          <w:rFonts w:ascii="Arial" w:cs="Arial" w:eastAsia="Arial" w:hAnsi="Arial"/>
          <w:sz w:val="18"/>
          <w:szCs w:val="18"/>
          <w:color w:val="auto"/>
        </w:rPr>
        <w:t>Separating the positions of Chief Executive Officer and Executive Chairman of the Board of Directors allows our Chief Executive Officer to focus on our day-to-day business, while allowing the Executive Chairman to lead the Board of Directors in its fundamental role of providing independent advice to and oversight of management. Although Mr. Holtzman is not an independent director, the Board of Directors believes that having Mr. Holtzman serve as Executive Chairman of the Board of Directors is the appropriate leadership structure for the Company, given his wealth of retail experience, his extensive knowledge of the Company and his history of innovative and strategic thinking.</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 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our practice of having a Lead Independent Director presiding at each quarterly in-person meeting, on an alphabetically rotating basis, provides us with an opportunity for fresh insight when the agenda for each Board meeting is set. It also provides the Board with leadership for the Independent Executive Sessions.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7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Beginning in 2009, our senior management team completed a risk assessment, with Ernst &amp; Young LLP, the Company’s independent registered public accounting firm at that time, serving as the facilitator. Our senior management team identified, assessed and prioritized various risks throughout the Company. Management identified compensating controls or recommendations for minimizing risk and meets periodically to review such controls and identify new potential risks. A reassessment and examination of those risks and the respective controls was most recently completed in the third quarter of fiscal 2014. The results of the risk reassessment were presented to the full Board of Directors.</w:t>
      </w:r>
    </w:p>
    <w:p>
      <w:pPr>
        <w:spacing w:after="0" w:line="1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Chief Executive Officer and Chief Financial Officer attend all meetings of the Board of Directors, except executive and independent sessions, and are available to address any questions or concerns raised by the Board of Directors on risk management-related and any other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355,812 shares remain available for future issuances at January 31, 2015. The Non-Employee Director Compensation Plan is a stand-alone plan and is not a sub-plan under our 2006 Incentive Compensation Plan (the “2006 Plan”). Accordingly, shares issued under this plan do not reduce the shares available for issuance under the 2006 Plan.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most recently in June 2013, to review compensation for our non-employee directors in comparison to our then peer group. As described below in “</w:t>
      </w:r>
      <w:r>
        <w:rPr>
          <w:rFonts w:ascii="Arial" w:cs="Arial" w:eastAsia="Arial" w:hAnsi="Arial"/>
          <w:sz w:val="18"/>
          <w:szCs w:val="18"/>
          <w:i w:val="1"/>
          <w:iCs w:val="1"/>
          <w:color w:val="auto"/>
        </w:rPr>
        <w:t>Compensation Discussion and Analysis – Compensation Committee Process,</w:t>
      </w:r>
      <w:r>
        <w:rPr>
          <w:rFonts w:ascii="Arial" w:cs="Arial" w:eastAsia="Arial" w:hAnsi="Arial"/>
          <w:sz w:val="18"/>
          <w:szCs w:val="18"/>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8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Under our Non-Employee Director Compensation Plan, non-employee directors receive an annual retainer of $102,250, which is paid quarterly. Each non-employee director also receives $1,500 for participation in each meeting of the Board and its committees and $750 for participation in each telephonic meeting. In addition, the Chairman of each of the Audit Committee, Compensation Committee and Nominating and Corporate Governance Committees receives an annual payment of $10,000, $5,000 and $5,000, respectively, which is paid quarterly. Upon the initial election to the Board, a non-employee director will receive a stock option grant of 15,000 shares under our 2006 Plan.</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Beginning in fiscal 2015, each non-employee director is required to receive 50% of his or her annual retainer in equity, in the form of stock options, stock or deferred shares. Because the Non-Employee Director Compensation Plan is not a shareholder approved plan, we cannot utilize shares under this plan to satisfy this required election. Therefore, any grants of equity to satisfy this required election will be issued from the 2006 Plan. Any voluntary election of shares, above this 50% retainer requirement, will be issued from the Non-Employee Director Compensation Plan. Stock options and deferred shares will continue to be issued from the 2006 Plan.</w:t>
      </w:r>
    </w:p>
    <w:p>
      <w:pPr>
        <w:spacing w:after="0" w:line="18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sets forth the compensation paid to our directors during fiscal 2014. David A. Levin is not included in the following table as he is a Named Executive Officer and, accordingly, received no compensation for his services as a director. Compensation that Mr. Kyees earned as a director, as well as earned consulting fees, is included in the following table. Compensation earned by Mr. Kyees while he served as Interim Chief Financial Officer and compensation earned by Mr. Levin are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DIRECTOR COMPENSATION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Fees Earned or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Option</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All Other</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 in Cash</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Awards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Compensation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13"/>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w w:val="84"/>
              </w:rPr>
              <w:t>($</w:t>
            </w:r>
          </w:p>
        </w:tc>
        <w:tc>
          <w:tcPr>
            <w:tcW w:w="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8"/>
              </w:rPr>
              <w:t>)(1)</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7"/>
              </w:rPr>
              <w:t>($)(2)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FF0FC"/>
            </w:tcBorders>
          </w:tcPr>
          <w:p>
            <w:pPr>
              <w:spacing w:after="0"/>
              <w:rPr>
                <w:sz w:val="18"/>
                <w:szCs w:val="18"/>
                <w:color w:val="auto"/>
              </w:rPr>
            </w:pPr>
          </w:p>
        </w:tc>
      </w:tr>
      <w:tr>
        <w:trPr>
          <w:trHeight w:val="213"/>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Seymour Holtzman, Executive Chairman</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396,750</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396,750</w:t>
            </w:r>
          </w:p>
        </w:tc>
        <w:tc>
          <w:tcPr>
            <w:tcW w:w="160" w:type="dxa"/>
            <w:vAlign w:val="bottom"/>
            <w:shd w:val="clear" w:color="auto" w:fill="CFF0FC"/>
          </w:tcPr>
          <w:p>
            <w:pPr>
              <w:spacing w:after="0"/>
              <w:rPr>
                <w:sz w:val="18"/>
                <w:szCs w:val="18"/>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color w:val="auto"/>
              </w:rPr>
              <w:t>Alan S. Bernikow</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118,750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118,750</w:t>
            </w:r>
          </w:p>
        </w:tc>
        <w:tc>
          <w:tcPr>
            <w:tcW w:w="16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Jesse Choper</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141,250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141,250</w:t>
            </w:r>
          </w:p>
        </w:tc>
        <w:tc>
          <w:tcPr>
            <w:tcW w:w="160" w:type="dxa"/>
            <w:vAlign w:val="bottom"/>
            <w:shd w:val="clear" w:color="auto" w:fill="CFF0FC"/>
          </w:tcPr>
          <w:p>
            <w:pPr>
              <w:spacing w:after="0"/>
              <w:rPr>
                <w:sz w:val="19"/>
                <w:szCs w:val="19"/>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color w:val="auto"/>
              </w:rPr>
              <w:t>John E. Kyees</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109,750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9,125</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118,875</w:t>
            </w:r>
          </w:p>
        </w:tc>
        <w:tc>
          <w:tcPr>
            <w:tcW w:w="16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Willem Mesdag</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119,500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119,500</w:t>
            </w:r>
          </w:p>
        </w:tc>
        <w:tc>
          <w:tcPr>
            <w:tcW w:w="160" w:type="dxa"/>
            <w:vAlign w:val="bottom"/>
            <w:shd w:val="clear" w:color="auto" w:fill="CFF0FC"/>
          </w:tcPr>
          <w:p>
            <w:pPr>
              <w:spacing w:after="0"/>
              <w:rPr>
                <w:sz w:val="19"/>
                <w:szCs w:val="19"/>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color w:val="auto"/>
              </w:rPr>
              <w:t>Ward K. Mooney</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116,500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116,500</w:t>
            </w:r>
          </w:p>
        </w:tc>
        <w:tc>
          <w:tcPr>
            <w:tcW w:w="16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George T. Porter, Jr.</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122,250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122,250</w:t>
            </w:r>
          </w:p>
        </w:tc>
        <w:tc>
          <w:tcPr>
            <w:tcW w:w="160" w:type="dxa"/>
            <w:vAlign w:val="bottom"/>
            <w:shd w:val="clear" w:color="auto" w:fill="CFF0FC"/>
          </w:tcPr>
          <w:p>
            <w:pPr>
              <w:spacing w:after="0"/>
              <w:rPr>
                <w:sz w:val="19"/>
                <w:szCs w:val="19"/>
                <w:color w:val="auto"/>
              </w:rPr>
            </w:pPr>
          </w:p>
        </w:tc>
      </w:tr>
      <w:tr>
        <w:trPr>
          <w:trHeight w:val="213"/>
        </w:trPr>
        <w:tc>
          <w:tcPr>
            <w:tcW w:w="5660" w:type="dxa"/>
            <w:vAlign w:val="bottom"/>
            <w:gridSpan w:val="2"/>
          </w:tcPr>
          <w:p>
            <w:pPr>
              <w:spacing w:after="0"/>
              <w:rPr>
                <w:sz w:val="20"/>
                <w:szCs w:val="20"/>
                <w:color w:val="auto"/>
              </w:rPr>
            </w:pPr>
            <w:r>
              <w:rPr>
                <w:rFonts w:ascii="Arial" w:cs="Arial" w:eastAsia="Arial" w:hAnsi="Arial"/>
                <w:sz w:val="16"/>
                <w:szCs w:val="16"/>
                <w:color w:val="auto"/>
              </w:rPr>
              <w:t>Mitchell S. Presser</w:t>
            </w:r>
          </w:p>
        </w:tc>
        <w:tc>
          <w:tcPr>
            <w:tcW w:w="5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113,500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113,500</w:t>
            </w:r>
          </w:p>
        </w:tc>
        <w:tc>
          <w:tcPr>
            <w:tcW w:w="160" w:type="dxa"/>
            <w:vAlign w:val="bottom"/>
          </w:tcPr>
          <w:p>
            <w:pPr>
              <w:spacing w:after="0"/>
              <w:rPr>
                <w:sz w:val="18"/>
                <w:szCs w:val="18"/>
                <w:color w:val="auto"/>
              </w:rPr>
            </w:pPr>
          </w:p>
        </w:tc>
      </w:tr>
      <w:tr>
        <w:trPr>
          <w:trHeight w:val="219"/>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Ivy Ross</w:t>
            </w:r>
          </w:p>
        </w:tc>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109,000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114,000</w:t>
            </w:r>
          </w:p>
        </w:tc>
        <w:tc>
          <w:tcPr>
            <w:tcW w:w="1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760" w:right="20" w:hanging="372"/>
        <w:spacing w:after="0" w:line="270"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Messrs. Choper and Porter received all fees paid during fiscal 2014 in cash. Mr. Presser elected to receive all fees paid during fiscal 2014 in unrestricted shares of our common stock. Mr. Bernikow elected to receive payment for all meetings in unrestricted shares of our common stock and his quarterly retainer fee in cash. Mr. Kyees elected to receive payment for all meetings in deferred shares of our common stock and his quarterly retainer fee in 50% cash and 50% deferred shares of our common stock. Mr. Mooney elected to receive all fees paid during fiscal 2014 in a combination of 50% cash and 50% unrestricted shares of common stock. Ms. Ross elected to receive payment for all meetings in cash and her retainer fee in 75% cash and 25% unrestricted shares of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760" w:right="840"/>
        <w:spacing w:after="0" w:line="256" w:lineRule="auto"/>
        <w:rPr>
          <w:sz w:val="20"/>
          <w:szCs w:val="20"/>
          <w:color w:val="auto"/>
        </w:rPr>
      </w:pPr>
      <w:r>
        <w:rPr>
          <w:rFonts w:ascii="Arial" w:cs="Arial" w:eastAsia="Arial" w:hAnsi="Arial"/>
          <w:sz w:val="18"/>
          <w:szCs w:val="18"/>
          <w:color w:val="auto"/>
        </w:rPr>
        <w:t>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jc w:val="both"/>
        <w:ind w:left="760" w:right="240" w:hanging="372"/>
        <w:spacing w:after="0" w:line="250"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2014. Each director had the following number of stock options outstanding at January 31, 2015: Mr. Holtzman: 160,000; Mr. Bernikow: 25,000; Mr. Choper: 25,000; Mr. Kyees: 43,648; Mr. Mesdag: 15,000; Mr. Mooney: 25,000; Mr. Porter: 44,136; Mr. Presser: 25,000 and Ms. Ross: 15,000.</w:t>
      </w:r>
    </w:p>
    <w:p>
      <w:pPr>
        <w:spacing w:after="0" w:line="1" w:lineRule="exact"/>
        <w:rPr>
          <w:rFonts w:ascii="Arial" w:cs="Arial" w:eastAsia="Arial" w:hAnsi="Arial"/>
          <w:sz w:val="18"/>
          <w:szCs w:val="18"/>
          <w:color w:val="auto"/>
        </w:rPr>
      </w:pPr>
    </w:p>
    <w:p>
      <w:pPr>
        <w:ind w:left="760" w:right="280" w:hanging="372"/>
        <w:spacing w:after="0" w:line="281"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February 2, 2014 until August 7, 2014, Mr. Holtzman received compensation from us both directly (as an employee of our Company) and indirectly (as a consultant pursuant to a consulting agreement we have with Jewelcor Management Inc. (“JMI”)). Mr. Holtzman is the president and chief executive officer and the indirect majority shareholders of JMI. On August 7, 2014, the consulting agreement was terminated and the Company entered into an Employment and Chairman Compensation Agreement with Mr. Holtzman. Pursuant to that agreement and consistent with the previous consulting agreement, Mr. Holtzman received an annual salary of $24,000 and compensation of $372,750 for his services as Executive Chairman. See below, under “Executive Chairman Compensation,” for a detailed discussion.</w:t>
      </w:r>
    </w:p>
    <w:p>
      <w:pPr>
        <w:spacing w:after="0" w:line="4" w:lineRule="exact"/>
        <w:rPr>
          <w:rFonts w:ascii="Arial" w:cs="Arial" w:eastAsia="Arial" w:hAnsi="Arial"/>
          <w:sz w:val="16"/>
          <w:szCs w:val="16"/>
          <w:color w:val="auto"/>
        </w:rPr>
      </w:pPr>
    </w:p>
    <w:p>
      <w:pPr>
        <w:ind w:left="760" w:right="240" w:hanging="372"/>
        <w:spacing w:after="0" w:line="250"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fiscal 2014, Mr. Kyees received $9,125 in consulting fees associated with the transition of the chief financial officer position to Mr. Stratton. Compensation that Mr. Kyees earned while he served as our Interim Chief Financial Officer from February 2, 2014 to May 31, 2014 is reported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760" w:hanging="37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Ross received a cash payment of $5,000, paid quarterly, to serve as Chair to the Company’s Interim Marketing Advisory Group.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Compensation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Second and Amended By-Laws. The initial term of the agreement is for two years. Commencing August 7, 2015, the agreement will be automatically extended for an additional one-year term on each anniversary date. As compensation, Mr. Holtzman will receive an annual base salary of $24,000 for this employment services and an annual compensation of $372,750 for his services as Executive Chairman. Sibson Consulting reviewed Mr. Holtzman’s compensation under this agreement compared to our peer group and concluded that the total compensation was at the higher end of the range, when compared to our peer group. The Compensation Committee reviewed the Sibson report and approved the agreement and compensation to Mr. Holtzman.</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this arrangement, Mr. Holtzman was compensated for his services pursuant to a consulting agreement with Jewelcor Management Inc. (“JMI”). Under the consulting agreement, Mr. Holtzman was receiving the same compensation as above, $24,000 for his employment services and $372,750 for services as Chairman of the Board. Mr. Holtzman is the president and chief executive officer and, together with his wife, indirectly, the majority shareholder of</w:t>
      </w:r>
    </w:p>
    <w:p>
      <w:pPr>
        <w:ind w:right="1020"/>
        <w:spacing w:after="0" w:line="261" w:lineRule="auto"/>
        <w:rPr>
          <w:sz w:val="20"/>
          <w:szCs w:val="20"/>
          <w:color w:val="auto"/>
        </w:rPr>
      </w:pPr>
      <w:r>
        <w:rPr>
          <w:rFonts w:ascii="Arial" w:cs="Arial" w:eastAsia="Arial" w:hAnsi="Arial"/>
          <w:sz w:val="18"/>
          <w:szCs w:val="18"/>
          <w:color w:val="auto"/>
        </w:rPr>
        <w:t>JMI. The consulting agreement with JMI was terminated on August 7, 2014 in connection with the execution of the Employment and Chairman Compensation Agreement discussed above.</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2014.</w:t>
      </w:r>
    </w:p>
    <w:p>
      <w:pPr>
        <w:spacing w:after="0" w:line="15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Section 6.2(A) of our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fiscal 2014, the members of the Compensation Committee were Messrs. Choper, Mesdag, Mooney and Porter. Persons serving on the Compensation Committee had no relationships with our Company in fiscal 2014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2014 (collectively, our “Named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2014 were:</w:t>
      </w:r>
    </w:p>
    <w:p>
      <w:pPr>
        <w:spacing w:after="0" w:line="225" w:lineRule="exact"/>
        <w:rPr>
          <w:sz w:val="20"/>
          <w:szCs w:val="20"/>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David A. Levin, President and CEO</w:t>
      </w:r>
    </w:p>
    <w:p>
      <w:pPr>
        <w:spacing w:after="0" w:line="23" w:lineRule="exact"/>
        <w:rPr>
          <w:rFonts w:ascii="Arial" w:cs="Arial" w:eastAsia="Arial" w:hAnsi="Arial"/>
          <w:sz w:val="18"/>
          <w:szCs w:val="18"/>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John E. Kyees, former Interim Chief Financial Officer and director</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Robert S. Molloy, Senior Vice President, General Counsel and Secretary</w:t>
      </w:r>
    </w:p>
    <w:p>
      <w:pPr>
        <w:spacing w:after="0" w:line="9" w:lineRule="exact"/>
        <w:rPr>
          <w:rFonts w:ascii="Arial" w:cs="Arial" w:eastAsia="Arial" w:hAnsi="Arial"/>
          <w:sz w:val="18"/>
          <w:szCs w:val="18"/>
          <w:color w:val="auto"/>
        </w:rPr>
      </w:pPr>
    </w:p>
    <w:p>
      <w:pPr>
        <w:ind w:left="1140" w:hanging="37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Derrick Walker, Senior Vice President and Chief Marketing Officer</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John E. Kyees, a director of the Company, was appointed and served as Interim Chief Financial Officer from February 2, 2014 until May 31, 2014. Effective June 1, 2014, Peter H. Stratton, Jr., Senior Vice President Finance, Corporate Controller and Chief Accounting Officer was promoted to Senior Vice President, Chief Financial Officer and Treasurer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2014 Company Performance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had a very strong performance in fiscal 2014, both financially and operationally. We are in the middle of transforming our Company by exiting the majority of our Casual Male XL stores and opening our new DXL stores.</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Fiscal 2013 was the first year of our DXL accelerated roll-out initiative and, at the end of the year, we identified specific initiatives and improvements with the roll-out that we believed would improve our financial performance. By the end of fiscal 2014, we had accomplished the following:</w:t>
      </w:r>
    </w:p>
    <w:p>
      <w:pPr>
        <w:spacing w:after="0" w:line="38" w:lineRule="exact"/>
        <w:rPr>
          <w:sz w:val="20"/>
          <w:szCs w:val="20"/>
          <w:color w:val="auto"/>
        </w:rPr>
      </w:pPr>
    </w:p>
    <w:p>
      <w:pPr>
        <w:ind w:left="760" w:hanging="37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store traffic through our national marketing campaign efforts and increased the conversion rate of that traffic into sales.</w:t>
      </w:r>
    </w:p>
    <w:p>
      <w:pPr>
        <w:spacing w:after="0" w:line="117" w:lineRule="exact"/>
        <w:rPr>
          <w:rFonts w:ascii="Arial" w:cs="Arial" w:eastAsia="Arial" w:hAnsi="Arial"/>
          <w:sz w:val="18"/>
          <w:szCs w:val="18"/>
          <w:color w:val="auto"/>
        </w:rPr>
      </w:pPr>
    </w:p>
    <w:p>
      <w:pPr>
        <w:ind w:left="760" w:hanging="372"/>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Developed a DXL store format with a smaller footprint that could be successful in smaller markets where our prototype store would be too large to make financial sense with a smaller sales base.</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Slowed the closing of our Casual Male XL stores, enabling them to work as “brand ambassadors” for our DXL stores.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Opened all 41 new stores (39 DXL stores and 2 DXL outlet stores) prior to the holiday shopping season, maximizing each store’s profitability.</w:t>
      </w:r>
    </w:p>
    <w:p>
      <w:pPr>
        <w:spacing w:after="0" w:line="140" w:lineRule="exact"/>
        <w:rPr>
          <w:rFonts w:ascii="Arial" w:cs="Arial" w:eastAsia="Arial" w:hAnsi="Arial"/>
          <w:sz w:val="16"/>
          <w:szCs w:val="16"/>
          <w:color w:val="auto"/>
        </w:rPr>
      </w:pPr>
    </w:p>
    <w:p>
      <w:pPr>
        <w:ind w:left="760" w:right="20" w:hanging="372"/>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Invested in our technology, helping us become an omni-channel retailer. Through new software, we were able to provide our customers full access to chain-wide inventory.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successful implementation of these initiatives had a direct impact on top-line growth and financial results for fiscal 2014:</w:t>
      </w:r>
    </w:p>
    <w:p>
      <w:pPr>
        <w:spacing w:after="0" w:line="200" w:lineRule="exact"/>
        <w:rPr>
          <w:sz w:val="20"/>
          <w:szCs w:val="20"/>
          <w:color w:val="auto"/>
        </w:rPr>
      </w:pPr>
    </w:p>
    <w:p>
      <w:pPr>
        <w:spacing w:after="0" w:line="241" w:lineRule="exact"/>
        <w:rPr>
          <w:sz w:val="20"/>
          <w:szCs w:val="20"/>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sales increased 7.1%</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Comparable sales increased 6.4%</w:t>
      </w:r>
    </w:p>
    <w:p>
      <w:pPr>
        <w:spacing w:after="0" w:line="117" w:lineRule="exact"/>
        <w:rPr>
          <w:rFonts w:ascii="Arial" w:cs="Arial" w:eastAsia="Arial" w:hAnsi="Arial"/>
          <w:sz w:val="18"/>
          <w:szCs w:val="18"/>
          <w:color w:val="auto"/>
        </w:rPr>
      </w:pPr>
    </w:p>
    <w:p>
      <w:pPr>
        <w:ind w:left="760" w:right="100" w:hanging="37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DXL stores had a comparable sales increase of 13.7%. This increase was driven by a 13.9% increase in the total number of sales transactions from fiscal 2013.</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DXL stores had seven consecutive quarters of double-digit comparable sales increases as of the end of fiscal 2014.</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DXL average sales per square foot of $165 for fiscal 2014 exceeded our goal of $160 per square foot.</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EBITDA from continuing operations </w:t>
      </w:r>
      <w:r>
        <w:rPr>
          <w:rFonts w:ascii="Arial" w:cs="Arial" w:eastAsia="Arial" w:hAnsi="Arial"/>
          <w:sz w:val="15"/>
          <w:szCs w:val="15"/>
          <w:color w:val="auto"/>
        </w:rPr>
        <w:t>(1)</w:t>
      </w:r>
      <w:r>
        <w:rPr>
          <w:rFonts w:ascii="Arial" w:cs="Arial" w:eastAsia="Arial" w:hAnsi="Arial"/>
          <w:sz w:val="18"/>
          <w:szCs w:val="18"/>
          <w:color w:val="auto"/>
        </w:rPr>
        <w:t xml:space="preserve"> more than doubled to $15.2 million, as compared to $7.3 million in fiscal 2013.</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Achieved financial targets for fiscal 2014 as communicated to shareholders.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3"/>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720" w:type="dxa"/>
            <w:vAlign w:val="bottom"/>
            <w:gridSpan w:val="7"/>
          </w:tcPr>
          <w:p>
            <w:pPr>
              <w:jc w:val="right"/>
              <w:ind w:right="1000"/>
              <w:spacing w:after="0"/>
              <w:rPr>
                <w:sz w:val="20"/>
                <w:szCs w:val="20"/>
                <w:color w:val="auto"/>
              </w:rPr>
            </w:pPr>
            <w:r>
              <w:rPr>
                <w:rFonts w:ascii="Arial" w:cs="Arial" w:eastAsia="Arial" w:hAnsi="Arial"/>
                <w:sz w:val="16"/>
                <w:szCs w:val="16"/>
                <w:b w:val="1"/>
                <w:bCs w:val="1"/>
                <w:color w:val="auto"/>
              </w:rPr>
              <w:t>For the fiscal year ending:</w:t>
            </w:r>
          </w:p>
        </w:tc>
      </w:tr>
      <w:tr>
        <w:trPr>
          <w:trHeight w:val="207"/>
        </w:trPr>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86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rPr>
              <w:t>January 31, 2015</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February 1, 2014</w:t>
            </w:r>
          </w:p>
        </w:tc>
        <w:tc>
          <w:tcPr>
            <w:tcW w:w="80" w:type="dxa"/>
            <w:vAlign w:val="bottom"/>
          </w:tcPr>
          <w:p>
            <w:pPr>
              <w:spacing w:after="0"/>
              <w:rPr>
                <w:sz w:val="17"/>
                <w:szCs w:val="17"/>
                <w:color w:val="auto"/>
              </w:rPr>
            </w:pPr>
          </w:p>
        </w:tc>
      </w:tr>
      <w:tr>
        <w:trPr>
          <w:trHeight w:val="219"/>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(Fiscal 2014)</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(Fiscal 2013)</w:t>
            </w:r>
          </w:p>
        </w:tc>
        <w:tc>
          <w:tcPr>
            <w:tcW w:w="80" w:type="dxa"/>
            <w:vAlign w:val="bottom"/>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720" w:type="dxa"/>
            <w:vAlign w:val="bottom"/>
            <w:gridSpan w:val="7"/>
          </w:tcPr>
          <w:p>
            <w:pPr>
              <w:jc w:val="right"/>
              <w:ind w:right="380"/>
              <w:spacing w:after="0"/>
              <w:rPr>
                <w:sz w:val="20"/>
                <w:szCs w:val="20"/>
                <w:color w:val="auto"/>
              </w:rPr>
            </w:pPr>
            <w:r>
              <w:rPr>
                <w:rFonts w:ascii="Arial" w:cs="Arial" w:eastAsia="Arial" w:hAnsi="Arial"/>
                <w:sz w:val="16"/>
                <w:szCs w:val="16"/>
                <w:i w:val="1"/>
                <w:iCs w:val="1"/>
                <w:color w:val="auto"/>
                <w:w w:val="99"/>
              </w:rPr>
              <w:t>(in millions, except per share and percentages)</w:t>
            </w:r>
          </w:p>
        </w:tc>
      </w:tr>
      <w:tr>
        <w:trPr>
          <w:trHeight w:val="219"/>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i w:val="1"/>
                <w:iCs w:val="1"/>
                <w:color w:val="auto"/>
              </w:rPr>
              <w:t>Financial Highlights</w:t>
            </w:r>
            <w:r>
              <w:rPr>
                <w:rFonts w:ascii="Arial" w:cs="Arial" w:eastAsia="Arial" w:hAnsi="Arial"/>
                <w:sz w:val="16"/>
                <w:szCs w:val="16"/>
                <w:color w:val="auto"/>
              </w:rPr>
              <w:t>:</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700" w:type="dxa"/>
            <w:vAlign w:val="bottom"/>
            <w:gridSpan w:val="4"/>
          </w:tcPr>
          <w:p>
            <w:pPr>
              <w:spacing w:after="0"/>
              <w:rPr>
                <w:sz w:val="20"/>
                <w:szCs w:val="20"/>
                <w:color w:val="auto"/>
              </w:rPr>
            </w:pPr>
            <w:r>
              <w:rPr>
                <w:rFonts w:ascii="Arial" w:cs="Arial" w:eastAsia="Arial" w:hAnsi="Arial"/>
                <w:sz w:val="16"/>
                <w:szCs w:val="16"/>
                <w:color w:val="auto"/>
              </w:rPr>
              <w:t>Operating loss (GAAP)</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(8.8)</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(13.5</w:t>
            </w:r>
            <w:r>
              <w:rPr>
                <w:rFonts w:ascii="Arial" w:cs="Arial" w:eastAsia="Arial" w:hAnsi="Arial"/>
                <w:sz w:val="18"/>
                <w:szCs w:val="18"/>
                <w:color w:val="auto"/>
              </w:rPr>
              <w:t>)</w:t>
            </w:r>
          </w:p>
        </w:tc>
      </w:tr>
      <w:tr>
        <w:trPr>
          <w:trHeight w:val="227"/>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Add back: Depreciation and amortization expense</w:t>
            </w:r>
          </w:p>
        </w:tc>
        <w:tc>
          <w:tcPr>
            <w:tcW w:w="1240" w:type="dxa"/>
            <w:vAlign w:val="bottom"/>
            <w:shd w:val="clear" w:color="auto" w:fill="CFF0FC"/>
          </w:tcPr>
          <w:p>
            <w:pPr>
              <w:jc w:val="right"/>
              <w:ind w:right="108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FF0FC"/>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6"/>
        </w:trPr>
        <w:tc>
          <w:tcPr>
            <w:tcW w:w="7700" w:type="dxa"/>
            <w:vAlign w:val="bottom"/>
            <w:gridSpan w:val="4"/>
          </w:tcPr>
          <w:p>
            <w:pPr>
              <w:spacing w:after="0" w:line="226"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6"/>
                <w:szCs w:val="26"/>
                <w:color w:val="auto"/>
                <w:vertAlign w:val="superscript"/>
              </w:rPr>
              <w:t>(1)</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9"/>
                <w:szCs w:val="19"/>
                <w:color w:val="auto"/>
              </w:rPr>
            </w:pPr>
          </w:p>
        </w:tc>
      </w:tr>
      <w:tr>
        <w:trPr>
          <w:trHeight w:val="230"/>
        </w:trPr>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7700" w:type="dxa"/>
            <w:vAlign w:val="bottom"/>
            <w:gridSpan w:val="4"/>
          </w:tcPr>
          <w:p>
            <w:pPr>
              <w:spacing w:after="0"/>
              <w:rPr>
                <w:sz w:val="20"/>
                <w:szCs w:val="20"/>
                <w:color w:val="auto"/>
              </w:rPr>
            </w:pPr>
            <w:r>
              <w:rPr>
                <w:rFonts w:ascii="Arial" w:cs="Arial" w:eastAsia="Arial" w:hAnsi="Arial"/>
                <w:sz w:val="16"/>
                <w:szCs w:val="16"/>
                <w:b w:val="1"/>
                <w:bCs w:val="1"/>
                <w:color w:val="auto"/>
              </w:rPr>
              <w:t>Diluted earnings (loss) per share:</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2"/>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On a GAAP basis:</w:t>
            </w:r>
          </w:p>
        </w:tc>
        <w:tc>
          <w:tcPr>
            <w:tcW w:w="1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
        </w:trPr>
        <w:tc>
          <w:tcPr>
            <w:tcW w:w="1200" w:type="dxa"/>
            <w:vAlign w:val="bottom"/>
            <w:tcBorders>
              <w:top w:val="single" w:sz="8" w:color="auto"/>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7700" w:type="dxa"/>
            <w:vAlign w:val="bottom"/>
            <w:gridSpan w:val="4"/>
          </w:tcPr>
          <w:p>
            <w:pPr>
              <w:spacing w:after="0"/>
              <w:rPr>
                <w:sz w:val="20"/>
                <w:szCs w:val="20"/>
                <w:color w:val="auto"/>
              </w:rPr>
            </w:pPr>
            <w:r>
              <w:rPr>
                <w:rFonts w:ascii="Arial" w:cs="Arial" w:eastAsia="Arial" w:hAnsi="Arial"/>
                <w:sz w:val="16"/>
                <w:szCs w:val="16"/>
                <w:color w:val="auto"/>
              </w:rPr>
              <w:t>Loss from continuing operations</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(0.23)</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r>
              <w:rPr>
                <w:rFonts w:ascii="Arial" w:cs="Arial" w:eastAsia="Arial" w:hAnsi="Arial"/>
                <w:sz w:val="18"/>
                <w:szCs w:val="18"/>
                <w:color w:val="auto"/>
              </w:rPr>
              <w:t>)</w:t>
            </w:r>
          </w:p>
        </w:tc>
      </w:tr>
      <w:tr>
        <w:trPr>
          <w:trHeight w:val="230"/>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1240" w:type="dxa"/>
            <w:vAlign w:val="bottom"/>
            <w:shd w:val="clear" w:color="auto" w:fill="CFF0FC"/>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5"/>
              </w:rPr>
              <w:t>(0.02)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FF0FC"/>
          </w:tcPr>
          <w:p>
            <w:pPr>
              <w:spacing w:after="0"/>
              <w:rPr>
                <w:sz w:val="19"/>
                <w:szCs w:val="19"/>
                <w:color w:val="auto"/>
              </w:rPr>
            </w:pPr>
          </w:p>
        </w:tc>
      </w:tr>
      <w:tr>
        <w:trPr>
          <w:trHeight w:val="230"/>
        </w:trPr>
        <w:tc>
          <w:tcPr>
            <w:tcW w:w="7700" w:type="dxa"/>
            <w:vAlign w:val="bottom"/>
            <w:gridSpan w:val="4"/>
          </w:tcPr>
          <w:p>
            <w:pPr>
              <w:spacing w:after="0"/>
              <w:rPr>
                <w:sz w:val="20"/>
                <w:szCs w:val="20"/>
                <w:color w:val="auto"/>
              </w:rPr>
            </w:pPr>
            <w:r>
              <w:rPr>
                <w:rFonts w:ascii="Arial" w:cs="Arial" w:eastAsia="Arial" w:hAnsi="Arial"/>
                <w:sz w:val="16"/>
                <w:szCs w:val="16"/>
                <w:color w:val="auto"/>
              </w:rPr>
              <w:t>Net loss</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(0.25)</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(1.23</w:t>
            </w:r>
            <w:r>
              <w:rPr>
                <w:rFonts w:ascii="Arial" w:cs="Arial" w:eastAsia="Arial" w:hAnsi="Arial"/>
                <w:sz w:val="18"/>
                <w:szCs w:val="18"/>
                <w:color w:val="auto"/>
              </w:rPr>
              <w:t>)</w:t>
            </w:r>
          </w:p>
        </w:tc>
      </w:tr>
      <w:tr>
        <w:trPr>
          <w:trHeight w:val="187"/>
        </w:trPr>
        <w:tc>
          <w:tcPr>
            <w:tcW w:w="154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6"/>
                <w:szCs w:val="16"/>
                <w:color w:val="auto"/>
                <w:w w:val="94"/>
              </w:rPr>
              <w:t>On a Non-GAAP basis</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81"/>
              </w:rPr>
              <w:t>(1)</w:t>
            </w:r>
          </w:p>
        </w:tc>
        <w:tc>
          <w:tcPr>
            <w:tcW w:w="6000" w:type="dxa"/>
            <w:vAlign w:val="bottom"/>
            <w:tcBorders>
              <w:bottom w:val="single" w:sz="8" w:color="CFF0FC"/>
            </w:tcBorders>
            <w:shd w:val="clear" w:color="auto" w:fill="CFF0FC"/>
          </w:tcPr>
          <w:p>
            <w:pPr>
              <w:jc w:val="right"/>
              <w:ind w:right="5859"/>
              <w:spacing w:after="0" w:line="155" w:lineRule="exact"/>
              <w:rPr>
                <w:sz w:val="20"/>
                <w:szCs w:val="20"/>
                <w:color w:val="auto"/>
              </w:rPr>
            </w:pPr>
            <w:r>
              <w:rPr>
                <w:rFonts w:ascii="Arial" w:cs="Arial" w:eastAsia="Arial" w:hAnsi="Arial"/>
                <w:sz w:val="16"/>
                <w:szCs w:val="16"/>
                <w:i w:val="1"/>
                <w:iCs w:val="1"/>
                <w:u w:val="single" w:color="auto"/>
                <w:color w:val="auto"/>
                <w:w w:val="88"/>
              </w:rPr>
              <w:t>:</w:t>
            </w:r>
          </w:p>
        </w:tc>
        <w:tc>
          <w:tcPr>
            <w:tcW w:w="12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5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r>
      <w:tr>
        <w:trPr>
          <w:trHeight w:val="28"/>
        </w:trPr>
        <w:tc>
          <w:tcPr>
            <w:tcW w:w="1200" w:type="dxa"/>
            <w:vAlign w:val="bottom"/>
            <w:tcBorders>
              <w:top w:val="single" w:sz="8" w:color="CFF0FC"/>
            </w:tcBorders>
            <w:shd w:val="clear" w:color="auto" w:fill="000000"/>
          </w:tcPr>
          <w:p>
            <w:pPr>
              <w:spacing w:after="0"/>
              <w:rPr>
                <w:sz w:val="2"/>
                <w:szCs w:val="2"/>
                <w:color w:val="auto"/>
              </w:rPr>
            </w:pPr>
          </w:p>
        </w:tc>
        <w:tc>
          <w:tcPr>
            <w:tcW w:w="340" w:type="dxa"/>
            <w:vAlign w:val="bottom"/>
            <w:tcBorders>
              <w:top w:val="single" w:sz="8" w:color="CFF0FC"/>
            </w:tcBorders>
            <w:shd w:val="clear" w:color="auto" w:fill="000000"/>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0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5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r>
      <w:tr>
        <w:trPr>
          <w:trHeight w:val="230"/>
        </w:trPr>
        <w:tc>
          <w:tcPr>
            <w:tcW w:w="7700" w:type="dxa"/>
            <w:vAlign w:val="bottom"/>
            <w:gridSpan w:val="4"/>
          </w:tcPr>
          <w:p>
            <w:pPr>
              <w:spacing w:after="0"/>
              <w:rPr>
                <w:sz w:val="20"/>
                <w:szCs w:val="20"/>
                <w:color w:val="auto"/>
              </w:rPr>
            </w:pPr>
            <w:r>
              <w:rPr>
                <w:rFonts w:ascii="Arial" w:cs="Arial" w:eastAsia="Arial" w:hAnsi="Arial"/>
                <w:sz w:val="16"/>
                <w:szCs w:val="16"/>
                <w:color w:val="auto"/>
              </w:rPr>
              <w:t>Adjusted loss from continuing operations (non-GAAP basis)</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(0.13)</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(0.14</w:t>
            </w:r>
            <w:r>
              <w:rPr>
                <w:rFonts w:ascii="Arial" w:cs="Arial" w:eastAsia="Arial" w:hAnsi="Arial"/>
                <w:sz w:val="18"/>
                <w:szCs w:val="18"/>
                <w:color w:val="auto"/>
              </w:rPr>
              <w:t>)</w:t>
            </w:r>
          </w:p>
        </w:tc>
      </w:tr>
      <w:tr>
        <w:trPr>
          <w:trHeight w:val="230"/>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1240" w:type="dxa"/>
            <w:vAlign w:val="bottom"/>
            <w:shd w:val="clear" w:color="auto" w:fill="CFF0FC"/>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5"/>
              </w:rPr>
              <w:t>(0.02)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FF0FC"/>
          </w:tcPr>
          <w:p>
            <w:pPr>
              <w:spacing w:after="0"/>
              <w:rPr>
                <w:sz w:val="19"/>
                <w:szCs w:val="19"/>
                <w:color w:val="auto"/>
              </w:rPr>
            </w:pPr>
          </w:p>
        </w:tc>
      </w:tr>
      <w:tr>
        <w:trPr>
          <w:trHeight w:val="230"/>
        </w:trPr>
        <w:tc>
          <w:tcPr>
            <w:tcW w:w="7700" w:type="dxa"/>
            <w:vAlign w:val="bottom"/>
            <w:gridSpan w:val="4"/>
          </w:tcPr>
          <w:p>
            <w:pPr>
              <w:spacing w:after="0"/>
              <w:rPr>
                <w:sz w:val="20"/>
                <w:szCs w:val="20"/>
                <w:color w:val="auto"/>
              </w:rPr>
            </w:pPr>
            <w:r>
              <w:rPr>
                <w:rFonts w:ascii="Arial" w:cs="Arial" w:eastAsia="Arial" w:hAnsi="Arial"/>
                <w:sz w:val="16"/>
                <w:szCs w:val="16"/>
                <w:color w:val="auto"/>
              </w:rPr>
              <w:t>Adjusted net loss (non-GAAP basis)</w:t>
            </w:r>
          </w:p>
        </w:tc>
        <w:tc>
          <w:tcPr>
            <w:tcW w:w="1240" w:type="dxa"/>
            <w:vAlign w:val="bottom"/>
          </w:tcPr>
          <w:p>
            <w:pPr>
              <w:jc w:val="right"/>
              <w:ind w:right="108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(0.16)</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(0.13</w:t>
            </w:r>
            <w:r>
              <w:rPr>
                <w:rFonts w:ascii="Arial" w:cs="Arial" w:eastAsia="Arial" w:hAnsi="Arial"/>
                <w:sz w:val="18"/>
                <w:szCs w:val="18"/>
                <w:color w:val="auto"/>
              </w:rPr>
              <w:t>)</w:t>
            </w:r>
          </w:p>
        </w:tc>
      </w:tr>
      <w:tr>
        <w:trPr>
          <w:trHeight w:val="230"/>
        </w:trPr>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7700" w:type="dxa"/>
            <w:vAlign w:val="bottom"/>
            <w:gridSpan w:val="4"/>
          </w:tcPr>
          <w:p>
            <w:pPr>
              <w:spacing w:after="0" w:line="230" w:lineRule="exact"/>
              <w:rPr>
                <w:sz w:val="20"/>
                <w:szCs w:val="20"/>
                <w:color w:val="auto"/>
              </w:rPr>
            </w:pPr>
            <w:r>
              <w:rPr>
                <w:rFonts w:ascii="Arial" w:cs="Arial" w:eastAsia="Arial" w:hAnsi="Arial"/>
                <w:sz w:val="16"/>
                <w:szCs w:val="16"/>
                <w:i w:val="1"/>
                <w:iCs w:val="1"/>
                <w:color w:val="auto"/>
              </w:rPr>
              <w:t xml:space="preserve">Shareholder Return </w:t>
            </w:r>
            <w:r>
              <w:rPr>
                <w:rFonts w:ascii="Arial" w:cs="Arial" w:eastAsia="Arial" w:hAnsi="Arial"/>
                <w:sz w:val="26"/>
                <w:szCs w:val="26"/>
                <w:i w:val="1"/>
                <w:iCs w:val="1"/>
                <w:color w:val="auto"/>
                <w:vertAlign w:val="superscript"/>
              </w:rPr>
              <w:t>(2)</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700" w:type="dxa"/>
            <w:vAlign w:val="bottom"/>
            <w:gridSpan w:val="4"/>
            <w:shd w:val="clear" w:color="auto" w:fill="CFF0FC"/>
          </w:tcPr>
          <w:p>
            <w:pPr>
              <w:spacing w:after="0" w:line="230" w:lineRule="exact"/>
              <w:rPr>
                <w:sz w:val="20"/>
                <w:szCs w:val="20"/>
                <w:color w:val="auto"/>
              </w:rPr>
            </w:pPr>
            <w:r>
              <w:rPr>
                <w:rFonts w:ascii="Arial" w:cs="Arial" w:eastAsia="Arial" w:hAnsi="Arial"/>
                <w:sz w:val="16"/>
                <w:szCs w:val="16"/>
                <w:color w:val="auto"/>
              </w:rPr>
              <w:t xml:space="preserve">Total 1-year Shareholder Return </w:t>
            </w:r>
            <w:r>
              <w:rPr>
                <w:rFonts w:ascii="Arial" w:cs="Arial" w:eastAsia="Arial" w:hAnsi="Arial"/>
                <w:sz w:val="26"/>
                <w:szCs w:val="26"/>
                <w:color w:val="auto"/>
                <w:vertAlign w:val="superscript"/>
              </w:rPr>
              <w:t>(3)</w:t>
            </w: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7700" w:type="dxa"/>
            <w:vAlign w:val="bottom"/>
            <w:gridSpan w:val="4"/>
          </w:tcPr>
          <w:p>
            <w:pPr>
              <w:spacing w:after="0"/>
              <w:rPr>
                <w:sz w:val="20"/>
                <w:szCs w:val="20"/>
                <w:color w:val="auto"/>
              </w:rPr>
            </w:pPr>
            <w:r>
              <w:rPr>
                <w:rFonts w:ascii="Arial" w:cs="Arial" w:eastAsia="Arial" w:hAnsi="Arial"/>
                <w:sz w:val="16"/>
                <w:szCs w:val="16"/>
                <w:color w:val="auto"/>
              </w:rPr>
              <w:t>Total 2-year Shareholder Return</w:t>
            </w:r>
          </w:p>
        </w:tc>
        <w:tc>
          <w:tcPr>
            <w:tcW w:w="12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77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Total 3-year Shareholder Return</w:t>
            </w:r>
          </w:p>
        </w:tc>
        <w:tc>
          <w:tcPr>
            <w:tcW w:w="12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680" w:hanging="38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Non-GAAP measures. See below for reconciliation of these non-GAAP measures to GAAP.</w:t>
      </w:r>
    </w:p>
    <w:p>
      <w:pPr>
        <w:spacing w:after="0" w:line="23" w:lineRule="exact"/>
        <w:rPr>
          <w:rFonts w:ascii="Arial" w:cs="Arial" w:eastAsia="Arial" w:hAnsi="Arial"/>
          <w:sz w:val="18"/>
          <w:szCs w:val="18"/>
          <w:color w:val="auto"/>
        </w:rPr>
      </w:pPr>
    </w:p>
    <w:p>
      <w:pPr>
        <w:ind w:left="680" w:right="100" w:hanging="387"/>
        <w:spacing w:after="0" w:line="250"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1-year Shareholder Return for fiscal 2014 was calculated by taking the percentage change in stock price from January 31, 2014 to January 30, 2015. Total 2-year Shareholder Return for fiscal 2014 was calculated by taking the percentage change in stock price from February 1, 2013 to January 30, 2015. Total 3-year Shareholder Return for fiscal 2014 was calculated by taking the percentage change in stock price from January 27, 2012 to January 30, 2015. No dividends were paid by us. We calculated all shareholder returns using the closing price of our common stock on the last business day of each fiscal year.</w:t>
      </w:r>
    </w:p>
    <w:p>
      <w:pPr>
        <w:spacing w:after="0" w:line="2" w:lineRule="exact"/>
        <w:rPr>
          <w:rFonts w:ascii="Arial" w:cs="Arial" w:eastAsia="Arial" w:hAnsi="Arial"/>
          <w:sz w:val="18"/>
          <w:szCs w:val="18"/>
          <w:color w:val="auto"/>
        </w:rPr>
      </w:pPr>
    </w:p>
    <w:p>
      <w:pPr>
        <w:ind w:left="680" w:right="100" w:hanging="382"/>
        <w:spacing w:after="0" w:line="255"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While we had very strong performance in fiscal 2014 and showed continued top-line growth and improved profitability, on an EBITDA basis, we did report a net loss in fiscal 2014 and, despite continued growth in EBITDA, are forecasting a similar net loss in fiscal 2015. As a result, our short-term total shareholder return (TSR) may lag behind until we are able to return to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2014 Executive Compensation Highlights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that there was alignment in the performance of the Company and the value of compensation awarded to our Named Executive Officers for fiscal 2014. For Mr. Levin, our CEO, almost 50% of the compensation that he earned in fiscal 2014 was performance-based and the result of achieving or exceeding each of the performance metrics under our annual incentive plan, or “AIP”. For our other Named Executive Officers, more than 25% of the compensation earned by each of them in fiscal 2014 was performance-based. Participation levels, the performance targets and actual results are discussed below under “</w:t>
      </w:r>
      <w:r>
        <w:rPr>
          <w:rFonts w:ascii="Arial" w:cs="Arial" w:eastAsia="Arial" w:hAnsi="Arial"/>
          <w:sz w:val="18"/>
          <w:szCs w:val="18"/>
          <w:i w:val="1"/>
          <w:iCs w:val="1"/>
          <w:color w:val="auto"/>
        </w:rPr>
        <w:t>Compensation Components, Fiscal 2014 Compensation Decisions and 2015 Annual Incentive Plan Targets – Performance-based annual cash</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 2014 Annual Incentive Plan.</w:t>
      </w:r>
      <w:r>
        <w:rPr>
          <w:rFonts w:ascii="Arial" w:cs="Arial" w:eastAsia="Arial" w:hAnsi="Arial"/>
          <w:sz w:val="18"/>
          <w:szCs w:val="18"/>
          <w:color w:val="auto"/>
        </w:rPr>
        <w:t>”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below for a detailed description of compensation for each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w:t>
      </w:r>
    </w:p>
    <w:p>
      <w:pPr>
        <w:spacing w:after="0" w:line="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 a comparative basis, the following table shows total compensation earned for each Named Executive Officer for fiscal 2014 as compared to fiscal 2013. Excluding Mr. Kyees, the primary reason for the decrease in compensation earned in fiscal 2014 compared to fiscal 2013 is an initial grant of time-based equity awards in fiscal 2013 under the Company’s Long-Term Incentive Plan 2013-2016 (“2013-2016 LTIP”). In addition to the time-based equity awards under the 2013-2016 LTIP granted in fiscal 2013, which represented 50% of the total potential award under the plan, 50% of the fiscal 2013 awards consisted of performance-based awards, with a four-year performance period. Accordingly, there was no opportunity for our Named Executive Officers to earn any long-term performance-based compensation in fiscal 2013 or fiscal 2014.</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6"/>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vMerge w:val="restart"/>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 (1)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2014</w:t>
            </w:r>
          </w:p>
        </w:tc>
        <w:tc>
          <w:tcPr>
            <w:tcW w:w="1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2013 (1)</w:t>
            </w:r>
          </w:p>
        </w:tc>
        <w:tc>
          <w:tcPr>
            <w:tcW w:w="0" w:type="dxa"/>
            <w:vAlign w:val="bottom"/>
          </w:tcPr>
          <w:p>
            <w:pPr>
              <w:spacing w:after="0"/>
              <w:rPr>
                <w:sz w:val="1"/>
                <w:szCs w:val="1"/>
                <w:color w:val="auto"/>
              </w:rPr>
            </w:pPr>
          </w:p>
        </w:tc>
      </w:tr>
      <w:tr>
        <w:trPr>
          <w:trHeight w:val="39"/>
        </w:trPr>
        <w:tc>
          <w:tcPr>
            <w:tcW w:w="6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vMerge w:val="continue"/>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CFF0FC"/>
            </w:tcBorders>
          </w:tcPr>
          <w:p>
            <w:pPr>
              <w:spacing w:after="0"/>
              <w:rPr>
                <w:sz w:val="3"/>
                <w:szCs w:val="3"/>
                <w:color w:val="auto"/>
              </w:rPr>
            </w:pPr>
          </w:p>
        </w:tc>
        <w:tc>
          <w:tcPr>
            <w:tcW w:w="6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(18.1)%</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1,788,362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2,182,462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spacing w:after="0"/>
              <w:rPr>
                <w:sz w:val="20"/>
                <w:szCs w:val="20"/>
                <w:color w:val="auto"/>
              </w:rPr>
            </w:pPr>
            <w:r>
              <w:rPr>
                <w:rFonts w:ascii="Arial" w:cs="Arial" w:eastAsia="Arial" w:hAnsi="Arial"/>
                <w:sz w:val="14"/>
                <w:szCs w:val="14"/>
                <w:color w:val="auto"/>
              </w:rPr>
              <w:t>Peter H. Stratton, Jr.</w:t>
            </w: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(7.6)%</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409,252</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443,144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John E. Kyees</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100.0%</w:t>
            </w: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373,188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tcPr>
          <w:p>
            <w:pPr>
              <w:spacing w:after="0"/>
              <w:rPr>
                <w:sz w:val="20"/>
                <w:szCs w:val="20"/>
                <w:color w:val="auto"/>
              </w:rPr>
            </w:pPr>
            <w:r>
              <w:rPr>
                <w:rFonts w:ascii="Arial" w:cs="Arial" w:eastAsia="Arial" w:hAnsi="Arial"/>
                <w:sz w:val="14"/>
                <w:szCs w:val="14"/>
                <w:color w:val="auto"/>
              </w:rPr>
              <w:t>Kenneth M. Ederle</w:t>
            </w: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(22.3)%</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537,394</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691,970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(26.0)%</w:t>
            </w:r>
          </w:p>
        </w:tc>
        <w:tc>
          <w:tcPr>
            <w:tcW w:w="2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523,672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707,704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20" w:type="dxa"/>
            <w:vAlign w:val="bottom"/>
            <w:gridSpan w:val="2"/>
          </w:tcPr>
          <w:p>
            <w:pPr>
              <w:spacing w:after="0"/>
              <w:rPr>
                <w:sz w:val="20"/>
                <w:szCs w:val="20"/>
                <w:color w:val="auto"/>
              </w:rPr>
            </w:pPr>
            <w:r>
              <w:rPr>
                <w:rFonts w:ascii="Arial" w:cs="Arial" w:eastAsia="Arial" w:hAnsi="Arial"/>
                <w:sz w:val="14"/>
                <w:szCs w:val="14"/>
                <w:color w:val="auto"/>
              </w:rPr>
              <w:t>Derrick Walker</w:t>
            </w: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(22.5)%</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465,374</w:t>
            </w:r>
          </w:p>
        </w:tc>
        <w:tc>
          <w:tcPr>
            <w:tcW w:w="2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600,813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20" w:right="700" w:hanging="375"/>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amounts include the following amounts attributable to the fair value of the time-based equity awards made in fiscal 2013: Mr. Levin - $1,216,800; Mr. Stratton - $210,000; Mr. Ederle - $341,250; Mr. Molloy - $341,250; Mr. Walker - $288,750.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our 2014 Annual Meeting, stockholders had an opportunity to cast a non-binding advisory vote on executive compensation as disclosed in the 2014 Proxy Statement. Of the votes cast on the say-on-pay proposal, 98.5% voted in favor of the proposal. The Compensation Committee considered the results of the 2014 advisory vote and believes that it affirms stockholders' support of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Key Features of Our Executive Compensation Program</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80"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1740" w:type="dxa"/>
            <w:vAlign w:val="bottom"/>
            <w:shd w:val="clear" w:color="auto" w:fill="CFF0FC"/>
          </w:tcPr>
          <w:p>
            <w:pPr>
              <w:spacing w:after="0"/>
              <w:rPr>
                <w:sz w:val="17"/>
                <w:szCs w:val="17"/>
                <w:color w:val="auto"/>
              </w:rPr>
            </w:pPr>
          </w:p>
        </w:tc>
        <w:tc>
          <w:tcPr>
            <w:tcW w:w="2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What We Do</w:t>
            </w:r>
          </w:p>
        </w:tc>
        <w:tc>
          <w:tcPr>
            <w:tcW w:w="1480" w:type="dxa"/>
            <w:vAlign w:val="bottom"/>
            <w:shd w:val="clear" w:color="auto" w:fill="CFF0FC"/>
          </w:tcPr>
          <w:p>
            <w:pPr>
              <w:spacing w:after="0"/>
              <w:rPr>
                <w:sz w:val="17"/>
                <w:szCs w:val="17"/>
                <w:color w:val="auto"/>
              </w:rPr>
            </w:pPr>
          </w:p>
        </w:tc>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üFocus on performance-based pay</w:t>
            </w:r>
          </w:p>
        </w:tc>
        <w:tc>
          <w:tcPr>
            <w:tcW w:w="4360" w:type="dxa"/>
            <w:vAlign w:val="bottom"/>
            <w:gridSpan w:val="3"/>
          </w:tcPr>
          <w:p>
            <w:pPr>
              <w:ind w:left="280"/>
              <w:spacing w:after="0"/>
              <w:rPr>
                <w:sz w:val="20"/>
                <w:szCs w:val="20"/>
                <w:color w:val="auto"/>
              </w:rPr>
            </w:pPr>
            <w:r>
              <w:rPr>
                <w:rFonts w:ascii="Arial" w:cs="Arial" w:eastAsia="Arial" w:hAnsi="Arial"/>
                <w:sz w:val="18"/>
                <w:szCs w:val="18"/>
                <w:color w:val="auto"/>
              </w:rPr>
              <w:t>ûNo guaranteed bonuses</w:t>
            </w: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üBalance short-term and long-term incentives</w:t>
            </w:r>
          </w:p>
        </w:tc>
        <w:tc>
          <w:tcPr>
            <w:tcW w:w="4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repricing of underwater options</w:t>
            </w: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üUse multiple metrics for performance awards</w:t>
            </w:r>
          </w:p>
        </w:tc>
        <w:tc>
          <w:tcPr>
            <w:tcW w:w="4360" w:type="dxa"/>
            <w:vAlign w:val="bottom"/>
            <w:gridSpan w:val="3"/>
          </w:tcPr>
          <w:p>
            <w:pPr>
              <w:ind w:left="280"/>
              <w:spacing w:after="0"/>
              <w:rPr>
                <w:sz w:val="20"/>
                <w:szCs w:val="20"/>
                <w:color w:val="auto"/>
              </w:rPr>
            </w:pPr>
            <w:r>
              <w:rPr>
                <w:rFonts w:ascii="Arial" w:cs="Arial" w:eastAsia="Arial" w:hAnsi="Arial"/>
                <w:sz w:val="18"/>
                <w:szCs w:val="18"/>
                <w:color w:val="auto"/>
              </w:rPr>
              <w:t>ûNo hedging of Company stock</w:t>
            </w:r>
          </w:p>
        </w:tc>
      </w:tr>
      <w:tr>
        <w:trPr>
          <w:trHeight w:val="324"/>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üCap all incentive awards at 150% payout</w:t>
            </w:r>
          </w:p>
        </w:tc>
        <w:tc>
          <w:tcPr>
            <w:tcW w:w="4360" w:type="dxa"/>
            <w:vAlign w:val="bottom"/>
            <w:gridSpan w:val="3"/>
            <w:shd w:val="clear" w:color="auto" w:fill="CFF0FC"/>
          </w:tcPr>
          <w:p>
            <w:pPr>
              <w:ind w:left="280"/>
              <w:spacing w:after="0"/>
              <w:rPr>
                <w:sz w:val="20"/>
                <w:szCs w:val="20"/>
                <w:color w:val="auto"/>
              </w:rPr>
            </w:pPr>
            <w:r>
              <w:rPr>
                <w:rFonts w:ascii="Arial" w:cs="Arial" w:eastAsia="Arial" w:hAnsi="Arial"/>
                <w:sz w:val="18"/>
                <w:szCs w:val="18"/>
                <w:color w:val="auto"/>
              </w:rPr>
              <w:t>ûNo tax gross up on severance payments</w:t>
            </w:r>
          </w:p>
        </w:tc>
      </w:tr>
      <w:tr>
        <w:trPr>
          <w:trHeight w:val="324"/>
        </w:trPr>
        <w:tc>
          <w:tcPr>
            <w:tcW w:w="4440" w:type="dxa"/>
            <w:vAlign w:val="bottom"/>
            <w:gridSpan w:val="3"/>
          </w:tcPr>
          <w:p>
            <w:pPr>
              <w:ind w:left="160"/>
              <w:spacing w:after="0"/>
              <w:rPr>
                <w:sz w:val="20"/>
                <w:szCs w:val="20"/>
                <w:color w:val="auto"/>
              </w:rPr>
            </w:pPr>
            <w:r>
              <w:rPr>
                <w:rFonts w:ascii="Arial" w:cs="Arial" w:eastAsia="Arial" w:hAnsi="Arial"/>
                <w:sz w:val="18"/>
                <w:szCs w:val="18"/>
                <w:color w:val="auto"/>
                <w:w w:val="98"/>
              </w:rPr>
              <w:t>üRequire “double-trigger” change-in-control provisions</w:t>
            </w:r>
          </w:p>
        </w:tc>
        <w:tc>
          <w:tcPr>
            <w:tcW w:w="4360" w:type="dxa"/>
            <w:vAlign w:val="bottom"/>
            <w:gridSpan w:val="3"/>
          </w:tcPr>
          <w:p>
            <w:pPr>
              <w:ind w:left="280"/>
              <w:spacing w:after="0"/>
              <w:rPr>
                <w:sz w:val="20"/>
                <w:szCs w:val="20"/>
                <w:color w:val="auto"/>
              </w:rPr>
            </w:pPr>
            <w:r>
              <w:rPr>
                <w:rFonts w:ascii="Arial" w:cs="Arial" w:eastAsia="Arial" w:hAnsi="Arial"/>
                <w:sz w:val="18"/>
                <w:szCs w:val="18"/>
                <w:color w:val="auto"/>
              </w:rPr>
              <w:t>ûNo active supplemental executive retirement plan</w:t>
            </w:r>
          </w:p>
        </w:tc>
      </w:tr>
      <w:tr>
        <w:trPr>
          <w:trHeight w:val="351"/>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üMaintain “claw-back” policy</w:t>
            </w:r>
          </w:p>
        </w:tc>
        <w:tc>
          <w:tcPr>
            <w:tcW w:w="14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r>
      <w:tr>
        <w:trPr>
          <w:trHeight w:val="351"/>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üSeek to mitigate undue risk in compensation plans</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444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üUtilize a compensation consultant</w:t>
            </w:r>
          </w:p>
        </w:tc>
        <w:tc>
          <w:tcPr>
            <w:tcW w:w="148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r>
      <w:tr>
        <w:trPr>
          <w:trHeight w:val="351"/>
        </w:trPr>
        <w:tc>
          <w:tcPr>
            <w:tcW w:w="4440" w:type="dxa"/>
            <w:vAlign w:val="bottom"/>
            <w:gridSpan w:val="3"/>
          </w:tcPr>
          <w:p>
            <w:pPr>
              <w:ind w:left="160"/>
              <w:spacing w:after="0"/>
              <w:rPr>
                <w:sz w:val="20"/>
                <w:szCs w:val="20"/>
                <w:color w:val="auto"/>
              </w:rPr>
            </w:pPr>
            <w:r>
              <w:rPr>
                <w:rFonts w:ascii="Arial" w:cs="Arial" w:eastAsia="Arial" w:hAnsi="Arial"/>
                <w:sz w:val="18"/>
                <w:szCs w:val="18"/>
                <w:color w:val="auto"/>
              </w:rPr>
              <w:t>üProvide executives with very limited perquisites</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overarching compensation guiding principle is to reward our executives for the achievement of our primary business objectives: successfully complete the transformation to our DXL format, grow our market share within the Big &amp; Tall retail industry, increase earnings and operating margins and, ultimately, increase stockholder returns through stock price gains arising from an increase in earnings and operating margins.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7" w:lineRule="exact"/>
        <w:rPr>
          <w:sz w:val="20"/>
          <w:szCs w:val="20"/>
          <w:color w:val="auto"/>
        </w:rPr>
      </w:pPr>
    </w:p>
    <w:p>
      <w:pPr>
        <w:ind w:left="780" w:hanging="25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40" w:lineRule="exact"/>
        <w:rPr>
          <w:rFonts w:ascii="Arial" w:cs="Arial" w:eastAsia="Arial" w:hAnsi="Arial"/>
          <w:sz w:val="16"/>
          <w:szCs w:val="16"/>
          <w:color w:val="auto"/>
        </w:rPr>
      </w:pPr>
    </w:p>
    <w:p>
      <w:pPr>
        <w:ind w:left="780" w:hanging="25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such as increasing revenue, operating margin percentage and EBITDA, which we believe is aligned with stockholder returns.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8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Sibson Consulting analyzed compensation and benefits for all of our Named Executive Officers in fiscal 2011 and provided an updated review in January 2012 for fiscal 2012 and again for Mr. Levin in the Spring of 2014 with respect to his compensation and benefits for fiscal 2014. For each of the past three fiscal years, Sibson Consulting has also worked with the Compensation Committee on updating and revising our current annual incentive and long−term incentive plans. Sibson Consulting continues to work with the Compensation Committee on an on-going basis to ensure that its compensation program remains in line with our peer group as well as with our own business objectives.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to fall within the median of our peer group;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guideline may differ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340"/>
        <w:spacing w:after="0" w:line="264"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7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Compensation Components, Fiscal 2014 Compensation Decisions and 2015 Annual Incentive Plan Targets –</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Performance–based annual cash incentive plan” and “Long-term incentive plan</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for fiscal 2014, we chose public companies within the specialty retail apparel business with comparable sales and market capitalization. In April 2014, we removed Rue 21 and Hot Topic from our peer group because they went private and Coldwater Creek, because it ceased operations. As part of that review, we also removed The Finish Line and Jos A. Bank because their annual revenues and market capitalization were well outside of our peer group. Based on a review of annual revenues, market capitalization and components of CEO compensation we added bebe, inc., Body Central Corp, Kirkland’s Inc., MarineMax, Inc. and Zumiez. Accordingly, the companies in the fiscal 2014 peer group are listed below.</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bebe, inc.</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Christopher &amp; Banks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w w:val="93"/>
              </w:rPr>
              <w:t>MarineMax, Inc.</w:t>
            </w:r>
          </w:p>
        </w:tc>
      </w:tr>
      <w:tr>
        <w:trPr>
          <w:trHeight w:val="338"/>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Big 5 Sporting Goods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Citi Trends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w w:val="92"/>
              </w:rPr>
              <w:t>Pacific Sunwear</w:t>
            </w:r>
          </w:p>
        </w:tc>
      </w:tr>
      <w:tr>
        <w:trPr>
          <w:trHeight w:val="338"/>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Body Central Corp.</w:t>
            </w:r>
            <w:r>
              <w:rPr>
                <w:rFonts w:ascii="Arial" w:cs="Arial" w:eastAsia="Arial" w:hAnsi="Arial"/>
                <w:sz w:val="15"/>
                <w:szCs w:val="15"/>
                <w:color w:val="auto"/>
              </w:rPr>
              <w:t>(1)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dELiA*s</w:t>
            </w:r>
            <w:r>
              <w:rPr>
                <w:rFonts w:ascii="Arial" w:cs="Arial" w:eastAsia="Arial" w:hAnsi="Arial"/>
                <w:sz w:val="15"/>
                <w:szCs w:val="15"/>
                <w:color w:val="auto"/>
              </w:rPr>
              <w:t>(1)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Sport Chalet</w:t>
            </w:r>
          </w:p>
        </w:tc>
      </w:tr>
      <w:tr>
        <w:trPr>
          <w:trHeight w:val="338"/>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The Buckle</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Destination Maternity</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Wet Seal</w:t>
            </w:r>
          </w:p>
        </w:tc>
      </w:tr>
      <w:tr>
        <w:trPr>
          <w:trHeight w:val="338"/>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Cache, Inc.</w:t>
            </w:r>
            <w:r>
              <w:rPr>
                <w:rFonts w:ascii="Arial" w:cs="Arial" w:eastAsia="Arial" w:hAnsi="Arial"/>
                <w:sz w:val="15"/>
                <w:szCs w:val="15"/>
                <w:color w:val="auto"/>
              </w:rPr>
              <w:t>(1)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Hibbett Sports</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ind w:left="140"/>
              <w:spacing w:after="0"/>
              <w:rPr>
                <w:sz w:val="20"/>
                <w:szCs w:val="20"/>
                <w:color w:val="auto"/>
              </w:rPr>
            </w:pPr>
            <w:r>
              <w:rPr>
                <w:rFonts w:ascii="Arial" w:cs="Arial" w:eastAsia="Arial" w:hAnsi="Arial"/>
                <w:sz w:val="18"/>
                <w:szCs w:val="18"/>
                <w:color w:val="auto"/>
              </w:rPr>
              <w:t>Zumiez, Inc.</w:t>
            </w:r>
          </w:p>
        </w:tc>
      </w:tr>
      <w:tr>
        <w:trPr>
          <w:trHeight w:val="338"/>
        </w:trPr>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Cato Group</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80" w:type="dxa"/>
            <w:vAlign w:val="bottom"/>
          </w:tcPr>
          <w:p>
            <w:pPr>
              <w:ind w:left="160"/>
              <w:spacing w:after="0"/>
              <w:rPr>
                <w:sz w:val="20"/>
                <w:szCs w:val="20"/>
                <w:color w:val="auto"/>
              </w:rPr>
            </w:pPr>
            <w:r>
              <w:rPr>
                <w:rFonts w:ascii="Arial" w:cs="Arial" w:eastAsia="Arial" w:hAnsi="Arial"/>
                <w:sz w:val="18"/>
                <w:szCs w:val="18"/>
                <w:color w:val="auto"/>
              </w:rPr>
              <w:t>Kirkland’s, Inc.</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98" w:lineRule="exact"/>
        <w:rPr>
          <w:sz w:val="20"/>
          <w:szCs w:val="20"/>
          <w:color w:val="auto"/>
        </w:rPr>
      </w:pPr>
    </w:p>
    <w:p>
      <w:pPr>
        <w:ind w:left="760" w:right="340" w:hanging="372"/>
        <w:spacing w:after="0" w:line="293"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fiscal 2015, each of Body Central Corp., Cache, Inc. and dELiA*s were removed from the Company’s peer group because each has ceased operations. No additional companies were added to the Company’s peer group for fiscal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Fiscal 2014 Compensation Decisions and 2015 Annual Incentive Plan Targets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executive compensation policies and practices appropriately balance the interests of our executives with those of our</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stockholders. Performance is a key component of our philosophy for executive compensation. Accordingly, our Named Executive Officers’ compensation, in particular for our CEO, is heavily weighted toward “at risk,” performance-based compensation.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60"/>
        <w:spacing w:after="0" w:line="279" w:lineRule="auto"/>
        <w:rPr>
          <w:sz w:val="20"/>
          <w:szCs w:val="20"/>
          <w:color w:val="auto"/>
        </w:rPr>
      </w:pPr>
      <w:r>
        <w:rPr>
          <w:rFonts w:ascii="Arial" w:cs="Arial" w:eastAsia="Arial" w:hAnsi="Arial"/>
          <w:sz w:val="17"/>
          <w:szCs w:val="17"/>
          <w:color w:val="auto"/>
        </w:rPr>
        <w:t>The primary components of compensation for our Named Executive Officers include base salary (“fixed compensation”) and annual performance-based cash incentives and long-term incentives (“at-risk compensation”). Although the performance period under our current 2013-2016 LTIP covers a four-year period with no annual performance-based payout, the annual weight of each component leads to the following allocation of potential compensation that each executive can earn. Mr. Kyees is excluded from the chart for the Other Named Executive Officers due to his interim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0" w:hanging="372"/>
        <w:spacing w:after="0"/>
        <w:tabs>
          <w:tab w:leader="none" w:pos="7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Because the 2013-2016 LTIP is a four-year performance-based plan, the annual weight of the LTIP to total compensation is based on the potential payout at target divided by four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compensation are described as follows:</w:t>
      </w:r>
    </w:p>
    <w:p>
      <w:pPr>
        <w:spacing w:after="0" w:line="117" w:lineRule="exact"/>
        <w:rPr>
          <w:sz w:val="20"/>
          <w:szCs w:val="20"/>
          <w:color w:val="auto"/>
        </w:rPr>
      </w:pPr>
    </w:p>
    <w:p>
      <w:pPr>
        <w:ind w:left="780" w:hanging="254"/>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jc w:val="both"/>
        <w:ind w:left="1020" w:right="200" w:hanging="373"/>
        <w:spacing w:after="0" w:line="264"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73" w:lineRule="exact"/>
        <w:rPr>
          <w:rFonts w:ascii="Arial" w:cs="Arial" w:eastAsia="Arial" w:hAnsi="Arial"/>
          <w:sz w:val="18"/>
          <w:szCs w:val="18"/>
          <w:color w:val="auto"/>
        </w:rPr>
      </w:pPr>
    </w:p>
    <w:p>
      <w:pPr>
        <w:ind w:left="1020" w:right="80" w:hanging="373"/>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1020" w:right="100" w:hanging="373"/>
        <w:spacing w:after="0" w:line="259"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mentioned above, the Compensation Committee reviews our CEO’s overall compensation and expects the CEO’s base salary to fall in a range that is within the proxy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w:t>
      </w:r>
    </w:p>
    <w:p>
      <w:pPr>
        <w:spacing w:after="0" w:line="78" w:lineRule="exact"/>
        <w:rPr>
          <w:rFonts w:ascii="Arial" w:cs="Arial" w:eastAsia="Arial" w:hAnsi="Arial"/>
          <w:sz w:val="18"/>
          <w:szCs w:val="18"/>
          <w:color w:val="auto"/>
        </w:rPr>
      </w:pPr>
    </w:p>
    <w:p>
      <w:pPr>
        <w:ind w:left="1020" w:right="180" w:hanging="373"/>
        <w:spacing w:after="0" w:line="264"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April 2014, at the request of the Compensation Committee, Sibson Consulting reviewed Mr. Levin’s total direct compensation and, as a result of that review, no compensation adjustments were made to his compensation or benefits for fiscal 2014. The Compensation Committee believes that Mr. Levin’s salary continues to be competitive and within our peer median.</w:t>
      </w:r>
    </w:p>
    <w:p>
      <w:pPr>
        <w:spacing w:after="0" w:line="73" w:lineRule="exact"/>
        <w:rPr>
          <w:rFonts w:ascii="Arial" w:cs="Arial" w:eastAsia="Arial" w:hAnsi="Arial"/>
          <w:sz w:val="18"/>
          <w:szCs w:val="18"/>
          <w:color w:val="auto"/>
        </w:rPr>
      </w:pPr>
    </w:p>
    <w:p>
      <w:pPr>
        <w:ind w:left="1020" w:hanging="373"/>
        <w:spacing w:after="0"/>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00" w:lineRule="exact"/>
        <w:rPr>
          <w:sz w:val="20"/>
          <w:szCs w:val="20"/>
          <w:color w:val="auto"/>
        </w:rPr>
      </w:pPr>
    </w:p>
    <w:p>
      <w:pPr>
        <w:spacing w:after="0" w:line="277" w:lineRule="exact"/>
        <w:rPr>
          <w:sz w:val="20"/>
          <w:szCs w:val="20"/>
          <w:color w:val="auto"/>
        </w:rPr>
      </w:pPr>
    </w:p>
    <w:tbl>
      <w:tblPr>
        <w:tblLayout w:type="fixed"/>
        <w:tblInd w:w="9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tcPr>
          <w:p>
            <w:pPr>
              <w:ind w:left="480"/>
              <w:spacing w:after="0"/>
              <w:rPr>
                <w:sz w:val="20"/>
                <w:szCs w:val="20"/>
                <w:color w:val="auto"/>
              </w:rPr>
            </w:pPr>
            <w:r>
              <w:rPr>
                <w:rFonts w:ascii="Arial" w:cs="Arial" w:eastAsia="Arial" w:hAnsi="Arial"/>
                <w:sz w:val="14"/>
                <w:szCs w:val="14"/>
                <w:color w:val="auto"/>
              </w:rPr>
              <w:t>Fiscal 2015 (1)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jc w:val="right"/>
              <w:ind w:right="728"/>
              <w:spacing w:after="0"/>
              <w:rPr>
                <w:sz w:val="20"/>
                <w:szCs w:val="20"/>
                <w:color w:val="auto"/>
              </w:rPr>
            </w:pPr>
            <w:r>
              <w:rPr>
                <w:rFonts w:ascii="Arial" w:cs="Arial" w:eastAsia="Arial" w:hAnsi="Arial"/>
                <w:sz w:val="14"/>
                <w:szCs w:val="14"/>
                <w:color w:val="auto"/>
              </w:rPr>
              <w:t>Fiscal 2014</w:t>
            </w:r>
          </w:p>
        </w:tc>
        <w:tc>
          <w:tcPr>
            <w:tcW w:w="1480" w:type="dxa"/>
            <w:vAlign w:val="bottom"/>
            <w:gridSpan w:val="3"/>
          </w:tcPr>
          <w:p>
            <w:pPr>
              <w:ind w:left="80"/>
              <w:spacing w:after="0"/>
              <w:rPr>
                <w:sz w:val="20"/>
                <w:szCs w:val="20"/>
                <w:color w:val="auto"/>
              </w:rPr>
            </w:pPr>
            <w:r>
              <w:rPr>
                <w:rFonts w:ascii="Arial" w:cs="Arial" w:eastAsia="Arial" w:hAnsi="Arial"/>
                <w:sz w:val="14"/>
                <w:szCs w:val="14"/>
                <w:color w:val="auto"/>
              </w:rPr>
              <w:t>% change</w:t>
            </w: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David A. Levin (2)</w:t>
            </w:r>
          </w:p>
        </w:tc>
        <w:tc>
          <w:tcPr>
            <w:tcW w:w="1300" w:type="dxa"/>
            <w:vAlign w:val="bottom"/>
            <w:gridSpan w:val="2"/>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shd w:val="clear" w:color="auto" w:fill="CFF0FC"/>
          </w:tcPr>
          <w:p>
            <w:pPr>
              <w:jc w:val="center"/>
              <w:ind w:right="368"/>
              <w:spacing w:after="0"/>
              <w:rPr>
                <w:sz w:val="20"/>
                <w:szCs w:val="20"/>
                <w:color w:val="auto"/>
              </w:rPr>
            </w:pPr>
            <w:r>
              <w:rPr>
                <w:rFonts w:ascii="Arial" w:cs="Arial" w:eastAsia="Arial" w:hAnsi="Arial"/>
                <w:sz w:val="14"/>
                <w:szCs w:val="14"/>
                <w:color w:val="auto"/>
                <w:w w:val="90"/>
              </w:rPr>
              <w:t>811,200</w:t>
            </w:r>
          </w:p>
        </w:tc>
        <w:tc>
          <w:tcPr>
            <w:tcW w:w="52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ind w:right="768"/>
              <w:spacing w:after="0"/>
              <w:rPr>
                <w:sz w:val="20"/>
                <w:szCs w:val="20"/>
                <w:color w:val="auto"/>
              </w:rPr>
            </w:pPr>
            <w:r>
              <w:rPr>
                <w:rFonts w:ascii="Arial" w:cs="Arial" w:eastAsia="Arial" w:hAnsi="Arial"/>
                <w:sz w:val="14"/>
                <w:szCs w:val="14"/>
                <w:color w:val="auto"/>
              </w:rPr>
              <w:t>811,200</w:t>
            </w:r>
          </w:p>
        </w:tc>
        <w:tc>
          <w:tcPr>
            <w:tcW w:w="14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7"/>
                <w:szCs w:val="17"/>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color w:val="auto"/>
              </w:rPr>
              <w:t>Peter H. Stratton, Jr. (3)</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tcPr>
          <w:p>
            <w:pPr>
              <w:jc w:val="center"/>
              <w:ind w:right="368"/>
              <w:spacing w:after="0"/>
              <w:rPr>
                <w:sz w:val="20"/>
                <w:szCs w:val="20"/>
                <w:color w:val="auto"/>
              </w:rPr>
            </w:pPr>
            <w:r>
              <w:rPr>
                <w:rFonts w:ascii="Arial" w:cs="Arial" w:eastAsia="Arial" w:hAnsi="Arial"/>
                <w:sz w:val="14"/>
                <w:szCs w:val="14"/>
                <w:color w:val="auto"/>
                <w:w w:val="90"/>
              </w:rPr>
              <w:t>285,000</w:t>
            </w:r>
          </w:p>
        </w:tc>
        <w:tc>
          <w:tcPr>
            <w:tcW w:w="5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748"/>
              <w:spacing w:after="0"/>
              <w:rPr>
                <w:sz w:val="20"/>
                <w:szCs w:val="20"/>
                <w:color w:val="auto"/>
              </w:rPr>
            </w:pPr>
            <w:r>
              <w:rPr>
                <w:rFonts w:ascii="Arial" w:cs="Arial" w:eastAsia="Arial" w:hAnsi="Arial"/>
                <w:sz w:val="14"/>
                <w:szCs w:val="14"/>
                <w:color w:val="auto"/>
              </w:rPr>
              <w:t>285,000</w:t>
            </w:r>
          </w:p>
        </w:tc>
        <w:tc>
          <w:tcPr>
            <w:tcW w:w="1400" w:type="dxa"/>
            <w:vAlign w:val="bottom"/>
            <w:gridSpan w:val="2"/>
          </w:tcPr>
          <w:p>
            <w:pPr>
              <w:jc w:val="center"/>
              <w:ind w:lef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John E. Kyees (4)</w:t>
            </w:r>
          </w:p>
        </w:tc>
        <w:tc>
          <w:tcPr>
            <w:tcW w:w="1300" w:type="dxa"/>
            <w:vAlign w:val="bottom"/>
            <w:gridSpan w:val="2"/>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shd w:val="clear" w:color="auto" w:fill="CFF0FC"/>
          </w:tcPr>
          <w:p>
            <w:pPr>
              <w:jc w:val="center"/>
              <w:ind w:right="3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rPr>
              <w:t>205,500</w:t>
            </w:r>
          </w:p>
        </w:tc>
        <w:tc>
          <w:tcPr>
            <w:tcW w:w="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n/a</w:t>
            </w: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color w:val="auto"/>
              </w:rPr>
              <w:t>Kenneth M. Ederle (5)</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tcPr>
          <w:p>
            <w:pPr>
              <w:jc w:val="center"/>
              <w:ind w:right="368"/>
              <w:spacing w:after="0"/>
              <w:rPr>
                <w:sz w:val="20"/>
                <w:szCs w:val="20"/>
                <w:color w:val="auto"/>
              </w:rPr>
            </w:pPr>
            <w:r>
              <w:rPr>
                <w:rFonts w:ascii="Arial" w:cs="Arial" w:eastAsia="Arial" w:hAnsi="Arial"/>
                <w:sz w:val="14"/>
                <w:szCs w:val="14"/>
                <w:color w:val="auto"/>
                <w:w w:val="90"/>
              </w:rPr>
              <w:t>390,000</w:t>
            </w:r>
          </w:p>
        </w:tc>
        <w:tc>
          <w:tcPr>
            <w:tcW w:w="5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748"/>
              <w:spacing w:after="0"/>
              <w:rPr>
                <w:sz w:val="20"/>
                <w:szCs w:val="20"/>
                <w:color w:val="auto"/>
              </w:rPr>
            </w:pPr>
            <w:r>
              <w:rPr>
                <w:rFonts w:ascii="Arial" w:cs="Arial" w:eastAsia="Arial" w:hAnsi="Arial"/>
                <w:sz w:val="14"/>
                <w:szCs w:val="14"/>
                <w:color w:val="auto"/>
              </w:rPr>
              <w:t>335,000</w:t>
            </w:r>
          </w:p>
        </w:tc>
        <w:tc>
          <w:tcPr>
            <w:tcW w:w="140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1300" w:type="dxa"/>
            <w:vAlign w:val="bottom"/>
            <w:gridSpan w:val="2"/>
            <w:shd w:val="clear" w:color="auto" w:fill="CFF0FC"/>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shd w:val="clear" w:color="auto" w:fill="CFF0FC"/>
          </w:tcPr>
          <w:p>
            <w:pPr>
              <w:jc w:val="center"/>
              <w:ind w:right="368"/>
              <w:spacing w:after="0"/>
              <w:rPr>
                <w:sz w:val="20"/>
                <w:szCs w:val="20"/>
                <w:color w:val="auto"/>
              </w:rPr>
            </w:pPr>
            <w:r>
              <w:rPr>
                <w:rFonts w:ascii="Arial" w:cs="Arial" w:eastAsia="Arial" w:hAnsi="Arial"/>
                <w:sz w:val="14"/>
                <w:szCs w:val="14"/>
                <w:color w:val="auto"/>
                <w:w w:val="90"/>
              </w:rPr>
              <w:t>335,000</w:t>
            </w:r>
          </w:p>
        </w:tc>
        <w:tc>
          <w:tcPr>
            <w:tcW w:w="52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rPr>
              <w:t>335,000</w:t>
            </w:r>
          </w:p>
        </w:tc>
        <w:tc>
          <w:tcPr>
            <w:tcW w:w="14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r>
      <w:tr>
        <w:trPr>
          <w:trHeight w:val="231"/>
        </w:trPr>
        <w:tc>
          <w:tcPr>
            <w:tcW w:w="2140" w:type="dxa"/>
            <w:vAlign w:val="bottom"/>
            <w:gridSpan w:val="2"/>
          </w:tcPr>
          <w:p>
            <w:pPr>
              <w:spacing w:after="0"/>
              <w:rPr>
                <w:sz w:val="20"/>
                <w:szCs w:val="20"/>
                <w:color w:val="auto"/>
              </w:rPr>
            </w:pPr>
            <w:r>
              <w:rPr>
                <w:rFonts w:ascii="Arial" w:cs="Arial" w:eastAsia="Arial" w:hAnsi="Arial"/>
                <w:sz w:val="14"/>
                <w:szCs w:val="14"/>
                <w:color w:val="auto"/>
              </w:rPr>
              <w:t>Derrick Walker</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380" w:type="dxa"/>
            <w:vAlign w:val="bottom"/>
          </w:tcPr>
          <w:p>
            <w:pPr>
              <w:jc w:val="center"/>
              <w:ind w:right="368"/>
              <w:spacing w:after="0"/>
              <w:rPr>
                <w:sz w:val="20"/>
                <w:szCs w:val="20"/>
                <w:color w:val="auto"/>
              </w:rPr>
            </w:pPr>
            <w:r>
              <w:rPr>
                <w:rFonts w:ascii="Arial" w:cs="Arial" w:eastAsia="Arial" w:hAnsi="Arial"/>
                <w:sz w:val="14"/>
                <w:szCs w:val="14"/>
                <w:color w:val="auto"/>
                <w:w w:val="90"/>
              </w:rPr>
              <w:t>300,000</w:t>
            </w:r>
          </w:p>
        </w:tc>
        <w:tc>
          <w:tcPr>
            <w:tcW w:w="5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748"/>
              <w:spacing w:after="0"/>
              <w:rPr>
                <w:sz w:val="20"/>
                <w:szCs w:val="20"/>
                <w:color w:val="auto"/>
              </w:rPr>
            </w:pPr>
            <w:r>
              <w:rPr>
                <w:rFonts w:ascii="Arial" w:cs="Arial" w:eastAsia="Arial" w:hAnsi="Arial"/>
                <w:sz w:val="14"/>
                <w:szCs w:val="14"/>
                <w:color w:val="auto"/>
              </w:rPr>
              <w:t>300,000</w:t>
            </w:r>
          </w:p>
        </w:tc>
        <w:tc>
          <w:tcPr>
            <w:tcW w:w="1400" w:type="dxa"/>
            <w:vAlign w:val="bottom"/>
            <w:gridSpan w:val="2"/>
          </w:tcPr>
          <w:p>
            <w:pPr>
              <w:jc w:val="center"/>
              <w:ind w:lef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r>
    </w:tbl>
    <w:p>
      <w:pPr>
        <w:spacing w:after="0" w:line="79" w:lineRule="exact"/>
        <w:rPr>
          <w:sz w:val="20"/>
          <w:szCs w:val="20"/>
          <w:color w:val="auto"/>
        </w:rPr>
      </w:pPr>
    </w:p>
    <w:p>
      <w:pPr>
        <w:ind w:left="1140" w:hanging="356"/>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Named Executive Officers will not receive any merit-based salary increases for fiscal 2015.</w:t>
      </w:r>
    </w:p>
    <w:p>
      <w:pPr>
        <w:spacing w:after="0" w:line="117" w:lineRule="exact"/>
        <w:rPr>
          <w:rFonts w:ascii="Arial" w:cs="Arial" w:eastAsia="Arial" w:hAnsi="Arial"/>
          <w:sz w:val="18"/>
          <w:szCs w:val="18"/>
          <w:color w:val="auto"/>
        </w:rPr>
      </w:pPr>
    </w:p>
    <w:p>
      <w:pPr>
        <w:ind w:left="1140" w:right="240" w:hanging="356"/>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compensation has resulted from performance-based incentive programs.</w:t>
      </w:r>
    </w:p>
    <w:p>
      <w:pPr>
        <w:spacing w:after="0" w:line="62" w:lineRule="exact"/>
        <w:rPr>
          <w:rFonts w:ascii="Arial" w:cs="Arial" w:eastAsia="Arial" w:hAnsi="Arial"/>
          <w:sz w:val="18"/>
          <w:szCs w:val="18"/>
          <w:color w:val="auto"/>
        </w:rPr>
      </w:pPr>
    </w:p>
    <w:p>
      <w:pPr>
        <w:ind w:left="1140" w:hanging="356"/>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Stratton was promoted to Senior Vice President, Chief Financial Officer and Treasurer on June 1, 2014, at which time he received a salary increase from $235,000 to $285,000.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4" w:name="page25"/>
    <w:bookmarkEnd w:id="24"/>
    <w:p>
      <w:pPr>
        <w:ind w:left="1140" w:right="20" w:hanging="356"/>
        <w:spacing w:after="0" w:line="277"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Mr. Kyees received compensation in fiscal 2014 for his services as Interim Chief Financial Officer on a per diem basis, from February 1, 2014 through May 31, 2014.</w:t>
      </w:r>
    </w:p>
    <w:p>
      <w:pPr>
        <w:spacing w:after="0" w:line="62" w:lineRule="exact"/>
        <w:rPr>
          <w:rFonts w:ascii="Arial" w:cs="Arial" w:eastAsia="Arial" w:hAnsi="Arial"/>
          <w:sz w:val="18"/>
          <w:szCs w:val="18"/>
          <w:color w:val="auto"/>
        </w:rPr>
      </w:pPr>
    </w:p>
    <w:p>
      <w:pPr>
        <w:ind w:left="1140" w:right="60" w:hanging="356"/>
        <w:spacing w:after="0" w:line="277" w:lineRule="auto"/>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April 2015, Mr. Ederle assumed the additional responsibilities of Planning and Allocation and, accordingly, received a salary adjustment of $25,000 as a part of his overall salary increase of $55,000.</w:t>
      </w:r>
    </w:p>
    <w:p>
      <w:pPr>
        <w:spacing w:after="0" w:line="183" w:lineRule="exact"/>
        <w:rPr>
          <w:rFonts w:ascii="Arial" w:cs="Arial" w:eastAsia="Arial" w:hAnsi="Arial"/>
          <w:sz w:val="18"/>
          <w:szCs w:val="18"/>
          <w:color w:val="auto"/>
        </w:rPr>
      </w:pPr>
    </w:p>
    <w:p>
      <w:pPr>
        <w:ind w:left="780" w:hanging="254"/>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w:t>
      </w:r>
    </w:p>
    <w:p>
      <w:pPr>
        <w:spacing w:after="0" w:line="117" w:lineRule="exact"/>
        <w:rPr>
          <w:rFonts w:ascii="Arial" w:cs="Arial" w:eastAsia="Arial" w:hAnsi="Arial"/>
          <w:sz w:val="18"/>
          <w:szCs w:val="18"/>
          <w:color w:val="auto"/>
        </w:rPr>
      </w:pPr>
    </w:p>
    <w:p>
      <w:pPr>
        <w:ind w:left="760" w:right="60"/>
        <w:spacing w:after="0" w:line="257"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compensation program includes eligibility for an annual performance-based cash incentive opportunity for all executives as well as selected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0" w:lineRule="exact"/>
        <w:rPr>
          <w:rFonts w:ascii="Arial" w:cs="Arial" w:eastAsia="Arial" w:hAnsi="Arial"/>
          <w:sz w:val="18"/>
          <w:szCs w:val="18"/>
          <w:color w:val="auto"/>
        </w:rPr>
      </w:pPr>
    </w:p>
    <w:p>
      <w:pPr>
        <w:ind w:left="760" w:right="200"/>
        <w:spacing w:after="0" w:line="286" w:lineRule="auto"/>
        <w:rPr>
          <w:rFonts w:ascii="Arial" w:cs="Arial" w:eastAsia="Arial" w:hAnsi="Arial"/>
          <w:sz w:val="18"/>
          <w:szCs w:val="18"/>
          <w:color w:val="auto"/>
        </w:rPr>
      </w:pPr>
      <w:r>
        <w:rPr>
          <w:rFonts w:ascii="Arial" w:cs="Arial" w:eastAsia="Arial" w:hAnsi="Arial"/>
          <w:sz w:val="17"/>
          <w:szCs w:val="17"/>
          <w:color w:val="auto"/>
        </w:rPr>
        <w:t>Mr. Levin’s participation in the annual incentive plan is at 100% of his annual salary, whereas our other Named Executive Officers’ participate at 40% of their respective salaries. Mr. Kyees, in his interim role as Interim Chief Financial Officer, was also eligible to participate in the AIP for fiscal 2014 at a rate of 75% of the total per diem amount paid for his services as Interim Chief Financial Officer.</w:t>
      </w:r>
    </w:p>
    <w:p>
      <w:pPr>
        <w:spacing w:after="0" w:line="16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u w:val="single" w:color="auto"/>
          <w:color w:val="auto"/>
        </w:rPr>
        <w:t>2014 Annual Incentive Plan</w:t>
      </w:r>
    </w:p>
    <w:p>
      <w:pPr>
        <w:spacing w:after="0" w:line="117" w:lineRule="exact"/>
        <w:rPr>
          <w:rFonts w:ascii="Arial" w:cs="Arial" w:eastAsia="Arial" w:hAnsi="Arial"/>
          <w:sz w:val="18"/>
          <w:szCs w:val="18"/>
          <w:color w:val="auto"/>
        </w:rPr>
      </w:pPr>
    </w:p>
    <w:p>
      <w:pPr>
        <w:ind w:left="780" w:right="80"/>
        <w:spacing w:after="0" w:line="255" w:lineRule="auto"/>
        <w:rPr>
          <w:rFonts w:ascii="Arial" w:cs="Arial" w:eastAsia="Arial" w:hAnsi="Arial"/>
          <w:sz w:val="18"/>
          <w:szCs w:val="18"/>
          <w:color w:val="auto"/>
        </w:rPr>
      </w:pPr>
      <w:r>
        <w:rPr>
          <w:rFonts w:ascii="Arial" w:cs="Arial" w:eastAsia="Arial" w:hAnsi="Arial"/>
          <w:sz w:val="18"/>
          <w:szCs w:val="18"/>
          <w:color w:val="auto"/>
        </w:rPr>
        <w:t>The metrics for achievement under our Annual Incentive Plan (“AIP”) for fiscal 2014 reflected the Company’s primary financial goals of increasing top line revenues while protecting merchandise margin and managing expenses during our DXL transition. In addition, sales per square foot and comparable sales from our DXL stores remained key metrics for our long-term profitability. For fiscal 2014, 10% of the annual incentive plan award was based on each participant’s achievement of generally two to four agreed-upon personal goals. This allowed the Company to reward each participant for individual achievements that may not have tied directly to our financial performance, but that we believed would contribute to the success of our DXL transformation.</w:t>
      </w:r>
    </w:p>
    <w:p>
      <w:pPr>
        <w:spacing w:after="0" w:line="8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The 2014 Annual Incentive Plan targets approved by the Compensation Committee and actual results against these targets were as follows:</w:t>
      </w: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2014 Annual Incentive Plan</w:t>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 %</w:t>
            </w:r>
          </w:p>
        </w:tc>
        <w:tc>
          <w:tcPr>
            <w:tcW w:w="3700" w:type="dxa"/>
            <w:vAlign w:val="bottom"/>
            <w:gridSpan w:val="3"/>
            <w:vMerge w:val="restart"/>
          </w:tcPr>
          <w:p>
            <w:pPr>
              <w:jc w:val="center"/>
              <w:ind w:left="48"/>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Metric</w:t>
            </w:r>
          </w:p>
        </w:tc>
        <w:tc>
          <w:tcPr>
            <w:tcW w:w="600" w:type="dxa"/>
            <w:vAlign w:val="bottom"/>
            <w:vMerge w:val="restart"/>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3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Target 1</w:t>
            </w:r>
          </w:p>
        </w:tc>
        <w:tc>
          <w:tcPr>
            <w:tcW w:w="8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Each Target</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00" w:type="dxa"/>
            <w:vAlign w:val="bottom"/>
            <w:gridSpan w:val="2"/>
          </w:tcPr>
          <w:p>
            <w:pPr>
              <w:jc w:val="center"/>
              <w:ind w:right="1280"/>
              <w:spacing w:after="0" w:line="158"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jc w:val="center"/>
              <w:spacing w:after="0" w:line="123" w:lineRule="exact"/>
              <w:rPr>
                <w:sz w:val="20"/>
                <w:szCs w:val="20"/>
                <w:color w:val="auto"/>
              </w:rPr>
            </w:pPr>
            <w:r>
              <w:rPr>
                <w:rFonts w:ascii="Arial" w:cs="Arial" w:eastAsia="Arial" w:hAnsi="Arial"/>
                <w:sz w:val="14"/>
                <w:szCs w:val="14"/>
                <w:color w:val="auto"/>
                <w:w w:val="85"/>
              </w:rPr>
              <w:t>Sales</w:t>
            </w:r>
          </w:p>
        </w:tc>
        <w:tc>
          <w:tcPr>
            <w:tcW w:w="6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0"/>
              </w:rPr>
              <w:t>25.0%</w:t>
            </w:r>
          </w:p>
        </w:tc>
        <w:tc>
          <w:tcPr>
            <w:tcW w:w="160" w:type="dxa"/>
            <w:vAlign w:val="bottom"/>
            <w:vMerge w:val="continue"/>
          </w:tcPr>
          <w:p>
            <w:pPr>
              <w:spacing w:after="0"/>
              <w:rPr>
                <w:sz w:val="10"/>
                <w:szCs w:val="10"/>
                <w:color w:val="auto"/>
              </w:rPr>
            </w:pPr>
          </w:p>
        </w:tc>
        <w:tc>
          <w:tcPr>
            <w:tcW w:w="3700" w:type="dxa"/>
            <w:vAlign w:val="bottom"/>
            <w:gridSpan w:val="3"/>
          </w:tcPr>
          <w:p>
            <w:pPr>
              <w:ind w:left="100"/>
              <w:spacing w:after="0" w:line="123" w:lineRule="exact"/>
              <w:rPr>
                <w:sz w:val="20"/>
                <w:szCs w:val="20"/>
                <w:color w:val="auto"/>
              </w:rPr>
            </w:pPr>
            <w:r>
              <w:rPr>
                <w:rFonts w:ascii="Arial" w:cs="Arial" w:eastAsia="Arial" w:hAnsi="Arial"/>
                <w:sz w:val="14"/>
                <w:szCs w:val="14"/>
                <w:color w:val="auto"/>
              </w:rPr>
              <w:t>100% payout at set target, with 50% payout at 98% of set</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Target 2</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target and 150% payout at 105%.</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860" w:type="dxa"/>
            <w:vAlign w:val="bottom"/>
            <w:gridSpan w:val="3"/>
          </w:tcPr>
          <w:p>
            <w:pPr>
              <w:jc w:val="center"/>
              <w:ind w:left="148"/>
              <w:spacing w:after="0" w:line="149" w:lineRule="exact"/>
              <w:rPr>
                <w:sz w:val="20"/>
                <w:szCs w:val="20"/>
                <w:color w:val="auto"/>
              </w:rPr>
            </w:pPr>
            <w:r>
              <w:rPr>
                <w:rFonts w:ascii="Arial" w:cs="Arial" w:eastAsia="Arial" w:hAnsi="Arial"/>
                <w:sz w:val="14"/>
                <w:szCs w:val="14"/>
                <w:color w:val="auto"/>
                <w:w w:val="99"/>
              </w:rPr>
              <w:t>Adjusted EBITDA</w:t>
            </w: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0"/>
              </w:rPr>
              <w:t>25.0%</w:t>
            </w: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4"/>
              </w:rPr>
              <w:t>100% payout out at set target, with 50% payout at 90% of set</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Target 3</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target and 150% payout at 128%.</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860" w:type="dxa"/>
            <w:vAlign w:val="bottom"/>
            <w:gridSpan w:val="3"/>
          </w:tcPr>
          <w:p>
            <w:pPr>
              <w:jc w:val="center"/>
              <w:ind w:left="148"/>
              <w:spacing w:after="0" w:line="149" w:lineRule="exact"/>
              <w:rPr>
                <w:sz w:val="20"/>
                <w:szCs w:val="20"/>
                <w:color w:val="auto"/>
              </w:rPr>
            </w:pPr>
            <w:r>
              <w:rPr>
                <w:rFonts w:ascii="Arial" w:cs="Arial" w:eastAsia="Arial" w:hAnsi="Arial"/>
                <w:sz w:val="14"/>
                <w:szCs w:val="14"/>
                <w:color w:val="auto"/>
                <w:w w:val="94"/>
              </w:rPr>
              <w:t>Merchandise Margin</w:t>
            </w: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4"/>
              </w:rPr>
              <w:t>Target must be achieved for a minimum payout of 100%, with</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2"/>
              </w:rPr>
              <w:t>125% payout at 102.5% of target and 150% of payout at 105%</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Target 4</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of target.</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1860" w:type="dxa"/>
            <w:vAlign w:val="bottom"/>
            <w:gridSpan w:val="3"/>
          </w:tcPr>
          <w:p>
            <w:pPr>
              <w:jc w:val="center"/>
              <w:ind w:left="168"/>
              <w:spacing w:after="0" w:line="149" w:lineRule="exact"/>
              <w:rPr>
                <w:sz w:val="20"/>
                <w:szCs w:val="20"/>
                <w:color w:val="auto"/>
              </w:rPr>
            </w:pPr>
            <w:r>
              <w:rPr>
                <w:rFonts w:ascii="Arial" w:cs="Arial" w:eastAsia="Arial" w:hAnsi="Arial"/>
                <w:sz w:val="14"/>
                <w:szCs w:val="14"/>
                <w:color w:val="auto"/>
                <w:w w:val="94"/>
              </w:rPr>
              <w:t>DXL Comparable Sales</w:t>
            </w: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3"/>
              </w:rPr>
              <w:t>100% payout at set target, with 50% payout at 71.4% of target</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gridSpan w:val="3"/>
          </w:tcPr>
          <w:p>
            <w:pPr>
              <w:ind w:left="100"/>
              <w:spacing w:after="0"/>
              <w:rPr>
                <w:sz w:val="20"/>
                <w:szCs w:val="20"/>
                <w:color w:val="auto"/>
              </w:rPr>
            </w:pPr>
            <w:r>
              <w:rPr>
                <w:rFonts w:ascii="Arial" w:cs="Arial" w:eastAsia="Arial" w:hAnsi="Arial"/>
                <w:sz w:val="14"/>
                <w:szCs w:val="14"/>
                <w:color w:val="auto"/>
              </w:rPr>
              <w:t>and 150% of payout at 121.4% of target.</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4"/>
                <w:szCs w:val="14"/>
                <w:b w:val="1"/>
                <w:bCs w:val="1"/>
                <w:color w:val="auto"/>
              </w:rPr>
              <w:t>Target 5</w:t>
            </w:r>
          </w:p>
        </w:tc>
        <w:tc>
          <w:tcPr>
            <w:tcW w:w="1860" w:type="dxa"/>
            <w:vAlign w:val="bottom"/>
            <w:gridSpan w:val="3"/>
          </w:tcPr>
          <w:p>
            <w:pPr>
              <w:jc w:val="center"/>
              <w:ind w:left="168"/>
              <w:spacing w:after="0"/>
              <w:rPr>
                <w:sz w:val="20"/>
                <w:szCs w:val="20"/>
                <w:color w:val="auto"/>
              </w:rPr>
            </w:pPr>
            <w:r>
              <w:rPr>
                <w:rFonts w:ascii="Arial" w:cs="Arial" w:eastAsia="Arial" w:hAnsi="Arial"/>
                <w:sz w:val="14"/>
                <w:szCs w:val="14"/>
                <w:color w:val="auto"/>
                <w:w w:val="93"/>
              </w:rPr>
              <w:t>DXL Sales per Square</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color w:val="auto"/>
                <w:w w:val="90"/>
              </w:rPr>
              <w:t>10.0%</w:t>
            </w:r>
          </w:p>
        </w:tc>
        <w:tc>
          <w:tcPr>
            <w:tcW w:w="160" w:type="dxa"/>
            <w:vAlign w:val="bottom"/>
          </w:tcPr>
          <w:p>
            <w:pPr>
              <w:spacing w:after="0"/>
              <w:rPr>
                <w:sz w:val="22"/>
                <w:szCs w:val="22"/>
                <w:color w:val="auto"/>
              </w:rPr>
            </w:pPr>
          </w:p>
        </w:tc>
        <w:tc>
          <w:tcPr>
            <w:tcW w:w="3700" w:type="dxa"/>
            <w:vAlign w:val="bottom"/>
            <w:gridSpan w:val="3"/>
          </w:tcPr>
          <w:p>
            <w:pPr>
              <w:ind w:left="100"/>
              <w:spacing w:after="0"/>
              <w:rPr>
                <w:sz w:val="20"/>
                <w:szCs w:val="20"/>
                <w:color w:val="auto"/>
              </w:rPr>
            </w:pPr>
            <w:r>
              <w:rPr>
                <w:rFonts w:ascii="Arial" w:cs="Arial" w:eastAsia="Arial" w:hAnsi="Arial"/>
                <w:sz w:val="14"/>
                <w:szCs w:val="14"/>
                <w:color w:val="auto"/>
                <w:w w:val="93"/>
              </w:rPr>
              <w:t>100% payout at set target, with 50% payout at 93.7% of target</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Foot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gridSpan w:val="3"/>
          </w:tcPr>
          <w:p>
            <w:pPr>
              <w:ind w:left="100"/>
              <w:spacing w:after="0"/>
              <w:rPr>
                <w:sz w:val="20"/>
                <w:szCs w:val="20"/>
                <w:color w:val="auto"/>
              </w:rPr>
            </w:pPr>
            <w:r>
              <w:rPr>
                <w:rFonts w:ascii="Arial" w:cs="Arial" w:eastAsia="Arial" w:hAnsi="Arial"/>
                <w:sz w:val="14"/>
                <w:szCs w:val="14"/>
                <w:color w:val="auto"/>
              </w:rPr>
              <w:t>and 150% of payout at 109.4%.</w:t>
            </w:r>
          </w:p>
        </w:tc>
        <w:tc>
          <w:tcPr>
            <w:tcW w:w="0" w:type="dxa"/>
            <w:vAlign w:val="bottom"/>
          </w:tcPr>
          <w:p>
            <w:pPr>
              <w:spacing w:after="0"/>
              <w:rPr>
                <w:sz w:val="1"/>
                <w:szCs w:val="1"/>
                <w:color w:val="auto"/>
              </w:rPr>
            </w:pPr>
          </w:p>
        </w:tc>
      </w:tr>
      <w:tr>
        <w:trPr>
          <w:trHeight w:val="263"/>
        </w:trPr>
        <w:tc>
          <w:tcPr>
            <w:tcW w:w="88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1860" w:type="dxa"/>
            <w:vAlign w:val="bottom"/>
            <w:gridSpan w:val="3"/>
          </w:tcPr>
          <w:p>
            <w:pPr>
              <w:jc w:val="center"/>
              <w:ind w:left="168"/>
              <w:spacing w:after="0"/>
              <w:rPr>
                <w:sz w:val="20"/>
                <w:szCs w:val="20"/>
                <w:color w:val="auto"/>
              </w:rPr>
            </w:pPr>
            <w:r>
              <w:rPr>
                <w:rFonts w:ascii="Arial" w:cs="Arial" w:eastAsia="Arial" w:hAnsi="Arial"/>
                <w:sz w:val="14"/>
                <w:szCs w:val="14"/>
                <w:color w:val="auto"/>
                <w:w w:val="89"/>
              </w:rPr>
              <w:t>Personal Goals</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color w:val="auto"/>
                <w:w w:val="90"/>
              </w:rPr>
              <w:t>10.0%</w:t>
            </w:r>
          </w:p>
        </w:tc>
        <w:tc>
          <w:tcPr>
            <w:tcW w:w="160" w:type="dxa"/>
            <w:vAlign w:val="bottom"/>
          </w:tcPr>
          <w:p>
            <w:pPr>
              <w:spacing w:after="0"/>
              <w:rPr>
                <w:sz w:val="22"/>
                <w:szCs w:val="22"/>
                <w:color w:val="auto"/>
              </w:rPr>
            </w:pPr>
          </w:p>
        </w:tc>
        <w:tc>
          <w:tcPr>
            <w:tcW w:w="3700" w:type="dxa"/>
            <w:vAlign w:val="bottom"/>
            <w:gridSpan w:val="3"/>
          </w:tcPr>
          <w:p>
            <w:pPr>
              <w:ind w:left="100"/>
              <w:spacing w:after="0"/>
              <w:rPr>
                <w:sz w:val="20"/>
                <w:szCs w:val="20"/>
                <w:color w:val="auto"/>
              </w:rPr>
            </w:pPr>
            <w:r>
              <w:rPr>
                <w:rFonts w:ascii="Arial" w:cs="Arial" w:eastAsia="Arial" w:hAnsi="Arial"/>
                <w:sz w:val="14"/>
                <w:szCs w:val="14"/>
                <w:color w:val="auto"/>
                <w:w w:val="94"/>
              </w:rPr>
              <w:t>Participants must achieve all personal goals for 100% payout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but if all goals are not achieved participants will be able to</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0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3"/>
              </w:rPr>
              <w:t>receive a partial payout equal to the number of personal goals</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00" w:type="dxa"/>
            <w:vAlign w:val="bottom"/>
            <w:gridSpan w:val="3"/>
          </w:tcPr>
          <w:p>
            <w:pPr>
              <w:ind w:left="100"/>
              <w:spacing w:after="0"/>
              <w:rPr>
                <w:sz w:val="20"/>
                <w:szCs w:val="20"/>
                <w:color w:val="auto"/>
              </w:rPr>
            </w:pPr>
            <w:r>
              <w:rPr>
                <w:rFonts w:ascii="Arial" w:cs="Arial" w:eastAsia="Arial" w:hAnsi="Arial"/>
                <w:sz w:val="14"/>
                <w:szCs w:val="14"/>
                <w:color w:val="auto"/>
              </w:rPr>
              <w:t>that were achieved.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-1612265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-1235075</wp:posOffset>
            </wp:positionV>
            <wp:extent cx="72466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Actual Results</w:t>
      </w:r>
    </w:p>
    <w:p>
      <w:pPr>
        <w:spacing w:after="0" w:line="4"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The Sales target for fiscal 2014 was $408.0 million. Actual Sales was $414.0 million, or 113.7% payout.</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Adjusted EBITDA target for fiscal 2014 was $14.8 million. Actual Adjusted EBITDA was $15.2 million, or 104.8% payout. Merchandise margin, which is a component of disclosed gross margin, was achieved at 120.6% of target for fiscal 2014.</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Our DXL comparable sales had to increase 14.0% to receive</w:t>
      </w:r>
    </w:p>
    <w:p>
      <w:pPr>
        <w:spacing w:after="0"/>
        <w:rPr>
          <w:sz w:val="20"/>
          <w:szCs w:val="20"/>
          <w:color w:val="auto"/>
        </w:rPr>
      </w:pPr>
      <w:r>
        <w:rPr>
          <w:rFonts w:ascii="Arial" w:cs="Arial" w:eastAsia="Arial" w:hAnsi="Arial"/>
          <w:sz w:val="13"/>
          <w:szCs w:val="13"/>
          <w:color w:val="auto"/>
        </w:rPr>
        <w:t>100% payout under this metric. Actual DXL comparable sales</w:t>
      </w:r>
    </w:p>
    <w:p>
      <w:pPr>
        <w:spacing w:after="0"/>
        <w:rPr>
          <w:sz w:val="20"/>
          <w:szCs w:val="20"/>
          <w:color w:val="auto"/>
        </w:rPr>
      </w:pPr>
      <w:r>
        <w:rPr>
          <w:rFonts w:ascii="Arial" w:cs="Arial" w:eastAsia="Arial" w:hAnsi="Arial"/>
          <w:sz w:val="13"/>
          <w:szCs w:val="13"/>
          <w:color w:val="auto"/>
        </w:rPr>
        <w:t>were 13.7%, which resulted in a payout percentage of 96.3%.</w:t>
      </w:r>
    </w:p>
    <w:p>
      <w:pPr>
        <w:spacing w:after="0" w:line="221" w:lineRule="auto"/>
        <w:rPr>
          <w:sz w:val="20"/>
          <w:szCs w:val="20"/>
          <w:color w:val="auto"/>
        </w:rPr>
      </w:pPr>
      <w:r>
        <w:rPr>
          <w:rFonts w:ascii="Arial" w:cs="Arial" w:eastAsia="Arial" w:hAnsi="Arial"/>
          <w:sz w:val="14"/>
          <w:szCs w:val="14"/>
          <w:color w:val="auto"/>
        </w:rPr>
        <w:t>The target for DXL sales per square foot for fiscal 2014 was</w:t>
      </w:r>
    </w:p>
    <w:p>
      <w:pPr>
        <w:spacing w:after="0"/>
        <w:rPr>
          <w:sz w:val="20"/>
          <w:szCs w:val="20"/>
          <w:color w:val="auto"/>
        </w:rPr>
      </w:pPr>
      <w:r>
        <w:rPr>
          <w:rFonts w:ascii="Arial" w:cs="Arial" w:eastAsia="Arial" w:hAnsi="Arial"/>
          <w:sz w:val="13"/>
          <w:szCs w:val="13"/>
          <w:color w:val="auto"/>
        </w:rPr>
        <w:t>$160. The actual DXL sales per square foot for fiscal 2014 was</w:t>
      </w:r>
    </w:p>
    <w:p>
      <w:pPr>
        <w:spacing w:after="0" w:line="221" w:lineRule="auto"/>
        <w:rPr>
          <w:sz w:val="20"/>
          <w:szCs w:val="20"/>
          <w:color w:val="auto"/>
        </w:rPr>
      </w:pPr>
      <w:r>
        <w:rPr>
          <w:rFonts w:ascii="Arial" w:cs="Arial" w:eastAsia="Arial" w:hAnsi="Arial"/>
          <w:sz w:val="14"/>
          <w:szCs w:val="14"/>
          <w:color w:val="auto"/>
        </w:rPr>
        <w:t>$165, resulting in a payout of 116.7%.</w:t>
      </w:r>
    </w:p>
    <w:p>
      <w:pPr>
        <w:spacing w:after="0" w:line="237" w:lineRule="auto"/>
        <w:rPr>
          <w:sz w:val="20"/>
          <w:szCs w:val="20"/>
          <w:color w:val="auto"/>
        </w:rPr>
      </w:pPr>
      <w:r>
        <w:rPr>
          <w:rFonts w:ascii="Arial" w:cs="Arial" w:eastAsia="Arial" w:hAnsi="Arial"/>
          <w:sz w:val="14"/>
          <w:szCs w:val="14"/>
          <w:color w:val="auto"/>
        </w:rPr>
        <w:t>Participants received a payout equal to the percentage of personal goals achieved.</w:t>
      </w:r>
    </w:p>
    <w:p>
      <w:pPr>
        <w:spacing w:after="0" w:line="479" w:lineRule="exact"/>
        <w:rPr>
          <w:sz w:val="20"/>
          <w:szCs w:val="20"/>
          <w:color w:val="auto"/>
        </w:rPr>
      </w:pPr>
    </w:p>
    <w:p>
      <w:pPr>
        <w:sectPr>
          <w:pgSz w:w="11900" w:h="16838" w:orient="portrait"/>
          <w:cols w:equalWidth="0" w:num="2">
            <w:col w:w="7560" w:space="80"/>
            <w:col w:w="3780"/>
          </w:cols>
          <w:pgMar w:left="240" w:top="341" w:right="239" w:bottom="1440" w:gutter="0" w:footer="0" w:header="0"/>
          <w:type w:val="continuous"/>
        </w:sectPr>
      </w:pPr>
    </w:p>
    <w:p>
      <w:pPr>
        <w:ind w:left="1240" w:right="60"/>
        <w:spacing w:after="0" w:line="234" w:lineRule="auto"/>
        <w:tabs>
          <w:tab w:leader="none" w:pos="1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personal goals for Messrs. Ederle, Molloy and Walker consisted of a combination of subjective and quantifiable goals specific to their respective corporate function. The personal goals for our CFO were quantifiable and were tied to managing debt levels, SG&amp;A expenses and capital expenditures. Our CEO’s personal goals were also quantifiable and were tied to stock price, store openings and managing debt levels. No personal goals for Mr. Kyees were established due to his interim status. Each Named Executive Officer was entitled to a partial payout under target 6 based on the number of goals achieved.</w:t>
      </w:r>
    </w:p>
    <w:p>
      <w:pPr>
        <w:spacing w:after="0" w:line="79" w:lineRule="exact"/>
        <w:rPr>
          <w:sz w:val="20"/>
          <w:szCs w:val="20"/>
          <w:color w:val="auto"/>
        </w:rPr>
      </w:pPr>
    </w:p>
    <w:p>
      <w:pPr>
        <w:ind w:left="780" w:right="120"/>
        <w:spacing w:after="0" w:line="257" w:lineRule="auto"/>
        <w:rPr>
          <w:sz w:val="20"/>
          <w:szCs w:val="20"/>
          <w:color w:val="auto"/>
        </w:rPr>
      </w:pPr>
      <w:r>
        <w:rPr>
          <w:rFonts w:ascii="Arial" w:cs="Arial" w:eastAsia="Arial" w:hAnsi="Arial"/>
          <w:sz w:val="18"/>
          <w:szCs w:val="18"/>
          <w:color w:val="auto"/>
        </w:rPr>
        <w:t>These targets were derived from the Company’s operating plan for fiscal 2014 and the Compensation Committee believed that it was possible, within an approximate 50% probability, to meet or exceed each of the targets. As we discussed last year, our forecast for fiscal 2013 and, as a result, our AIP performance targets for fiscal 2013, proved to be overly aggressive. At that time, our forecast was based on a limited number of stores and lacked sufficient historical data. In addition, we closed 104 Casual Male XL and Rochester Clothing stores in fiscal 2013. At the time, we had not anticipated the subsequent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5" w:name="page26"/>
    <w:bookmarkEnd w:id="25"/>
    <w:p>
      <w:pPr>
        <w:jc w:val="both"/>
        <w:ind w:left="780" w:right="200"/>
        <w:spacing w:after="0" w:line="259" w:lineRule="auto"/>
        <w:rPr>
          <w:sz w:val="20"/>
          <w:szCs w:val="20"/>
          <w:color w:val="auto"/>
        </w:rPr>
      </w:pPr>
      <w:r>
        <w:rPr>
          <w:rFonts w:ascii="Arial" w:cs="Arial" w:eastAsia="Arial" w:hAnsi="Arial"/>
          <w:sz w:val="18"/>
          <w:szCs w:val="18"/>
          <w:color w:val="auto"/>
        </w:rPr>
        <w:t>decrease in our customer base, resulting in increased sales volatility. At the end of fiscal 2013, we engaged a third-party consultant to review the reasonableness of our forecasts and projections. The AIP performance targets for fiscal 2014 were based in part on this revised forecasted model which required management to successfully improve several areas of the rollout in order to improve financial results, the majority of which were achieved.</w:t>
      </w:r>
    </w:p>
    <w:p>
      <w:pPr>
        <w:spacing w:after="0" w:line="187" w:lineRule="exact"/>
        <w:rPr>
          <w:sz w:val="20"/>
          <w:szCs w:val="20"/>
          <w:color w:val="auto"/>
        </w:rPr>
      </w:pPr>
    </w:p>
    <w:p>
      <w:pPr>
        <w:ind w:left="780" w:right="520"/>
        <w:spacing w:after="0" w:line="259" w:lineRule="auto"/>
        <w:rPr>
          <w:sz w:val="20"/>
          <w:szCs w:val="20"/>
          <w:color w:val="auto"/>
        </w:rPr>
      </w:pPr>
      <w:r>
        <w:rPr>
          <w:rFonts w:ascii="Arial" w:cs="Arial" w:eastAsia="Arial" w:hAnsi="Arial"/>
          <w:sz w:val="18"/>
          <w:szCs w:val="18"/>
          <w:color w:val="auto"/>
        </w:rPr>
        <w:t>As a result of achieving the performance targets for fiscal 2014, on March 16, 2015 the Compensation Committee approved cash bonus payouts ranging between 105.5% to 108.8%, depending on each participant’s achievement of his/her personal goals. The total cash award paid to 115 participants under the 2014 AIP was approximately $4.5 million. The actual amounts paid to our Named Executive Officers under our Annual Incentive Plan for each of fiscal 2014 and fiscal 2013 were as follows: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0" w:type="dxa"/>
            <w:vAlign w:val="bottom"/>
          </w:tcPr>
          <w:p>
            <w:pPr>
              <w:spacing w:after="0"/>
              <w:rPr>
                <w:sz w:val="14"/>
                <w:szCs w:val="14"/>
                <w:color w:val="auto"/>
              </w:rPr>
            </w:pPr>
          </w:p>
        </w:tc>
        <w:tc>
          <w:tcPr>
            <w:tcW w:w="1420" w:type="dxa"/>
            <w:vAlign w:val="bottom"/>
          </w:tcPr>
          <w:p>
            <w:pPr>
              <w:jc w:val="right"/>
              <w:ind w:right="428"/>
              <w:spacing w:after="0"/>
              <w:rPr>
                <w:sz w:val="20"/>
                <w:szCs w:val="20"/>
                <w:color w:val="auto"/>
              </w:rPr>
            </w:pPr>
            <w:r>
              <w:rPr>
                <w:rFonts w:ascii="Arial" w:cs="Arial" w:eastAsia="Arial" w:hAnsi="Arial"/>
                <w:sz w:val="14"/>
                <w:szCs w:val="14"/>
                <w:b w:val="1"/>
                <w:bCs w:val="1"/>
                <w:color w:val="auto"/>
              </w:rPr>
              <w:t>Fiscal 2014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105"/>
        </w:trPr>
        <w:tc>
          <w:tcPr>
            <w:tcW w:w="6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Actual Payout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Actual Payout (1)</w:t>
            </w:r>
          </w:p>
        </w:tc>
        <w:tc>
          <w:tcPr>
            <w:tcW w:w="0" w:type="dxa"/>
            <w:vAlign w:val="bottom"/>
          </w:tcPr>
          <w:p>
            <w:pPr>
              <w:spacing w:after="0"/>
              <w:rPr>
                <w:sz w:val="1"/>
                <w:szCs w:val="1"/>
                <w:color w:val="auto"/>
              </w:rPr>
            </w:pPr>
          </w:p>
        </w:tc>
      </w:tr>
      <w:tr>
        <w:trPr>
          <w:trHeight w:val="66"/>
        </w:trPr>
        <w:tc>
          <w:tcPr>
            <w:tcW w:w="6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855,573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116,002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gridSpan w:val="2"/>
          </w:tcPr>
          <w:p>
            <w:pPr>
              <w:spacing w:after="0"/>
              <w:rPr>
                <w:sz w:val="20"/>
                <w:szCs w:val="20"/>
                <w:color w:val="auto"/>
              </w:rPr>
            </w:pPr>
            <w:r>
              <w:rPr>
                <w:rFonts w:ascii="Arial" w:cs="Arial" w:eastAsia="Arial" w:hAnsi="Arial"/>
                <w:sz w:val="14"/>
                <w:szCs w:val="14"/>
                <w:color w:val="auto"/>
              </w:rPr>
              <w:t>Peter H. Stratton, Jr.</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113,462</w:t>
            </w:r>
          </w:p>
        </w:tc>
        <w:tc>
          <w:tcPr>
            <w:tcW w:w="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John E. Kyees</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167,688</w:t>
            </w:r>
          </w:p>
        </w:tc>
        <w:tc>
          <w:tcPr>
            <w:tcW w:w="38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gridSpan w:val="2"/>
          </w:tcPr>
          <w:p>
            <w:pPr>
              <w:spacing w:after="0"/>
              <w:rPr>
                <w:sz w:val="20"/>
                <w:szCs w:val="20"/>
                <w:color w:val="auto"/>
              </w:rPr>
            </w:pPr>
            <w:r>
              <w:rPr>
                <w:rFonts w:ascii="Arial" w:cs="Arial" w:eastAsia="Arial" w:hAnsi="Arial"/>
                <w:sz w:val="14"/>
                <w:szCs w:val="14"/>
                <w:color w:val="auto"/>
              </w:rPr>
              <w:t>Kenneth M. Ederle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149,713</w:t>
            </w:r>
          </w:p>
        </w:tc>
        <w:tc>
          <w:tcPr>
            <w:tcW w:w="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15,785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141,128</w:t>
            </w:r>
          </w:p>
        </w:tc>
        <w:tc>
          <w:tcPr>
            <w:tcW w:w="38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40" w:type="dxa"/>
            <w:vAlign w:val="bottom"/>
            <w:gridSpan w:val="2"/>
          </w:tcPr>
          <w:p>
            <w:pPr>
              <w:spacing w:after="0"/>
              <w:rPr>
                <w:sz w:val="20"/>
                <w:szCs w:val="20"/>
                <w:color w:val="auto"/>
              </w:rPr>
            </w:pPr>
            <w:r>
              <w:rPr>
                <w:rFonts w:ascii="Arial" w:cs="Arial" w:eastAsia="Arial" w:hAnsi="Arial"/>
                <w:sz w:val="14"/>
                <w:szCs w:val="14"/>
                <w:color w:val="auto"/>
              </w:rPr>
              <w:t>Derrick Walker</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128,049</w:t>
            </w:r>
          </w:p>
        </w:tc>
        <w:tc>
          <w:tcPr>
            <w:tcW w:w="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13,764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820" w:hanging="820"/>
        <w:spacing w:after="0"/>
        <w:tabs>
          <w:tab w:leader="none" w:pos="2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Senior Executives’ participation in the AIP in fiscal 2013 was at 35% as compared to 40% for fiscal 2014.</w:t>
      </w:r>
    </w:p>
    <w:p>
      <w:pPr>
        <w:spacing w:after="0" w:line="208"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2015 Annual Incentive Plan</w:t>
      </w:r>
    </w:p>
    <w:p>
      <w:pPr>
        <w:spacing w:after="0" w:line="117" w:lineRule="exact"/>
        <w:rPr>
          <w:sz w:val="20"/>
          <w:szCs w:val="20"/>
          <w:color w:val="auto"/>
        </w:rPr>
      </w:pPr>
    </w:p>
    <w:p>
      <w:pPr>
        <w:ind w:left="780" w:right="240"/>
        <w:spacing w:after="0" w:line="302" w:lineRule="auto"/>
        <w:rPr>
          <w:sz w:val="20"/>
          <w:szCs w:val="20"/>
          <w:color w:val="auto"/>
        </w:rPr>
      </w:pPr>
      <w:r>
        <w:rPr>
          <w:rFonts w:ascii="Arial" w:cs="Arial" w:eastAsia="Arial" w:hAnsi="Arial"/>
          <w:sz w:val="16"/>
          <w:szCs w:val="16"/>
          <w:color w:val="auto"/>
        </w:rPr>
        <w:t>Similar to our 2014 AIP, the metrics for achievement under our annual incentive plan for fiscal 2015 are aligned with the Company’s primary financial goals of increasing top line revenues while protecting merchandise margin and managing expenses during our DXL transition. In addition, sales per square foot and comparable sales from our DXL stores remain key metrics for our long-term profitability. For fiscal 2015, the Compensation Committee eliminated the personal goal metric and added growth in our customer base as a new metric.</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2015 AIP financial targets and metrics approved by the Compensation Committee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20" w:type="dxa"/>
            <w:vAlign w:val="bottom"/>
            <w:gridSpan w:val="3"/>
          </w:tcPr>
          <w:p>
            <w:pPr>
              <w:ind w:left="700"/>
              <w:spacing w:after="0"/>
              <w:rPr>
                <w:sz w:val="20"/>
                <w:szCs w:val="20"/>
                <w:color w:val="auto"/>
              </w:rPr>
            </w:pPr>
            <w:r>
              <w:rPr>
                <w:rFonts w:ascii="Arial" w:cs="Arial" w:eastAsia="Arial" w:hAnsi="Arial"/>
                <w:sz w:val="18"/>
                <w:szCs w:val="18"/>
                <w:i w:val="1"/>
                <w:iCs w:val="1"/>
                <w:color w:val="auto"/>
              </w:rPr>
              <w:t>2015 Annual Incentive Plan</w:t>
            </w: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 %</w:t>
            </w:r>
          </w:p>
        </w:tc>
        <w:tc>
          <w:tcPr>
            <w:tcW w:w="7020" w:type="dxa"/>
            <w:vAlign w:val="bottom"/>
            <w:gridSpan w:val="3"/>
            <w:vMerge w:val="restart"/>
          </w:tcPr>
          <w:p>
            <w:pPr>
              <w:jc w:val="center"/>
              <w:ind w:left="86"/>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020" w:type="dxa"/>
            <w:vAlign w:val="bottom"/>
            <w:vMerge w:val="restart"/>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7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Each Target</w:t>
            </w:r>
          </w:p>
        </w:tc>
        <w:tc>
          <w:tcPr>
            <w:tcW w:w="3080" w:type="dxa"/>
            <w:vAlign w:val="bottom"/>
          </w:tcPr>
          <w:p>
            <w:pPr>
              <w:spacing w:after="0"/>
              <w:rPr>
                <w:sz w:val="13"/>
                <w:szCs w:val="13"/>
                <w:color w:val="auto"/>
              </w:rPr>
            </w:pPr>
          </w:p>
        </w:tc>
        <w:tc>
          <w:tcPr>
            <w:tcW w:w="3940" w:type="dxa"/>
            <w:vAlign w:val="bottom"/>
            <w:gridSpan w:val="2"/>
          </w:tcPr>
          <w:p>
            <w:pPr>
              <w:jc w:val="center"/>
              <w:ind w:right="2920"/>
              <w:spacing w:after="0" w:line="158"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Target 1</w:t>
            </w:r>
          </w:p>
        </w:tc>
        <w:tc>
          <w:tcPr>
            <w:tcW w:w="1020" w:type="dxa"/>
            <w:vAlign w:val="bottom"/>
            <w:shd w:val="clear" w:color="auto" w:fill="CFF0FC"/>
          </w:tcPr>
          <w:p>
            <w:pPr>
              <w:ind w:left="380"/>
              <w:spacing w:after="0" w:line="142" w:lineRule="exact"/>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center"/>
              <w:spacing w:after="0" w:line="142" w:lineRule="exact"/>
              <w:rPr>
                <w:sz w:val="20"/>
                <w:szCs w:val="20"/>
                <w:color w:val="auto"/>
              </w:rPr>
            </w:pPr>
            <w:r>
              <w:rPr>
                <w:rFonts w:ascii="Arial" w:cs="Arial" w:eastAsia="Arial" w:hAnsi="Arial"/>
                <w:sz w:val="14"/>
                <w:szCs w:val="14"/>
                <w:color w:val="auto"/>
                <w:w w:val="90"/>
              </w:rPr>
              <w:t>25.0%</w:t>
            </w:r>
          </w:p>
        </w:tc>
        <w:tc>
          <w:tcPr>
            <w:tcW w:w="300" w:type="dxa"/>
            <w:vAlign w:val="bottom"/>
            <w:shd w:val="clear" w:color="auto" w:fill="CFF0FC"/>
          </w:tcPr>
          <w:p>
            <w:pPr>
              <w:spacing w:after="0"/>
              <w:rPr>
                <w:sz w:val="12"/>
                <w:szCs w:val="12"/>
                <w:color w:val="auto"/>
              </w:rPr>
            </w:pPr>
          </w:p>
        </w:tc>
        <w:tc>
          <w:tcPr>
            <w:tcW w:w="7020" w:type="dxa"/>
            <w:vAlign w:val="bottom"/>
            <w:gridSpan w:val="3"/>
            <w:shd w:val="clear" w:color="auto" w:fill="CFF0FC"/>
          </w:tcPr>
          <w:p>
            <w:pPr>
              <w:ind w:left="180"/>
              <w:spacing w:after="0" w:line="142" w:lineRule="exact"/>
              <w:rPr>
                <w:sz w:val="20"/>
                <w:szCs w:val="20"/>
                <w:color w:val="auto"/>
              </w:rPr>
            </w:pPr>
            <w:r>
              <w:rPr>
                <w:rFonts w:ascii="Arial" w:cs="Arial" w:eastAsia="Arial" w:hAnsi="Arial"/>
                <w:sz w:val="14"/>
                <w:szCs w:val="14"/>
                <w:color w:val="auto"/>
              </w:rPr>
              <w:t>100% payout at set target, with 50% payout at 98% of set target and 150% payout at 102%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2</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EBITDA</w:t>
            </w:r>
          </w:p>
        </w:tc>
        <w:tc>
          <w:tcPr>
            <w:tcW w:w="100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25.0%</w:t>
            </w:r>
          </w:p>
        </w:tc>
        <w:tc>
          <w:tcPr>
            <w:tcW w:w="300" w:type="dxa"/>
            <w:vAlign w:val="bottom"/>
          </w:tcPr>
          <w:p>
            <w:pPr>
              <w:spacing w:after="0"/>
              <w:rPr>
                <w:sz w:val="12"/>
                <w:szCs w:val="12"/>
                <w:color w:val="auto"/>
              </w:rPr>
            </w:pPr>
          </w:p>
        </w:tc>
        <w:tc>
          <w:tcPr>
            <w:tcW w:w="70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100% payout out at set target, with 50% payout at 86% of set target and 150% payout at 114% of target</w:t>
            </w:r>
          </w:p>
        </w:tc>
        <w:tc>
          <w:tcPr>
            <w:tcW w:w="0" w:type="dxa"/>
            <w:vAlign w:val="bottom"/>
          </w:tcPr>
          <w:p>
            <w:pPr>
              <w:spacing w:after="0"/>
              <w:rPr>
                <w:sz w:val="1"/>
                <w:szCs w:val="1"/>
                <w:color w:val="auto"/>
              </w:rPr>
            </w:pPr>
          </w:p>
        </w:tc>
      </w:tr>
      <w:tr>
        <w:trPr>
          <w:trHeight w:val="130"/>
        </w:trPr>
        <w:tc>
          <w:tcPr>
            <w:tcW w:w="9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2200" w:type="dxa"/>
            <w:vAlign w:val="bottom"/>
            <w:gridSpan w:val="3"/>
            <w:shd w:val="clear" w:color="auto" w:fill="CFF0FC"/>
          </w:tcPr>
          <w:p>
            <w:pPr>
              <w:ind w:left="380"/>
              <w:spacing w:after="0" w:line="130" w:lineRule="exact"/>
              <w:rPr>
                <w:sz w:val="20"/>
                <w:szCs w:val="20"/>
                <w:color w:val="auto"/>
              </w:rPr>
            </w:pPr>
            <w:r>
              <w:rPr>
                <w:rFonts w:ascii="Arial" w:cs="Arial" w:eastAsia="Arial" w:hAnsi="Arial"/>
                <w:sz w:val="14"/>
                <w:szCs w:val="14"/>
                <w:color w:val="auto"/>
              </w:rPr>
              <w:t>Merchandise Margin</w:t>
            </w:r>
          </w:p>
        </w:tc>
        <w:tc>
          <w:tcPr>
            <w:tcW w:w="1000" w:type="dxa"/>
            <w:vAlign w:val="bottom"/>
            <w:gridSpan w:val="2"/>
            <w:shd w:val="clear" w:color="auto" w:fill="CFF0FC"/>
          </w:tcPr>
          <w:p>
            <w:pPr>
              <w:jc w:val="center"/>
              <w:ind w:left="288"/>
              <w:spacing w:after="0" w:line="130" w:lineRule="exact"/>
              <w:rPr>
                <w:sz w:val="20"/>
                <w:szCs w:val="20"/>
                <w:color w:val="auto"/>
              </w:rPr>
            </w:pPr>
            <w:r>
              <w:rPr>
                <w:rFonts w:ascii="Arial" w:cs="Arial" w:eastAsia="Arial" w:hAnsi="Arial"/>
                <w:sz w:val="14"/>
                <w:szCs w:val="14"/>
                <w:color w:val="auto"/>
                <w:w w:val="90"/>
              </w:rPr>
              <w:t>15.0%</w:t>
            </w:r>
          </w:p>
        </w:tc>
        <w:tc>
          <w:tcPr>
            <w:tcW w:w="300" w:type="dxa"/>
            <w:vAlign w:val="bottom"/>
            <w:shd w:val="clear" w:color="auto" w:fill="CFF0FC"/>
          </w:tcPr>
          <w:p>
            <w:pPr>
              <w:spacing w:after="0"/>
              <w:rPr>
                <w:sz w:val="11"/>
                <w:szCs w:val="11"/>
                <w:color w:val="auto"/>
              </w:rPr>
            </w:pPr>
          </w:p>
        </w:tc>
        <w:tc>
          <w:tcPr>
            <w:tcW w:w="7020" w:type="dxa"/>
            <w:vAlign w:val="bottom"/>
            <w:gridSpan w:val="3"/>
            <w:shd w:val="clear" w:color="auto" w:fill="CFF0FC"/>
          </w:tcPr>
          <w:p>
            <w:pPr>
              <w:ind w:left="180"/>
              <w:spacing w:after="0" w:line="130" w:lineRule="exact"/>
              <w:rPr>
                <w:sz w:val="20"/>
                <w:szCs w:val="20"/>
                <w:color w:val="auto"/>
              </w:rPr>
            </w:pPr>
            <w:r>
              <w:rPr>
                <w:rFonts w:ascii="Arial" w:cs="Arial" w:eastAsia="Arial" w:hAnsi="Arial"/>
                <w:sz w:val="14"/>
                <w:szCs w:val="14"/>
                <w:color w:val="auto"/>
                <w:w w:val="95"/>
              </w:rPr>
              <w:t>Target must be achieved for a minimum payout of 100%, with 125% payout at 102.7% of target and 150% of payout</w:t>
            </w:r>
          </w:p>
        </w:tc>
        <w:tc>
          <w:tcPr>
            <w:tcW w:w="0" w:type="dxa"/>
            <w:vAlign w:val="bottom"/>
          </w:tcPr>
          <w:p>
            <w:pPr>
              <w:spacing w:after="0"/>
              <w:rPr>
                <w:sz w:val="1"/>
                <w:szCs w:val="1"/>
                <w:color w:val="auto"/>
              </w:rPr>
            </w:pPr>
          </w:p>
        </w:tc>
      </w:tr>
      <w:tr>
        <w:trPr>
          <w:trHeight w:val="167"/>
        </w:trPr>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20" w:type="dxa"/>
            <w:vAlign w:val="bottom"/>
            <w:gridSpan w:val="3"/>
            <w:shd w:val="clear" w:color="auto" w:fill="CFF0FC"/>
          </w:tcPr>
          <w:p>
            <w:pPr>
              <w:ind w:left="180"/>
              <w:spacing w:after="0"/>
              <w:rPr>
                <w:sz w:val="20"/>
                <w:szCs w:val="20"/>
                <w:color w:val="auto"/>
              </w:rPr>
            </w:pPr>
            <w:r>
              <w:rPr>
                <w:rFonts w:ascii="Arial" w:cs="Arial" w:eastAsia="Arial" w:hAnsi="Arial"/>
                <w:sz w:val="14"/>
                <w:szCs w:val="14"/>
                <w:color w:val="auto"/>
              </w:rPr>
              <w:t>at 105% of target</w:t>
            </w:r>
          </w:p>
        </w:tc>
        <w:tc>
          <w:tcPr>
            <w:tcW w:w="0" w:type="dxa"/>
            <w:vAlign w:val="bottom"/>
          </w:tcPr>
          <w:p>
            <w:pPr>
              <w:spacing w:after="0"/>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Target 4</w:t>
            </w:r>
          </w:p>
        </w:tc>
        <w:tc>
          <w:tcPr>
            <w:tcW w:w="22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DXL Comparable Sales</w:t>
            </w:r>
          </w:p>
        </w:tc>
        <w:tc>
          <w:tcPr>
            <w:tcW w:w="100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15.0%</w:t>
            </w:r>
          </w:p>
        </w:tc>
        <w:tc>
          <w:tcPr>
            <w:tcW w:w="300" w:type="dxa"/>
            <w:vAlign w:val="bottom"/>
          </w:tcPr>
          <w:p>
            <w:pPr>
              <w:spacing w:after="0"/>
              <w:rPr>
                <w:sz w:val="12"/>
                <w:szCs w:val="12"/>
                <w:color w:val="auto"/>
              </w:rPr>
            </w:pPr>
          </w:p>
        </w:tc>
        <w:tc>
          <w:tcPr>
            <w:tcW w:w="70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100% payout at set target, with 50% payout at 76.5% of target and 150% of payout at 123.5% of target</w:t>
            </w:r>
          </w:p>
        </w:tc>
        <w:tc>
          <w:tcPr>
            <w:tcW w:w="0" w:type="dxa"/>
            <w:vAlign w:val="bottom"/>
          </w:tcPr>
          <w:p>
            <w:pPr>
              <w:spacing w:after="0"/>
              <w:rPr>
                <w:sz w:val="1"/>
                <w:szCs w:val="1"/>
                <w:color w:val="auto"/>
              </w:rPr>
            </w:pPr>
          </w:p>
        </w:tc>
      </w:tr>
      <w:tr>
        <w:trPr>
          <w:trHeight w:val="149"/>
        </w:trPr>
        <w:tc>
          <w:tcPr>
            <w:tcW w:w="900" w:type="dxa"/>
            <w:vAlign w:val="bottom"/>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Target 5</w:t>
            </w:r>
          </w:p>
        </w:tc>
        <w:tc>
          <w:tcPr>
            <w:tcW w:w="2200" w:type="dxa"/>
            <w:vAlign w:val="bottom"/>
            <w:gridSpan w:val="3"/>
            <w:shd w:val="clear" w:color="auto" w:fill="CFF0FC"/>
          </w:tcPr>
          <w:p>
            <w:pPr>
              <w:ind w:left="380"/>
              <w:spacing w:after="0" w:line="149" w:lineRule="exact"/>
              <w:rPr>
                <w:sz w:val="20"/>
                <w:szCs w:val="20"/>
                <w:color w:val="auto"/>
              </w:rPr>
            </w:pPr>
            <w:r>
              <w:rPr>
                <w:rFonts w:ascii="Arial" w:cs="Arial" w:eastAsia="Arial" w:hAnsi="Arial"/>
                <w:sz w:val="14"/>
                <w:szCs w:val="14"/>
                <w:color w:val="auto"/>
              </w:rPr>
              <w:t>DXL Sales per Square Foot</w:t>
            </w:r>
          </w:p>
        </w:tc>
        <w:tc>
          <w:tcPr>
            <w:tcW w:w="1000" w:type="dxa"/>
            <w:vAlign w:val="bottom"/>
            <w:gridSpan w:val="2"/>
            <w:shd w:val="clear" w:color="auto" w:fill="CFF0FC"/>
          </w:tcPr>
          <w:p>
            <w:pPr>
              <w:jc w:val="center"/>
              <w:ind w:left="288"/>
              <w:spacing w:after="0" w:line="149" w:lineRule="exact"/>
              <w:rPr>
                <w:sz w:val="20"/>
                <w:szCs w:val="20"/>
                <w:color w:val="auto"/>
              </w:rPr>
            </w:pPr>
            <w:r>
              <w:rPr>
                <w:rFonts w:ascii="Arial" w:cs="Arial" w:eastAsia="Arial" w:hAnsi="Arial"/>
                <w:sz w:val="14"/>
                <w:szCs w:val="14"/>
                <w:color w:val="auto"/>
                <w:w w:val="90"/>
              </w:rPr>
              <w:t>10.0%</w:t>
            </w:r>
          </w:p>
        </w:tc>
        <w:tc>
          <w:tcPr>
            <w:tcW w:w="300" w:type="dxa"/>
            <w:vAlign w:val="bottom"/>
            <w:shd w:val="clear" w:color="auto" w:fill="CFF0FC"/>
          </w:tcPr>
          <w:p>
            <w:pPr>
              <w:spacing w:after="0"/>
              <w:rPr>
                <w:sz w:val="12"/>
                <w:szCs w:val="12"/>
                <w:color w:val="auto"/>
              </w:rPr>
            </w:pPr>
          </w:p>
        </w:tc>
        <w:tc>
          <w:tcPr>
            <w:tcW w:w="7020" w:type="dxa"/>
            <w:vAlign w:val="bottom"/>
            <w:gridSpan w:val="3"/>
            <w:shd w:val="clear" w:color="auto" w:fill="CFF0FC"/>
          </w:tcPr>
          <w:p>
            <w:pPr>
              <w:ind w:left="180"/>
              <w:spacing w:after="0" w:line="149" w:lineRule="exact"/>
              <w:rPr>
                <w:sz w:val="20"/>
                <w:szCs w:val="20"/>
                <w:color w:val="auto"/>
              </w:rPr>
            </w:pPr>
            <w:r>
              <w:rPr>
                <w:rFonts w:ascii="Arial" w:cs="Arial" w:eastAsia="Arial" w:hAnsi="Arial"/>
                <w:sz w:val="14"/>
                <w:szCs w:val="14"/>
                <w:color w:val="auto"/>
              </w:rPr>
              <w:t>100% payout at set target, with 50% payout at 97.7% of target and 150% of payout at 102.3% of target</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2200" w:type="dxa"/>
            <w:vAlign w:val="bottom"/>
            <w:gridSpan w:val="3"/>
          </w:tcPr>
          <w:p>
            <w:pPr>
              <w:ind w:left="380"/>
              <w:spacing w:after="0"/>
              <w:rPr>
                <w:sz w:val="20"/>
                <w:szCs w:val="20"/>
                <w:color w:val="auto"/>
              </w:rPr>
            </w:pPr>
            <w:r>
              <w:rPr>
                <w:rFonts w:ascii="Arial" w:cs="Arial" w:eastAsia="Arial" w:hAnsi="Arial"/>
                <w:sz w:val="14"/>
                <w:szCs w:val="14"/>
                <w:color w:val="auto"/>
              </w:rPr>
              <w:t>Customer Counts</w:t>
            </w:r>
          </w:p>
        </w:tc>
        <w:tc>
          <w:tcPr>
            <w:tcW w:w="1000" w:type="dxa"/>
            <w:vAlign w:val="bottom"/>
            <w:gridSpan w:val="2"/>
          </w:tcPr>
          <w:p>
            <w:pPr>
              <w:jc w:val="center"/>
              <w:ind w:left="288"/>
              <w:spacing w:after="0"/>
              <w:rPr>
                <w:sz w:val="20"/>
                <w:szCs w:val="20"/>
                <w:color w:val="auto"/>
              </w:rPr>
            </w:pPr>
            <w:r>
              <w:rPr>
                <w:rFonts w:ascii="Arial" w:cs="Arial" w:eastAsia="Arial" w:hAnsi="Arial"/>
                <w:sz w:val="14"/>
                <w:szCs w:val="14"/>
                <w:color w:val="auto"/>
                <w:w w:val="90"/>
              </w:rPr>
              <w:t>10.0%</w:t>
            </w:r>
          </w:p>
        </w:tc>
        <w:tc>
          <w:tcPr>
            <w:tcW w:w="300" w:type="dxa"/>
            <w:vAlign w:val="bottom"/>
          </w:tcPr>
          <w:p>
            <w:pPr>
              <w:spacing w:after="0"/>
              <w:rPr>
                <w:sz w:val="16"/>
                <w:szCs w:val="16"/>
                <w:color w:val="auto"/>
              </w:rPr>
            </w:pPr>
          </w:p>
        </w:tc>
        <w:tc>
          <w:tcPr>
            <w:tcW w:w="7020" w:type="dxa"/>
            <w:vAlign w:val="bottom"/>
            <w:gridSpan w:val="3"/>
          </w:tcPr>
          <w:p>
            <w:pPr>
              <w:ind w:left="180"/>
              <w:spacing w:after="0"/>
              <w:rPr>
                <w:sz w:val="20"/>
                <w:szCs w:val="20"/>
                <w:color w:val="auto"/>
              </w:rPr>
            </w:pPr>
            <w:r>
              <w:rPr>
                <w:rFonts w:ascii="Arial" w:cs="Arial" w:eastAsia="Arial" w:hAnsi="Arial"/>
                <w:sz w:val="14"/>
                <w:szCs w:val="14"/>
                <w:color w:val="auto"/>
              </w:rPr>
              <w:t>100% payout at set target, with 50% payout at 98.8% of target and 150% of payout at 101.6% of target</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40" w:right="40"/>
        <w:spacing w:after="0" w:line="287" w:lineRule="auto"/>
        <w:rPr>
          <w:sz w:val="20"/>
          <w:szCs w:val="20"/>
          <w:color w:val="auto"/>
        </w:rPr>
      </w:pPr>
      <w:r>
        <w:rPr>
          <w:rFonts w:ascii="Arial" w:cs="Arial" w:eastAsia="Arial" w:hAnsi="Arial"/>
          <w:sz w:val="16"/>
          <w:szCs w:val="16"/>
          <w:color w:val="auto"/>
        </w:rPr>
        <w:t>The Compensation Committee believes that it is possible to meet or exceed the targets set for fiscal 2015. The established targets are intended to be achievable within an approximate 50% probability as a result of executing our operating plan. The Compensation Committee considered the likelihood of achieving the target levels when approving the target amount, including historical achievement by our executive officers.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2015 targets reflects the challenges inherent in achieving the goals and objectives in the operating plan and budget. The range of targets necessary for certain minimum and maximum payouts has narrowed as compared to fiscal 2014. For fiscal 2014, the Compensation Committee believed that as a result of the initiatives identified there was a greater potential range for certain targets due to a combination of the sales impact of the DXL stores that opened in the fourth quarter of fiscal 2013, the roll-out of Store-Net, the extended operating hours of the Casual Male XL stores and the decision to close fewer Casual Male XL stores than was previously the practice. For fiscal 2015, there are fewer variables which could result in certain targets exceeding the maximum payout ranges.</w:t>
      </w:r>
    </w:p>
    <w:p>
      <w:pPr>
        <w:spacing w:after="0" w:line="173"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color w:val="auto"/>
        </w:rPr>
        <w:t>Assuming we achieve 100% of the above targets for fiscal 2015, we estimate that the total potential payout would be approximately $4.0 million, of which $1.3 million would be paid to our Named Executive Officers as set forth below, and the remaining amount would be paid to the approximately 102 other participants in the 2015 AIP.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tbl>
      <w:tblPr>
        <w:tblLayout w:type="fixed"/>
        <w:tblInd w:w="400" w:type="dxa"/>
        <w:tblCellMar>
          <w:top w:w="0" w:type="dxa"/>
          <w:left w:w="0" w:type="dxa"/>
          <w:bottom w:w="0" w:type="dxa"/>
          <w:right w:w="0" w:type="dxa"/>
        </w:tblCellMar>
      </w:tblPr>
      <w:tr>
        <w:trPr>
          <w:trHeight w:val="161"/>
        </w:trPr>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6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Fiscal 2015</w:t>
            </w:r>
          </w:p>
        </w:tc>
        <w:tc>
          <w:tcPr>
            <w:tcW w:w="0" w:type="dxa"/>
            <w:vAlign w:val="bottom"/>
          </w:tcPr>
          <w:p>
            <w:pPr>
              <w:spacing w:after="0"/>
              <w:rPr>
                <w:sz w:val="1"/>
                <w:szCs w:val="1"/>
                <w:color w:val="auto"/>
              </w:rPr>
            </w:pPr>
          </w:p>
        </w:tc>
      </w:tr>
      <w:tr>
        <w:trPr>
          <w:trHeight w:val="149"/>
        </w:trPr>
        <w:tc>
          <w:tcPr>
            <w:tcW w:w="7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at Target</w:t>
            </w:r>
          </w:p>
        </w:tc>
        <w:tc>
          <w:tcPr>
            <w:tcW w:w="0" w:type="dxa"/>
            <w:vAlign w:val="bottom"/>
          </w:tcPr>
          <w:p>
            <w:pPr>
              <w:spacing w:after="0"/>
              <w:rPr>
                <w:sz w:val="1"/>
                <w:szCs w:val="1"/>
                <w:color w:val="auto"/>
              </w:rPr>
            </w:pPr>
          </w:p>
        </w:tc>
      </w:tr>
      <w:tr>
        <w:trPr>
          <w:trHeight w:val="156"/>
        </w:trPr>
        <w:tc>
          <w:tcPr>
            <w:tcW w:w="74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811,200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20" w:type="dxa"/>
            <w:vAlign w:val="bottom"/>
            <w:gridSpan w:val="2"/>
          </w:tcPr>
          <w:p>
            <w:pPr>
              <w:spacing w:after="0"/>
              <w:rPr>
                <w:sz w:val="20"/>
                <w:szCs w:val="20"/>
                <w:color w:val="auto"/>
              </w:rPr>
            </w:pPr>
            <w:r>
              <w:rPr>
                <w:rFonts w:ascii="Arial" w:cs="Arial" w:eastAsia="Arial" w:hAnsi="Arial"/>
                <w:sz w:val="14"/>
                <w:szCs w:val="14"/>
                <w:color w:val="auto"/>
              </w:rPr>
              <w:t>Peter H. Stratton, Jr.</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114,000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John E. Kyees</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gridSpan w:val="2"/>
          </w:tcPr>
          <w:p>
            <w:pPr>
              <w:spacing w:after="0"/>
              <w:rPr>
                <w:sz w:val="20"/>
                <w:szCs w:val="20"/>
                <w:color w:val="auto"/>
              </w:rPr>
            </w:pPr>
            <w:r>
              <w:rPr>
                <w:rFonts w:ascii="Arial" w:cs="Arial" w:eastAsia="Arial" w:hAnsi="Arial"/>
                <w:sz w:val="14"/>
                <w:szCs w:val="14"/>
                <w:color w:val="auto"/>
              </w:rPr>
              <w:t>Kenneth M. Ederle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153,000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520" w:type="dxa"/>
            <w:vAlign w:val="bottom"/>
            <w:gridSpan w:val="2"/>
          </w:tcPr>
          <w:p>
            <w:pPr>
              <w:spacing w:after="0"/>
              <w:rPr>
                <w:sz w:val="20"/>
                <w:szCs w:val="20"/>
                <w:color w:val="auto"/>
              </w:rPr>
            </w:pPr>
            <w:r>
              <w:rPr>
                <w:rFonts w:ascii="Arial" w:cs="Arial" w:eastAsia="Arial" w:hAnsi="Arial"/>
                <w:sz w:val="14"/>
                <w:szCs w:val="14"/>
                <w:color w:val="auto"/>
              </w:rPr>
              <w:t>Derrick Walker</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60" w:hanging="254"/>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7" w:lineRule="exact"/>
        <w:rPr>
          <w:rFonts w:ascii="Arial" w:cs="Arial" w:eastAsia="Arial" w:hAnsi="Arial"/>
          <w:sz w:val="18"/>
          <w:szCs w:val="18"/>
          <w:color w:val="auto"/>
        </w:rPr>
      </w:pPr>
    </w:p>
    <w:p>
      <w:pPr>
        <w:ind w:left="260" w:right="20"/>
        <w:spacing w:after="0" w:line="257"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grants of stock options or other equity-based awards. From fiscal 2008 through fiscal 2012, our LTIP plans were comprised of annual performance targets. If performance targets were achieved, granted awards vested over a three year period.</w:t>
      </w:r>
    </w:p>
    <w:p>
      <w:pPr>
        <w:spacing w:after="0" w:line="80"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pacing w:after="0" w:line="117" w:lineRule="exact"/>
        <w:rPr>
          <w:rFonts w:ascii="Arial" w:cs="Arial" w:eastAsia="Arial" w:hAnsi="Arial"/>
          <w:sz w:val="18"/>
          <w:szCs w:val="18"/>
          <w:color w:val="auto"/>
        </w:rPr>
      </w:pPr>
    </w:p>
    <w:p>
      <w:pPr>
        <w:ind w:left="260" w:right="40"/>
        <w:spacing w:after="0" w:line="291" w:lineRule="auto"/>
        <w:rPr>
          <w:rFonts w:ascii="Arial" w:cs="Arial" w:eastAsia="Arial" w:hAnsi="Arial"/>
          <w:sz w:val="18"/>
          <w:szCs w:val="18"/>
          <w:color w:val="auto"/>
        </w:rPr>
      </w:pPr>
      <w:r>
        <w:rPr>
          <w:rFonts w:ascii="Arial" w:cs="Arial" w:eastAsia="Arial" w:hAnsi="Arial"/>
          <w:sz w:val="16"/>
          <w:szCs w:val="16"/>
          <w:color w:val="auto"/>
        </w:rPr>
        <w:t>In 2013, the Compensation Committee approved our 2013-2016 LTIP, which was designed for the specific purposes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This award consisted of a combination of restricted stock, stock options and cash. Of the total award, 50% is subject to time-based vesting and 50% is subject to performance-based vesting. The time-vested portion of the award (half of the shares of restricted stock, options and cash) vests in three installments with the first 20% vesting at the end of fiscal 2014. The next 40% will vest at the end of fiscal 2015 and the remaining 40% will vest at the end of fiscal 2016.</w:t>
      </w:r>
    </w:p>
    <w:p>
      <w:pPr>
        <w:spacing w:after="0" w:line="59" w:lineRule="exact"/>
        <w:rPr>
          <w:rFonts w:ascii="Arial" w:cs="Arial" w:eastAsia="Arial" w:hAnsi="Arial"/>
          <w:sz w:val="18"/>
          <w:szCs w:val="18"/>
          <w:color w:val="auto"/>
        </w:rPr>
      </w:pPr>
    </w:p>
    <w:p>
      <w:pPr>
        <w:ind w:left="260" w:right="280"/>
        <w:spacing w:after="0" w:line="259" w:lineRule="auto"/>
        <w:rPr>
          <w:rFonts w:ascii="Arial" w:cs="Arial" w:eastAsia="Arial" w:hAnsi="Arial"/>
          <w:sz w:val="18"/>
          <w:szCs w:val="18"/>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award vests in full.</w:t>
      </w:r>
    </w:p>
    <w:p>
      <w:pPr>
        <w:spacing w:after="0" w:line="78" w:lineRule="exact"/>
        <w:rPr>
          <w:rFonts w:ascii="Arial" w:cs="Arial" w:eastAsia="Arial" w:hAnsi="Arial"/>
          <w:sz w:val="18"/>
          <w:szCs w:val="18"/>
          <w:color w:val="auto"/>
        </w:rPr>
      </w:pPr>
    </w:p>
    <w:p>
      <w:pPr>
        <w:ind w:left="260" w:right="40"/>
        <w:spacing w:after="0" w:line="255" w:lineRule="auto"/>
        <w:rPr>
          <w:rFonts w:ascii="Arial" w:cs="Arial" w:eastAsia="Arial" w:hAnsi="Arial"/>
          <w:sz w:val="18"/>
          <w:szCs w:val="18"/>
          <w:color w:val="auto"/>
        </w:rPr>
      </w:pPr>
      <w:r>
        <w:rPr>
          <w:rFonts w:ascii="Arial" w:cs="Arial" w:eastAsia="Arial" w:hAnsi="Arial"/>
          <w:sz w:val="18"/>
          <w:szCs w:val="18"/>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award.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 Regardless of sales, there is no performance payout if the operating margin is less than 8.0%.</w:t>
      </w:r>
    </w:p>
    <w:p>
      <w:pPr>
        <w:spacing w:after="0" w:line="81" w:lineRule="exact"/>
        <w:rPr>
          <w:rFonts w:ascii="Arial" w:cs="Arial" w:eastAsia="Arial" w:hAnsi="Arial"/>
          <w:sz w:val="18"/>
          <w:szCs w:val="18"/>
          <w:color w:val="auto"/>
        </w:rPr>
      </w:pPr>
    </w:p>
    <w:p>
      <w:pPr>
        <w:ind w:left="260"/>
        <w:spacing w:after="0" w:line="287" w:lineRule="auto"/>
        <w:rPr>
          <w:rFonts w:ascii="Arial" w:cs="Arial" w:eastAsia="Arial" w:hAnsi="Arial"/>
          <w:sz w:val="18"/>
          <w:szCs w:val="18"/>
          <w:color w:val="auto"/>
        </w:rPr>
      </w:pPr>
      <w:r>
        <w:rPr>
          <w:rFonts w:ascii="Arial" w:cs="Arial" w:eastAsia="Arial" w:hAnsi="Arial"/>
          <w:sz w:val="16"/>
          <w:szCs w:val="16"/>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While the transition could have continued at the same pace as fiscal 2013, the Board made the decision that it was more important to slow down the transition and preserve liquidity by keeping existing profitable Casual Male XL stores open during the conversion and reducing the Company’s annual capital expenditures by slowing down the DXL openings. In light of the strategic shift and the reduced number of DXL stores expected to be opened during the performance period of the 2013-2016 LTIP, it became clear that the performance component would most likely not be achievable. As a result, the participants in the 2013-2016 LTIP would likely have no opportunity to earn any performance-based compensation for four years, during which time we expect to have significantly transitioned the Company to the DXL concept. The Compensation Committee did not want to penalize the participants as a result of this strategic shift. After consultation with Sibson Consulting, in late 2014, the Compensation Committee established a supplemental plan, the “Wrap-Around Plan,” that exists at the same time as the 2013-2016 LTIP, but will be triggered only if there is no payout on the performance component of the 2013-2016 LTIP, as further described below.</w:t>
      </w:r>
    </w:p>
    <w:p>
      <w:pPr>
        <w:spacing w:after="0" w:line="17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34" w:right="239" w:bottom="1440" w:gutter="0" w:footer="0" w:header="0"/>
        </w:sectPr>
      </w:pPr>
    </w:p>
    <w:bookmarkStart w:id="27" w:name="page28"/>
    <w:bookmarkEnd w:id="27"/>
    <w:p>
      <w:pPr>
        <w:ind w:left="780"/>
        <w:spacing w:after="0"/>
        <w:rPr>
          <w:sz w:val="20"/>
          <w:szCs w:val="20"/>
          <w:color w:val="auto"/>
        </w:rPr>
      </w:pPr>
      <w:r>
        <w:rPr>
          <w:rFonts w:ascii="Arial" w:cs="Arial" w:eastAsia="Arial" w:hAnsi="Arial"/>
          <w:sz w:val="18"/>
          <w:szCs w:val="18"/>
          <w:u w:val="single" w:color="auto"/>
          <w:color w:val="auto"/>
        </w:rPr>
        <w:t>Wrap-Around Plan</w:t>
      </w:r>
    </w:p>
    <w:p>
      <w:pPr>
        <w:spacing w:after="0" w:line="117" w:lineRule="exact"/>
        <w:rPr>
          <w:sz w:val="20"/>
          <w:szCs w:val="20"/>
          <w:color w:val="auto"/>
        </w:rPr>
      </w:pPr>
    </w:p>
    <w:p>
      <w:pPr>
        <w:jc w:val="both"/>
        <w:ind w:left="780" w:right="220"/>
        <w:spacing w:after="0" w:line="264" w:lineRule="auto"/>
        <w:rPr>
          <w:sz w:val="20"/>
          <w:szCs w:val="20"/>
          <w:color w:val="auto"/>
        </w:rPr>
      </w:pPr>
      <w:r>
        <w:rPr>
          <w:rFonts w:ascii="Arial" w:cs="Arial" w:eastAsia="Arial" w:hAnsi="Arial"/>
          <w:sz w:val="18"/>
          <w:szCs w:val="18"/>
          <w:color w:val="auto"/>
        </w:rPr>
        <w:t>The Wrap-Around Plan is a supplemental performance-based incentive plan that is effective only if the Company does not meet the performance targets set forth above in the 2013-2016 LTIP. The performance targets under the Wrap-Around Plan reflect the Company’s forecasted operating results for fiscal 2016 given the revised store roll-out.</w:t>
      </w:r>
    </w:p>
    <w:p>
      <w:pPr>
        <w:spacing w:after="0" w:line="73" w:lineRule="exact"/>
        <w:rPr>
          <w:sz w:val="20"/>
          <w:szCs w:val="20"/>
          <w:color w:val="auto"/>
        </w:rPr>
      </w:pPr>
    </w:p>
    <w:p>
      <w:pPr>
        <w:ind w:left="780" w:right="200"/>
        <w:spacing w:after="0" w:line="264" w:lineRule="auto"/>
        <w:rPr>
          <w:sz w:val="20"/>
          <w:szCs w:val="20"/>
          <w:color w:val="auto"/>
        </w:rPr>
      </w:pPr>
      <w:r>
        <w:rPr>
          <w:rFonts w:ascii="Arial" w:cs="Arial" w:eastAsia="Arial" w:hAnsi="Arial"/>
          <w:sz w:val="18"/>
          <w:szCs w:val="18"/>
          <w:color w:val="auto"/>
        </w:rPr>
        <w:t>Under the Wrap-Around Plan, if the target performance metrics for fiscal 2016 are met, participants will be eligible to receive a payout equal to 80% of the dollar value of the performance-based compensation that they were eligible to receive under the 2013-2016 LTIP. The following is a summary of the key features of the Wrap-Around Plan:</w:t>
      </w:r>
    </w:p>
    <w:p>
      <w:pPr>
        <w:spacing w:after="0" w:line="33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760" w:type="dxa"/>
            <w:vAlign w:val="bottom"/>
            <w:shd w:val="clear" w:color="auto" w:fill="CFF0FC"/>
          </w:tcPr>
          <w:p>
            <w:pPr>
              <w:spacing w:after="0"/>
              <w:rPr>
                <w:sz w:val="20"/>
                <w:szCs w:val="20"/>
                <w:color w:val="auto"/>
              </w:rPr>
            </w:pPr>
          </w:p>
        </w:tc>
        <w:tc>
          <w:tcPr>
            <w:tcW w:w="708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3"/>
              </w:rPr>
              <w:t>·Triggered, if and only if, there is no vesting of performance-based awards under the 2013-2016 LTIP and, as a</w:t>
            </w:r>
          </w:p>
        </w:tc>
      </w:tr>
      <w:tr>
        <w:trPr>
          <w:trHeight w:val="167"/>
        </w:trPr>
        <w:tc>
          <w:tcPr>
            <w:tcW w:w="37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Effective date</w:t>
            </w:r>
          </w:p>
        </w:tc>
        <w:tc>
          <w:tcPr>
            <w:tcW w:w="7080" w:type="dxa"/>
            <w:vAlign w:val="bottom"/>
            <w:shd w:val="clear" w:color="auto" w:fill="CFF0FC"/>
          </w:tcPr>
          <w:p>
            <w:pPr>
              <w:ind w:left="820"/>
              <w:spacing w:after="0"/>
              <w:rPr>
                <w:sz w:val="20"/>
                <w:szCs w:val="20"/>
                <w:color w:val="auto"/>
              </w:rPr>
            </w:pPr>
            <w:r>
              <w:rPr>
                <w:rFonts w:ascii="Arial" w:cs="Arial" w:eastAsia="Arial" w:hAnsi="Arial"/>
                <w:sz w:val="14"/>
                <w:szCs w:val="14"/>
                <w:color w:val="auto"/>
              </w:rPr>
              <w:t>result, all performance-based awards under that plan are forfeited.</w:t>
            </w:r>
          </w:p>
        </w:tc>
      </w:tr>
      <w:tr>
        <w:trPr>
          <w:trHeight w:val="272"/>
        </w:trPr>
        <w:tc>
          <w:tcPr>
            <w:tcW w:w="3760" w:type="dxa"/>
            <w:vAlign w:val="bottom"/>
          </w:tcPr>
          <w:p>
            <w:pPr>
              <w:spacing w:after="0"/>
              <w:rPr>
                <w:sz w:val="23"/>
                <w:szCs w:val="23"/>
                <w:color w:val="auto"/>
              </w:rPr>
            </w:pPr>
          </w:p>
        </w:tc>
        <w:tc>
          <w:tcPr>
            <w:tcW w:w="7080" w:type="dxa"/>
            <w:vAlign w:val="bottom"/>
          </w:tcPr>
          <w:p>
            <w:pPr>
              <w:ind w:left="660"/>
              <w:spacing w:after="0"/>
              <w:rPr>
                <w:sz w:val="20"/>
                <w:szCs w:val="20"/>
                <w:color w:val="auto"/>
              </w:rPr>
            </w:pPr>
            <w:r>
              <w:rPr>
                <w:rFonts w:ascii="Arial" w:cs="Arial" w:eastAsia="Arial" w:hAnsi="Arial"/>
                <w:sz w:val="14"/>
                <w:szCs w:val="14"/>
                <w:color w:val="auto"/>
              </w:rPr>
              <w:t>·Sales and EBITDA for fiscal 2016</w:t>
            </w:r>
          </w:p>
        </w:tc>
      </w:tr>
      <w:tr>
        <w:trPr>
          <w:trHeight w:val="242"/>
        </w:trPr>
        <w:tc>
          <w:tcPr>
            <w:tcW w:w="3760" w:type="dxa"/>
            <w:vAlign w:val="bottom"/>
          </w:tcPr>
          <w:p>
            <w:pPr>
              <w:ind w:left="400"/>
              <w:spacing w:after="0"/>
              <w:rPr>
                <w:sz w:val="20"/>
                <w:szCs w:val="20"/>
                <w:color w:val="auto"/>
              </w:rPr>
            </w:pPr>
            <w:r>
              <w:rPr>
                <w:rFonts w:ascii="Arial" w:cs="Arial" w:eastAsia="Arial" w:hAnsi="Arial"/>
                <w:sz w:val="14"/>
                <w:szCs w:val="14"/>
                <w:color w:val="auto"/>
              </w:rPr>
              <w:t>Two Performance Metrics (weighted 50%-50%)</w:t>
            </w:r>
          </w:p>
        </w:tc>
        <w:tc>
          <w:tcPr>
            <w:tcW w:w="7080" w:type="dxa"/>
            <w:vAlign w:val="bottom"/>
          </w:tcPr>
          <w:p>
            <w:pPr>
              <w:ind w:left="660"/>
              <w:spacing w:after="0"/>
              <w:rPr>
                <w:sz w:val="20"/>
                <w:szCs w:val="20"/>
                <w:color w:val="auto"/>
              </w:rPr>
            </w:pPr>
            <w:r>
              <w:rPr>
                <w:rFonts w:ascii="Arial" w:cs="Arial" w:eastAsia="Arial" w:hAnsi="Arial"/>
                <w:sz w:val="14"/>
                <w:szCs w:val="14"/>
                <w:color w:val="auto"/>
              </w:rPr>
              <w:t>·However, the EBITDA target must be met for any payout under either metric.</w:t>
            </w:r>
          </w:p>
        </w:tc>
      </w:tr>
      <w:tr>
        <w:trPr>
          <w:trHeight w:val="272"/>
        </w:trPr>
        <w:tc>
          <w:tcPr>
            <w:tcW w:w="3760" w:type="dxa"/>
            <w:vAlign w:val="bottom"/>
            <w:shd w:val="clear" w:color="auto" w:fill="CFF0FC"/>
          </w:tcPr>
          <w:p>
            <w:pPr>
              <w:spacing w:after="0"/>
              <w:rPr>
                <w:sz w:val="23"/>
                <w:szCs w:val="23"/>
                <w:color w:val="auto"/>
              </w:rPr>
            </w:pPr>
          </w:p>
        </w:tc>
        <w:tc>
          <w:tcPr>
            <w:tcW w:w="7080" w:type="dxa"/>
            <w:vAlign w:val="bottom"/>
            <w:shd w:val="clear" w:color="auto" w:fill="CFF0FC"/>
          </w:tcPr>
          <w:p>
            <w:pPr>
              <w:ind w:left="660"/>
              <w:spacing w:after="0"/>
              <w:rPr>
                <w:sz w:val="20"/>
                <w:szCs w:val="20"/>
                <w:color w:val="auto"/>
              </w:rPr>
            </w:pPr>
            <w:r>
              <w:rPr>
                <w:rFonts w:ascii="Arial" w:cs="Arial" w:eastAsia="Arial" w:hAnsi="Arial"/>
                <w:sz w:val="14"/>
                <w:szCs w:val="14"/>
                <w:color w:val="auto"/>
              </w:rPr>
              <w:t>·50% restricted stock</w:t>
            </w:r>
          </w:p>
        </w:tc>
      </w:tr>
      <w:tr>
        <w:trPr>
          <w:trHeight w:val="257"/>
        </w:trPr>
        <w:tc>
          <w:tcPr>
            <w:tcW w:w="3760" w:type="dxa"/>
            <w:vAlign w:val="bottom"/>
            <w:shd w:val="clear" w:color="auto" w:fill="CFF0FC"/>
          </w:tcPr>
          <w:p>
            <w:pPr>
              <w:spacing w:after="0"/>
              <w:rPr>
                <w:sz w:val="22"/>
                <w:szCs w:val="22"/>
                <w:color w:val="auto"/>
              </w:rPr>
            </w:pPr>
          </w:p>
        </w:tc>
        <w:tc>
          <w:tcPr>
            <w:tcW w:w="7080" w:type="dxa"/>
            <w:vAlign w:val="bottom"/>
            <w:shd w:val="clear" w:color="auto" w:fill="CFF0FC"/>
          </w:tcPr>
          <w:p>
            <w:pPr>
              <w:ind w:left="660"/>
              <w:spacing w:after="0"/>
              <w:rPr>
                <w:sz w:val="20"/>
                <w:szCs w:val="20"/>
                <w:color w:val="auto"/>
              </w:rPr>
            </w:pPr>
            <w:r>
              <w:rPr>
                <w:rFonts w:ascii="Arial" w:cs="Arial" w:eastAsia="Arial" w:hAnsi="Arial"/>
                <w:sz w:val="14"/>
                <w:szCs w:val="14"/>
                <w:color w:val="auto"/>
              </w:rPr>
              <w:t>·50% cash</w:t>
            </w:r>
          </w:p>
        </w:tc>
      </w:tr>
      <w:tr>
        <w:trPr>
          <w:trHeight w:val="223"/>
        </w:trPr>
        <w:tc>
          <w:tcPr>
            <w:tcW w:w="3760" w:type="dxa"/>
            <w:vAlign w:val="bottom"/>
            <w:shd w:val="clear" w:color="auto" w:fill="CFF0FC"/>
          </w:tcPr>
          <w:p>
            <w:pPr>
              <w:spacing w:after="0"/>
              <w:rPr>
                <w:sz w:val="19"/>
                <w:szCs w:val="19"/>
                <w:color w:val="auto"/>
              </w:rPr>
            </w:pPr>
          </w:p>
        </w:tc>
        <w:tc>
          <w:tcPr>
            <w:tcW w:w="708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6"/>
              </w:rPr>
              <w:t>·Each participant’s maximum potential benefit is the same as the performance-based component under the</w:t>
            </w:r>
          </w:p>
        </w:tc>
      </w:tr>
      <w:tr>
        <w:trPr>
          <w:trHeight w:val="167"/>
        </w:trPr>
        <w:tc>
          <w:tcPr>
            <w:tcW w:w="37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Awards Earned Will be Payable</w:t>
            </w:r>
          </w:p>
        </w:tc>
        <w:tc>
          <w:tcPr>
            <w:tcW w:w="7080" w:type="dxa"/>
            <w:vAlign w:val="bottom"/>
            <w:shd w:val="clear" w:color="auto" w:fill="CFF0FC"/>
          </w:tcPr>
          <w:p>
            <w:pPr>
              <w:ind w:left="820"/>
              <w:spacing w:after="0"/>
              <w:rPr>
                <w:sz w:val="20"/>
                <w:szCs w:val="20"/>
                <w:color w:val="auto"/>
              </w:rPr>
            </w:pPr>
            <w:r>
              <w:rPr>
                <w:rFonts w:ascii="Arial" w:cs="Arial" w:eastAsia="Arial" w:hAnsi="Arial"/>
                <w:sz w:val="14"/>
                <w:szCs w:val="14"/>
                <w:color w:val="auto"/>
              </w:rPr>
              <w:t>2013-2016 Plan.</w:t>
            </w:r>
          </w:p>
        </w:tc>
      </w:tr>
      <w:tr>
        <w:trPr>
          <w:trHeight w:val="238"/>
        </w:trPr>
        <w:tc>
          <w:tcPr>
            <w:tcW w:w="3760" w:type="dxa"/>
            <w:vAlign w:val="bottom"/>
          </w:tcPr>
          <w:p>
            <w:pPr>
              <w:spacing w:after="0"/>
              <w:rPr>
                <w:sz w:val="20"/>
                <w:szCs w:val="20"/>
                <w:color w:val="auto"/>
              </w:rPr>
            </w:pPr>
          </w:p>
        </w:tc>
        <w:tc>
          <w:tcPr>
            <w:tcW w:w="7080" w:type="dxa"/>
            <w:vAlign w:val="bottom"/>
          </w:tcPr>
          <w:p>
            <w:pPr>
              <w:ind w:left="580"/>
              <w:spacing w:after="0"/>
              <w:rPr>
                <w:sz w:val="20"/>
                <w:szCs w:val="20"/>
                <w:color w:val="auto"/>
              </w:rPr>
            </w:pPr>
            <w:r>
              <w:rPr>
                <w:rFonts w:ascii="Arial" w:cs="Arial" w:eastAsia="Arial" w:hAnsi="Arial"/>
                <w:sz w:val="14"/>
                <w:szCs w:val="14"/>
                <w:color w:val="auto"/>
                <w:w w:val="97"/>
              </w:rPr>
              <w:t>If, at the close of business on the day that the Company’s earnings for fiscal 2016 are publicly released, the</w:t>
            </w:r>
          </w:p>
        </w:tc>
      </w:tr>
      <w:tr>
        <w:trPr>
          <w:trHeight w:val="149"/>
        </w:trPr>
        <w:tc>
          <w:tcPr>
            <w:tcW w:w="3760" w:type="dxa"/>
            <w:vAlign w:val="bottom"/>
          </w:tcPr>
          <w:p>
            <w:pPr>
              <w:spacing w:after="0"/>
              <w:rPr>
                <w:sz w:val="12"/>
                <w:szCs w:val="12"/>
                <w:color w:val="auto"/>
              </w:rPr>
            </w:pPr>
          </w:p>
        </w:tc>
        <w:tc>
          <w:tcPr>
            <w:tcW w:w="7080" w:type="dxa"/>
            <w:vAlign w:val="bottom"/>
          </w:tcPr>
          <w:p>
            <w:pPr>
              <w:ind w:left="580"/>
              <w:spacing w:after="0" w:line="149" w:lineRule="exact"/>
              <w:rPr>
                <w:sz w:val="20"/>
                <w:szCs w:val="20"/>
                <w:color w:val="auto"/>
              </w:rPr>
            </w:pPr>
            <w:r>
              <w:rPr>
                <w:rFonts w:ascii="Arial" w:cs="Arial" w:eastAsia="Arial" w:hAnsi="Arial"/>
                <w:sz w:val="14"/>
                <w:szCs w:val="14"/>
                <w:color w:val="auto"/>
                <w:w w:val="96"/>
              </w:rPr>
              <w:t>Company’s share price is at least $6.75, then the 50% of the award value to be settled in shares of restricted</w:t>
            </w:r>
          </w:p>
        </w:tc>
      </w:tr>
      <w:tr>
        <w:trPr>
          <w:trHeight w:val="182"/>
        </w:trPr>
        <w:tc>
          <w:tcPr>
            <w:tcW w:w="3760" w:type="dxa"/>
            <w:vAlign w:val="bottom"/>
          </w:tcPr>
          <w:p>
            <w:pPr>
              <w:spacing w:after="0"/>
              <w:rPr>
                <w:sz w:val="15"/>
                <w:szCs w:val="15"/>
                <w:color w:val="auto"/>
              </w:rPr>
            </w:pPr>
          </w:p>
        </w:tc>
        <w:tc>
          <w:tcPr>
            <w:tcW w:w="7080" w:type="dxa"/>
            <w:vAlign w:val="bottom"/>
          </w:tcPr>
          <w:p>
            <w:pPr>
              <w:ind w:left="580"/>
              <w:spacing w:after="0"/>
              <w:rPr>
                <w:sz w:val="20"/>
                <w:szCs w:val="20"/>
                <w:color w:val="auto"/>
              </w:rPr>
            </w:pPr>
            <w:r>
              <w:rPr>
                <w:rFonts w:ascii="Arial" w:cs="Arial" w:eastAsia="Arial" w:hAnsi="Arial"/>
                <w:sz w:val="14"/>
                <w:szCs w:val="14"/>
                <w:color w:val="auto"/>
              </w:rPr>
              <w:t>stock will be increased as follows:</w:t>
            </w:r>
          </w:p>
        </w:tc>
      </w:tr>
      <w:tr>
        <w:trPr>
          <w:trHeight w:val="257"/>
        </w:trPr>
        <w:tc>
          <w:tcPr>
            <w:tcW w:w="3760" w:type="dxa"/>
            <w:vAlign w:val="bottom"/>
          </w:tcPr>
          <w:p>
            <w:pPr>
              <w:spacing w:after="0"/>
              <w:rPr>
                <w:sz w:val="22"/>
                <w:szCs w:val="22"/>
                <w:color w:val="auto"/>
              </w:rPr>
            </w:pPr>
          </w:p>
        </w:tc>
        <w:tc>
          <w:tcPr>
            <w:tcW w:w="7080" w:type="dxa"/>
            <w:vAlign w:val="bottom"/>
          </w:tcPr>
          <w:p>
            <w:pPr>
              <w:ind w:left="920"/>
              <w:spacing w:after="0"/>
              <w:rPr>
                <w:sz w:val="20"/>
                <w:szCs w:val="20"/>
                <w:color w:val="auto"/>
              </w:rPr>
            </w:pPr>
            <w:r>
              <w:rPr>
                <w:rFonts w:ascii="Arial" w:cs="Arial" w:eastAsia="Arial" w:hAnsi="Arial"/>
                <w:sz w:val="14"/>
                <w:szCs w:val="14"/>
                <w:color w:val="auto"/>
              </w:rPr>
              <w:t>·20% at $6.75</w:t>
            </w:r>
          </w:p>
        </w:tc>
      </w:tr>
      <w:tr>
        <w:trPr>
          <w:trHeight w:val="257"/>
        </w:trPr>
        <w:tc>
          <w:tcPr>
            <w:tcW w:w="3760" w:type="dxa"/>
            <w:vAlign w:val="bottom"/>
          </w:tcPr>
          <w:p>
            <w:pPr>
              <w:spacing w:after="0"/>
              <w:rPr>
                <w:sz w:val="22"/>
                <w:szCs w:val="22"/>
                <w:color w:val="auto"/>
              </w:rPr>
            </w:pPr>
          </w:p>
        </w:tc>
        <w:tc>
          <w:tcPr>
            <w:tcW w:w="7080" w:type="dxa"/>
            <w:vAlign w:val="bottom"/>
          </w:tcPr>
          <w:p>
            <w:pPr>
              <w:ind w:left="920"/>
              <w:spacing w:after="0"/>
              <w:rPr>
                <w:sz w:val="20"/>
                <w:szCs w:val="20"/>
                <w:color w:val="auto"/>
              </w:rPr>
            </w:pPr>
            <w:r>
              <w:rPr>
                <w:rFonts w:ascii="Arial" w:cs="Arial" w:eastAsia="Arial" w:hAnsi="Arial"/>
                <w:sz w:val="14"/>
                <w:szCs w:val="14"/>
                <w:color w:val="auto"/>
              </w:rPr>
              <w:t>·30% at $7.25 or higher</w:t>
            </w:r>
          </w:p>
        </w:tc>
      </w:tr>
      <w:tr>
        <w:trPr>
          <w:trHeight w:val="242"/>
        </w:trPr>
        <w:tc>
          <w:tcPr>
            <w:tcW w:w="3760" w:type="dxa"/>
            <w:vAlign w:val="bottom"/>
          </w:tcPr>
          <w:p>
            <w:pPr>
              <w:ind w:left="400"/>
              <w:spacing w:after="0"/>
              <w:rPr>
                <w:sz w:val="20"/>
                <w:szCs w:val="20"/>
                <w:color w:val="auto"/>
              </w:rPr>
            </w:pPr>
            <w:r>
              <w:rPr>
                <w:rFonts w:ascii="Arial" w:cs="Arial" w:eastAsia="Arial" w:hAnsi="Arial"/>
                <w:sz w:val="14"/>
                <w:szCs w:val="14"/>
                <w:color w:val="auto"/>
              </w:rPr>
              <w:t>Share Price Bonus (1)</w:t>
            </w:r>
          </w:p>
        </w:tc>
        <w:tc>
          <w:tcPr>
            <w:tcW w:w="7080" w:type="dxa"/>
            <w:vAlign w:val="bottom"/>
          </w:tcPr>
          <w:p>
            <w:pPr>
              <w:ind w:left="920"/>
              <w:spacing w:after="0"/>
              <w:rPr>
                <w:sz w:val="20"/>
                <w:szCs w:val="20"/>
                <w:color w:val="auto"/>
              </w:rPr>
            </w:pPr>
            <w:r>
              <w:rPr>
                <w:rFonts w:ascii="Arial" w:cs="Arial" w:eastAsia="Arial" w:hAnsi="Arial"/>
                <w:sz w:val="14"/>
                <w:szCs w:val="14"/>
                <w:color w:val="auto"/>
              </w:rPr>
              <w:t>·Straight-line interpolation for any price in between</w:t>
            </w:r>
          </w:p>
        </w:tc>
      </w:tr>
      <w:tr>
        <w:trPr>
          <w:trHeight w:val="257"/>
        </w:trPr>
        <w:tc>
          <w:tcPr>
            <w:tcW w:w="3760" w:type="dxa"/>
            <w:vAlign w:val="bottom"/>
            <w:shd w:val="clear" w:color="auto" w:fill="CFF0FC"/>
          </w:tcPr>
          <w:p>
            <w:pPr>
              <w:ind w:left="400"/>
              <w:spacing w:after="0"/>
              <w:rPr>
                <w:sz w:val="20"/>
                <w:szCs w:val="20"/>
                <w:color w:val="auto"/>
              </w:rPr>
            </w:pPr>
            <w:r>
              <w:rPr>
                <w:rFonts w:ascii="Arial" w:cs="Arial" w:eastAsia="Arial" w:hAnsi="Arial"/>
                <w:sz w:val="14"/>
                <w:szCs w:val="14"/>
                <w:color w:val="auto"/>
              </w:rPr>
              <w:t>Vesting of Awards</w:t>
            </w:r>
          </w:p>
        </w:tc>
        <w:tc>
          <w:tcPr>
            <w:tcW w:w="7080" w:type="dxa"/>
            <w:vAlign w:val="bottom"/>
            <w:shd w:val="clear" w:color="auto" w:fill="CFF0FC"/>
          </w:tcPr>
          <w:p>
            <w:pPr>
              <w:ind w:left="580"/>
              <w:spacing w:after="0"/>
              <w:rPr>
                <w:sz w:val="20"/>
                <w:szCs w:val="20"/>
                <w:color w:val="auto"/>
              </w:rPr>
            </w:pPr>
            <w:r>
              <w:rPr>
                <w:rFonts w:ascii="Arial" w:cs="Arial" w:eastAsia="Arial" w:hAnsi="Arial"/>
                <w:sz w:val="14"/>
                <w:szCs w:val="14"/>
                <w:color w:val="auto"/>
              </w:rPr>
              <w:t>Any awards granted will not become fully vested until the last day of the second quarter of fiscal 2017.</w:t>
            </w:r>
          </w:p>
        </w:tc>
      </w:tr>
    </w:tbl>
    <w:p>
      <w:pPr>
        <w:spacing w:after="0" w:line="197" w:lineRule="exact"/>
        <w:rPr>
          <w:sz w:val="20"/>
          <w:szCs w:val="20"/>
          <w:color w:val="auto"/>
        </w:rPr>
      </w:pPr>
    </w:p>
    <w:p>
      <w:pPr>
        <w:ind w:left="1140" w:right="60" w:hanging="356"/>
        <w:spacing w:after="0" w:line="251" w:lineRule="auto"/>
        <w:tabs>
          <w:tab w:leader="none" w:pos="11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significant component of the 2013-2016 Plan was that all awards were granted unvested and un-exercisable at the onset of the plan, thereby providing each participant with an opportunity to benefit in the growth of the share price if the performance targets were met. Under the Wrap-Around Plan, any award earned will not be granted until the first quarter of fiscal 2017. Further, if the share price at the time of grant under the Wrap-Around Plan is significantly higher than the share price of the awards granted under the 2013-2016 LTIP, each participant will receive fewer shares. If the closing stock price is higher on the date of grant, it would likely be attributable to a successful transition to the DXL concept, yet the participants would receive fewer shares for their successful efforts. The Share Price Bonus feature is intended to address this.</w:t>
      </w:r>
    </w:p>
    <w:p>
      <w:pPr>
        <w:spacing w:after="0" w:line="73" w:lineRule="exact"/>
        <w:rPr>
          <w:sz w:val="20"/>
          <w:szCs w:val="20"/>
          <w:color w:val="auto"/>
        </w:rPr>
      </w:pPr>
    </w:p>
    <w:p>
      <w:pPr>
        <w:ind w:left="780" w:right="400"/>
        <w:spacing w:after="0" w:line="342" w:lineRule="auto"/>
        <w:rPr>
          <w:sz w:val="20"/>
          <w:szCs w:val="20"/>
          <w:color w:val="auto"/>
        </w:rPr>
      </w:pPr>
      <w:r>
        <w:rPr>
          <w:rFonts w:ascii="Arial" w:cs="Arial" w:eastAsia="Arial" w:hAnsi="Arial"/>
          <w:sz w:val="16"/>
          <w:szCs w:val="16"/>
          <w:color w:val="auto"/>
        </w:rPr>
        <w:t>The Compensation Committee believes that our performance metrics under the Wrap-Around Plan are rigorous and have a 50% probability of being achieved. To achieve them will require a great deal of focus and effort, which will benefit shareholders and participants alike.</w:t>
      </w:r>
    </w:p>
    <w:p>
      <w:pPr>
        <w:spacing w:after="0" w:line="16" w:lineRule="exact"/>
        <w:rPr>
          <w:sz w:val="20"/>
          <w:szCs w:val="20"/>
          <w:color w:val="auto"/>
        </w:rPr>
      </w:pPr>
    </w:p>
    <w:p>
      <w:pPr>
        <w:ind w:left="780" w:right="140"/>
        <w:spacing w:after="0" w:line="312" w:lineRule="auto"/>
        <w:rPr>
          <w:sz w:val="20"/>
          <w:szCs w:val="20"/>
          <w:color w:val="auto"/>
        </w:rPr>
      </w:pPr>
      <w:r>
        <w:rPr>
          <w:rFonts w:ascii="Arial" w:cs="Arial" w:eastAsia="Arial" w:hAnsi="Arial"/>
          <w:sz w:val="16"/>
          <w:szCs w:val="16"/>
          <w:color w:val="auto"/>
        </w:rPr>
        <w:t>The following table illustrates the total cumulative value to each of the Named Executive Officers over the term of the 2013-2016 LTIP (1) assuming that the Company is able to achieve the performance targets and the Wrap-Around Plan does not become effective and (2) assuming the performance targets are not achieved under the 2013-2016 LTIP and the Wrap-Around Plan is triggered and payouts are at target: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89"/>
              </w:rPr>
              <w:t>Potential Payout under 2013-2016 LTIP</w:t>
            </w:r>
          </w:p>
        </w:tc>
        <w:tc>
          <w:tcPr>
            <w:tcW w:w="80" w:type="dxa"/>
            <w:vAlign w:val="bottom"/>
          </w:tcPr>
          <w:p>
            <w:pPr>
              <w:spacing w:after="0"/>
              <w:rPr>
                <w:sz w:val="14"/>
                <w:szCs w:val="14"/>
                <w:color w:val="auto"/>
              </w:rPr>
            </w:pPr>
          </w:p>
        </w:tc>
        <w:tc>
          <w:tcPr>
            <w:tcW w:w="5260" w:type="dxa"/>
            <w:vAlign w:val="bottom"/>
            <w:gridSpan w:val="14"/>
            <w:vMerge w:val="restart"/>
          </w:tcPr>
          <w:p>
            <w:pPr>
              <w:ind w:left="300"/>
              <w:spacing w:after="0"/>
              <w:rPr>
                <w:sz w:val="20"/>
                <w:szCs w:val="20"/>
                <w:color w:val="auto"/>
              </w:rPr>
            </w:pPr>
            <w:r>
              <w:rPr>
                <w:rFonts w:ascii="Arial" w:cs="Arial" w:eastAsia="Arial" w:hAnsi="Arial"/>
                <w:sz w:val="14"/>
                <w:szCs w:val="14"/>
                <w:b w:val="1"/>
                <w:bCs w:val="1"/>
                <w:color w:val="auto"/>
                <w:w w:val="98"/>
              </w:rPr>
              <w:t>Potential Payout under 2013-2016 LTIP (time-based) and Wrap-Around Plan</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8"/>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(assuming time-based and performance-based</w:t>
            </w:r>
          </w:p>
        </w:tc>
        <w:tc>
          <w:tcPr>
            <w:tcW w:w="80" w:type="dxa"/>
            <w:vAlign w:val="bottom"/>
          </w:tcPr>
          <w:p>
            <w:pPr>
              <w:spacing w:after="0"/>
              <w:rPr>
                <w:sz w:val="5"/>
                <w:szCs w:val="5"/>
                <w:color w:val="auto"/>
              </w:rPr>
            </w:pPr>
          </w:p>
        </w:tc>
        <w:tc>
          <w:tcPr>
            <w:tcW w:w="526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(performance-based)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7"/>
              </w:rPr>
              <w:t>targets are met)</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gridSpan w:val="4"/>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1"/>
                <w:szCs w:val="11"/>
                <w:color w:val="auto"/>
              </w:rPr>
            </w:pPr>
          </w:p>
        </w:tc>
        <w:tc>
          <w:tcPr>
            <w:tcW w:w="100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87"/>
              </w:rPr>
              <w:t>Value of time-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4"/>
              </w:rPr>
              <w:t>Value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84"/>
              </w:rPr>
              <w:t>Value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Value of</w:t>
            </w:r>
          </w:p>
        </w:tc>
        <w:tc>
          <w:tcPr>
            <w:tcW w:w="8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Total potential</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Value of time-</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unearned</w:t>
            </w: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potential</w:t>
            </w:r>
          </w:p>
        </w:tc>
        <w:tc>
          <w:tcPr>
            <w:tcW w:w="80" w:type="dxa"/>
            <w:vAlign w:val="bottom"/>
          </w:tcPr>
          <w:p>
            <w:pPr>
              <w:spacing w:after="0"/>
              <w:rPr>
                <w:sz w:val="7"/>
                <w:szCs w:val="7"/>
                <w:color w:val="auto"/>
              </w:rPr>
            </w:pPr>
          </w:p>
        </w:tc>
        <w:tc>
          <w:tcPr>
            <w:tcW w:w="1000" w:type="dxa"/>
            <w:vAlign w:val="bottom"/>
            <w:vMerge w:val="restart"/>
          </w:tcPr>
          <w:p>
            <w:pPr>
              <w:jc w:val="center"/>
              <w:ind w:right="10"/>
              <w:spacing w:after="0" w:line="149" w:lineRule="exact"/>
              <w:rPr>
                <w:sz w:val="20"/>
                <w:szCs w:val="20"/>
                <w:color w:val="auto"/>
              </w:rPr>
            </w:pPr>
            <w:r>
              <w:rPr>
                <w:rFonts w:ascii="Arial" w:cs="Arial" w:eastAsia="Arial" w:hAnsi="Arial"/>
                <w:sz w:val="14"/>
                <w:szCs w:val="14"/>
                <w:b w:val="1"/>
                <w:bCs w:val="1"/>
                <w:color w:val="auto"/>
                <w:w w:val="81"/>
              </w:rPr>
              <w:t>vested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line="149" w:lineRule="exact"/>
              <w:rPr>
                <w:sz w:val="20"/>
                <w:szCs w:val="20"/>
                <w:color w:val="auto"/>
              </w:rPr>
            </w:pPr>
            <w:r>
              <w:rPr>
                <w:rFonts w:ascii="Arial" w:cs="Arial" w:eastAsia="Arial" w:hAnsi="Arial"/>
                <w:sz w:val="14"/>
                <w:szCs w:val="14"/>
                <w:b w:val="1"/>
                <w:bCs w:val="1"/>
                <w:color w:val="auto"/>
                <w:w w:val="87"/>
              </w:rPr>
              <w:t>performance-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line="149" w:lineRule="exact"/>
              <w:rPr>
                <w:sz w:val="20"/>
                <w:szCs w:val="20"/>
                <w:color w:val="auto"/>
              </w:rPr>
            </w:pPr>
            <w:r>
              <w:rPr>
                <w:rFonts w:ascii="Arial" w:cs="Arial" w:eastAsia="Arial" w:hAnsi="Arial"/>
                <w:sz w:val="14"/>
                <w:szCs w:val="14"/>
                <w:b w:val="1"/>
                <w:bCs w:val="1"/>
                <w:color w:val="auto"/>
                <w:w w:val="87"/>
              </w:rPr>
              <w:t>performance-</w:t>
            </w:r>
          </w:p>
        </w:tc>
        <w:tc>
          <w:tcPr>
            <w:tcW w:w="120" w:type="dxa"/>
            <w:vAlign w:val="bottom"/>
          </w:tcPr>
          <w:p>
            <w:pPr>
              <w:spacing w:after="0"/>
              <w:rPr>
                <w:sz w:val="7"/>
                <w:szCs w:val="7"/>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share bonus</w:t>
            </w:r>
          </w:p>
        </w:tc>
        <w:tc>
          <w:tcPr>
            <w:tcW w:w="80" w:type="dxa"/>
            <w:vAlign w:val="bottom"/>
          </w:tcPr>
          <w:p>
            <w:pPr>
              <w:spacing w:after="0"/>
              <w:rPr>
                <w:sz w:val="7"/>
                <w:szCs w:val="7"/>
                <w:color w:val="auto"/>
              </w:rPr>
            </w:pPr>
          </w:p>
        </w:tc>
        <w:tc>
          <w:tcPr>
            <w:tcW w:w="10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payout under</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vMerge w:val="restart"/>
          </w:tcPr>
          <w:p>
            <w:pPr>
              <w:jc w:val="center"/>
              <w:ind w:right="29"/>
              <w:spacing w:after="0" w:line="149" w:lineRule="exact"/>
              <w:rPr>
                <w:sz w:val="20"/>
                <w:szCs w:val="20"/>
                <w:color w:val="auto"/>
              </w:rPr>
            </w:pPr>
            <w:r>
              <w:rPr>
                <w:rFonts w:ascii="Arial" w:cs="Arial" w:eastAsia="Arial" w:hAnsi="Arial"/>
                <w:sz w:val="14"/>
                <w:szCs w:val="14"/>
                <w:b w:val="1"/>
                <w:bCs w:val="1"/>
                <w:color w:val="auto"/>
                <w:w w:val="90"/>
              </w:rPr>
              <w:t>vested</w:t>
            </w:r>
          </w:p>
        </w:tc>
        <w:tc>
          <w:tcPr>
            <w:tcW w:w="220" w:type="dxa"/>
            <w:vAlign w:val="bottom"/>
          </w:tcPr>
          <w:p>
            <w:pPr>
              <w:spacing w:after="0"/>
              <w:rPr>
                <w:sz w:val="5"/>
                <w:szCs w:val="5"/>
                <w:color w:val="auto"/>
              </w:rPr>
            </w:pPr>
          </w:p>
        </w:tc>
        <w:tc>
          <w:tcPr>
            <w:tcW w:w="110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payout</w:t>
            </w: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awards(cash and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line="149" w:lineRule="exact"/>
              <w:rPr>
                <w:sz w:val="20"/>
                <w:szCs w:val="20"/>
                <w:color w:val="auto"/>
              </w:rPr>
            </w:pPr>
            <w:r>
              <w:rPr>
                <w:rFonts w:ascii="Arial" w:cs="Arial" w:eastAsia="Arial" w:hAnsi="Arial"/>
                <w:sz w:val="14"/>
                <w:szCs w:val="14"/>
                <w:b w:val="1"/>
                <w:bCs w:val="1"/>
                <w:color w:val="auto"/>
                <w:w w:val="84"/>
              </w:rPr>
              <w:t>based awards</w:t>
            </w:r>
          </w:p>
        </w:tc>
        <w:tc>
          <w:tcPr>
            <w:tcW w:w="120" w:type="dxa"/>
            <w:vAlign w:val="bottom"/>
          </w:tcPr>
          <w:p>
            <w:pPr>
              <w:spacing w:after="0"/>
              <w:rPr>
                <w:sz w:val="7"/>
                <w:szCs w:val="7"/>
                <w:color w:val="auto"/>
              </w:rPr>
            </w:pPr>
          </w:p>
        </w:tc>
        <w:tc>
          <w:tcPr>
            <w:tcW w:w="8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assuming</w:t>
            </w:r>
          </w:p>
        </w:tc>
        <w:tc>
          <w:tcPr>
            <w:tcW w:w="11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2013-2016 LTIP</w:t>
            </w:r>
          </w:p>
        </w:tc>
        <w:tc>
          <w:tcPr>
            <w:tcW w:w="0" w:type="dxa"/>
            <w:vAlign w:val="bottom"/>
          </w:tcPr>
          <w:p>
            <w:pPr>
              <w:spacing w:after="0"/>
              <w:rPr>
                <w:sz w:val="1"/>
                <w:szCs w:val="1"/>
                <w:color w:val="auto"/>
              </w:rPr>
            </w:pPr>
          </w:p>
        </w:tc>
      </w:tr>
      <w:tr>
        <w:trPr>
          <w:trHeight w:val="68"/>
        </w:trPr>
        <w:tc>
          <w:tcPr>
            <w:tcW w:w="2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vMerge w:val="restart"/>
          </w:tcPr>
          <w:p>
            <w:pPr>
              <w:jc w:val="center"/>
              <w:ind w:right="29"/>
              <w:spacing w:after="0" w:line="149" w:lineRule="exact"/>
              <w:rPr>
                <w:sz w:val="20"/>
                <w:szCs w:val="20"/>
                <w:color w:val="auto"/>
              </w:rPr>
            </w:pPr>
            <w:r>
              <w:rPr>
                <w:rFonts w:ascii="Arial" w:cs="Arial" w:eastAsia="Arial" w:hAnsi="Arial"/>
                <w:sz w:val="14"/>
                <w:szCs w:val="14"/>
                <w:b w:val="1"/>
                <w:bCs w:val="1"/>
                <w:color w:val="auto"/>
                <w:w w:val="89"/>
              </w:rPr>
              <w:t>awards(cash</w:t>
            </w:r>
          </w:p>
        </w:tc>
        <w:tc>
          <w:tcPr>
            <w:tcW w:w="220" w:type="dxa"/>
            <w:vAlign w:val="bottom"/>
          </w:tcPr>
          <w:p>
            <w:pPr>
              <w:spacing w:after="0"/>
              <w:rPr>
                <w:sz w:val="5"/>
                <w:szCs w:val="5"/>
                <w:color w:val="auto"/>
              </w:rPr>
            </w:pPr>
          </w:p>
        </w:tc>
        <w:tc>
          <w:tcPr>
            <w:tcW w:w="110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based awards</w:t>
            </w: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16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under 2013-</w:t>
            </w:r>
          </w:p>
        </w:tc>
        <w:tc>
          <w:tcPr>
            <w:tcW w:w="80" w:type="dxa"/>
            <w:vAlign w:val="bottom"/>
          </w:tcPr>
          <w:p>
            <w:pPr>
              <w:spacing w:after="0"/>
              <w:rPr>
                <w:sz w:val="7"/>
                <w:szCs w:val="7"/>
                <w:color w:val="auto"/>
              </w:rPr>
            </w:pPr>
          </w:p>
        </w:tc>
        <w:tc>
          <w:tcPr>
            <w:tcW w:w="1000" w:type="dxa"/>
            <w:vAlign w:val="bottom"/>
            <w:vMerge w:val="restart"/>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equity) under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line="149" w:lineRule="exact"/>
              <w:rPr>
                <w:sz w:val="20"/>
                <w:szCs w:val="20"/>
                <w:color w:val="auto"/>
              </w:rPr>
            </w:pPr>
            <w:r>
              <w:rPr>
                <w:rFonts w:ascii="Arial" w:cs="Arial" w:eastAsia="Arial" w:hAnsi="Arial"/>
                <w:sz w:val="14"/>
                <w:szCs w:val="14"/>
                <w:b w:val="1"/>
                <w:bCs w:val="1"/>
                <w:color w:val="auto"/>
                <w:w w:val="89"/>
              </w:rPr>
              <w:t>under 2013-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10"/>
              <w:spacing w:after="0" w:line="149" w:lineRule="exact"/>
              <w:rPr>
                <w:sz w:val="20"/>
                <w:szCs w:val="20"/>
                <w:color w:val="auto"/>
              </w:rPr>
            </w:pPr>
            <w:r>
              <w:rPr>
                <w:rFonts w:ascii="Arial" w:cs="Arial" w:eastAsia="Arial" w:hAnsi="Arial"/>
                <w:sz w:val="14"/>
                <w:szCs w:val="14"/>
                <w:b w:val="1"/>
                <w:bCs w:val="1"/>
                <w:color w:val="auto"/>
                <w:w w:val="87"/>
              </w:rPr>
              <w:t>under the</w:t>
            </w:r>
          </w:p>
        </w:tc>
        <w:tc>
          <w:tcPr>
            <w:tcW w:w="2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6.75 share</w:t>
            </w:r>
          </w:p>
        </w:tc>
        <w:tc>
          <w:tcPr>
            <w:tcW w:w="80" w:type="dxa"/>
            <w:vAlign w:val="bottom"/>
          </w:tcPr>
          <w:p>
            <w:pPr>
              <w:spacing w:after="0"/>
              <w:rPr>
                <w:sz w:val="7"/>
                <w:szCs w:val="7"/>
                <w:color w:val="auto"/>
              </w:rPr>
            </w:pPr>
          </w:p>
        </w:tc>
        <w:tc>
          <w:tcPr>
            <w:tcW w:w="10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with Wrap-</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vMerge w:val="restart"/>
          </w:tcPr>
          <w:p>
            <w:pPr>
              <w:jc w:val="center"/>
              <w:ind w:right="9"/>
              <w:spacing w:after="0" w:line="149" w:lineRule="exact"/>
              <w:rPr>
                <w:sz w:val="20"/>
                <w:szCs w:val="20"/>
                <w:color w:val="auto"/>
              </w:rPr>
            </w:pPr>
            <w:r>
              <w:rPr>
                <w:rFonts w:ascii="Arial" w:cs="Arial" w:eastAsia="Arial" w:hAnsi="Arial"/>
                <w:sz w:val="14"/>
                <w:szCs w:val="14"/>
                <w:b w:val="1"/>
                <w:bCs w:val="1"/>
                <w:color w:val="auto"/>
                <w:w w:val="93"/>
              </w:rPr>
              <w:t>and equity)</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(cash and</w:t>
            </w:r>
          </w:p>
        </w:tc>
        <w:tc>
          <w:tcPr>
            <w:tcW w:w="11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2016 LTIP</w:t>
            </w:r>
          </w:p>
        </w:tc>
        <w:tc>
          <w:tcPr>
            <w:tcW w:w="80" w:type="dxa"/>
            <w:vAlign w:val="bottom"/>
          </w:tcPr>
          <w:p>
            <w:pPr>
              <w:spacing w:after="0"/>
              <w:rPr>
                <w:sz w:val="7"/>
                <w:szCs w:val="7"/>
                <w:color w:val="auto"/>
              </w:rPr>
            </w:pPr>
          </w:p>
        </w:tc>
        <w:tc>
          <w:tcPr>
            <w:tcW w:w="100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0"/>
              </w:rPr>
              <w:t>2013-2016 LTIP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w w:val="94"/>
              </w:rPr>
              <w:t>2016 LTIP</w:t>
            </w:r>
          </w:p>
        </w:tc>
        <w:tc>
          <w:tcPr>
            <w:tcW w:w="120" w:type="dxa"/>
            <w:vAlign w:val="bottom"/>
          </w:tcPr>
          <w:p>
            <w:pPr>
              <w:spacing w:after="0"/>
              <w:rPr>
                <w:sz w:val="7"/>
                <w:szCs w:val="7"/>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Wrap-Around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price</w:t>
            </w:r>
          </w:p>
        </w:tc>
        <w:tc>
          <w:tcPr>
            <w:tcW w:w="80" w:type="dxa"/>
            <w:vAlign w:val="bottom"/>
          </w:tcPr>
          <w:p>
            <w:pPr>
              <w:spacing w:after="0"/>
              <w:rPr>
                <w:sz w:val="7"/>
                <w:szCs w:val="7"/>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Around</w:t>
            </w:r>
          </w:p>
        </w:tc>
        <w:tc>
          <w:tcPr>
            <w:tcW w:w="0" w:type="dxa"/>
            <w:vAlign w:val="bottom"/>
          </w:tcPr>
          <w:p>
            <w:pPr>
              <w:spacing w:after="0"/>
              <w:rPr>
                <w:sz w:val="1"/>
                <w:szCs w:val="1"/>
                <w:color w:val="auto"/>
              </w:rPr>
            </w:pPr>
          </w:p>
        </w:tc>
      </w:tr>
      <w:tr>
        <w:trPr>
          <w:trHeight w:val="105"/>
        </w:trPr>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equity)</w:t>
            </w:r>
          </w:p>
        </w:tc>
        <w:tc>
          <w:tcPr>
            <w:tcW w:w="2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5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4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1,622,400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1,622,400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3,244,800</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1,622,400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1,297,920</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3,050,112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4"/>
                <w:szCs w:val="14"/>
                <w:color w:val="auto"/>
              </w:rPr>
              <w:t>Peter H. Stratton, Jr.</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280,000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280,000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560,000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280,000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224,000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22,400</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526,400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John E. Kyees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4"/>
                <w:szCs w:val="14"/>
                <w:color w:val="auto"/>
              </w:rPr>
              <w:t>Kenneth M. Ederle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455,000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455,000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910,000</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455,000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364,000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36,400</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855,400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910,000</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455,000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364,000</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855,400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0"/>
                <w:szCs w:val="20"/>
                <w:color w:val="auto"/>
              </w:rPr>
            </w:pPr>
            <w:r>
              <w:rPr>
                <w:rFonts w:ascii="Arial" w:cs="Arial" w:eastAsia="Arial" w:hAnsi="Arial"/>
                <w:sz w:val="14"/>
                <w:szCs w:val="14"/>
                <w:color w:val="auto"/>
              </w:rPr>
              <w:t>Derrick Walker</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385,000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385,000</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770,000</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385,000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308,000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30,800</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723,800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780" w:hanging="254"/>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There were no discretionary cash or equity awards granted to our Named Executive Officers in fiscal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left="780" w:hanging="254"/>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780" w:right="40"/>
        <w:spacing w:after="0" w:line="259"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2014, we matched 100% of the first 1% of deferred compensation and 50% of the next 5% (with a maximum contribution of 3.5% of eligible compensation). Benefits under these plans are not tied to corporate performance.</w:t>
      </w:r>
    </w:p>
    <w:p>
      <w:pPr>
        <w:spacing w:after="0" w:line="7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In particular circumstances, we also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760" w:hanging="181"/>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7" w:lineRule="exact"/>
        <w:rPr>
          <w:rFonts w:ascii="Arial" w:cs="Arial" w:eastAsia="Arial" w:hAnsi="Arial"/>
          <w:sz w:val="18"/>
          <w:szCs w:val="18"/>
          <w:color w:val="auto"/>
        </w:rPr>
      </w:pPr>
    </w:p>
    <w:p>
      <w:pPr>
        <w:ind w:left="780" w:right="20"/>
        <w:spacing w:after="0" w:line="259" w:lineRule="auto"/>
        <w:rPr>
          <w:rFonts w:ascii="Arial" w:cs="Arial" w:eastAsia="Arial" w:hAnsi="Arial"/>
          <w:sz w:val="18"/>
          <w:szCs w:val="18"/>
          <w:color w:val="auto"/>
        </w:rPr>
      </w:pPr>
      <w:r>
        <w:rPr>
          <w:rFonts w:ascii="Arial" w:cs="Arial" w:eastAsia="Arial" w:hAnsi="Arial"/>
          <w:sz w:val="18"/>
          <w:szCs w:val="18"/>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following the “Summary Compensation Table.” Our employment agreements do not contain any tax gross ups pursuant to Section 280(g) of the Internal Revenue Code.</w:t>
      </w:r>
    </w:p>
    <w:p>
      <w:pPr>
        <w:spacing w:after="0" w:line="78" w:lineRule="exact"/>
        <w:rPr>
          <w:rFonts w:ascii="Arial" w:cs="Arial" w:eastAsia="Arial" w:hAnsi="Arial"/>
          <w:sz w:val="18"/>
          <w:szCs w:val="18"/>
          <w:color w:val="auto"/>
        </w:rPr>
      </w:pPr>
    </w:p>
    <w:p>
      <w:pPr>
        <w:ind w:left="780" w:hanging="254"/>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780"/>
        <w:spacing w:after="0" w:line="297"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disclosure and reconciliations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above discussion references non-GAAP measures that we use on a regular basis in order to track the progress of our business. These measures include adjusted loss from continuing operations, adjusted loss from continuing operations per diluted share, adjusted net loss, adjusted net loss per diluted share and EBITDA from continuing operations (earnings before interest, taxes, depreciation and amortization and discontinued operations). We believe these measures provide helpful information with respect to the Company’s operating performance and cash flows. We believe that the inclusion of these non-GAAP measures is important to assist investors in comparing fiscal 2014 to fiscal 2013, on a comparable basis.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income (loss) from continuing operations, net income (loss) per diluted share or cash flows from operating activities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EBITDA and EBITDA from continuing operations from Net Loss, on a GAAP basis: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Fiscal 2014</w:t>
            </w: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Fiscal 2013</w:t>
            </w:r>
          </w:p>
        </w:tc>
        <w:tc>
          <w:tcPr>
            <w:tcW w:w="0" w:type="dxa"/>
            <w:vAlign w:val="bottom"/>
          </w:tcPr>
          <w:p>
            <w:pPr>
              <w:spacing w:after="0"/>
              <w:rPr>
                <w:sz w:val="1"/>
                <w:szCs w:val="1"/>
                <w:color w:val="auto"/>
              </w:rPr>
            </w:pPr>
          </w:p>
        </w:tc>
      </w:tr>
      <w:tr>
        <w:trPr>
          <w:trHeight w:val="20"/>
        </w:trPr>
        <w:tc>
          <w:tcPr>
            <w:tcW w:w="7200" w:type="dxa"/>
            <w:vAlign w:val="bottom"/>
            <w:gridSpan w:val="2"/>
            <w:vMerge w:val="restart"/>
            <w:shd w:val="clear" w:color="auto" w:fill="CFF0FC"/>
          </w:tcPr>
          <w:p>
            <w:pPr>
              <w:spacing w:after="0"/>
              <w:rPr>
                <w:sz w:val="20"/>
                <w:szCs w:val="20"/>
                <w:color w:val="auto"/>
              </w:rPr>
            </w:pPr>
            <w:r>
              <w:rPr>
                <w:rFonts w:ascii="Arial" w:cs="Arial" w:eastAsia="Arial" w:hAnsi="Arial"/>
                <w:sz w:val="14"/>
                <w:szCs w:val="14"/>
                <w:b w:val="1"/>
                <w:bCs w:val="1"/>
                <w:color w:val="auto"/>
              </w:rPr>
              <w:t>Net loss, on a GAAP basis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right w:val="single" w:sz="8" w:color="CFF0FC"/>
            </w:tcBorders>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b w:val="1"/>
                <w:bCs w:val="1"/>
                <w:color w:val="auto"/>
              </w:rPr>
              <w:t>(12.3)</w:t>
            </w:r>
          </w:p>
        </w:tc>
        <w:tc>
          <w:tcPr>
            <w:tcW w:w="180" w:type="dxa"/>
            <w:vAlign w:val="bottom"/>
            <w:shd w:val="clear" w:color="auto" w:fill="CFF0FC"/>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132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b w:val="1"/>
                <w:bCs w:val="1"/>
                <w:color w:val="auto"/>
              </w:rPr>
              <w:t>(59.8)</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Add back:</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2"/>
        </w:trPr>
        <w:tc>
          <w:tcPr>
            <w:tcW w:w="720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(24.0)</w:t>
            </w:r>
          </w:p>
        </w:tc>
        <w:tc>
          <w:tcPr>
            <w:tcW w:w="1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EBITDA</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14.1</w:t>
            </w:r>
          </w:p>
        </w:tc>
        <w:tc>
          <w:tcPr>
            <w:tcW w:w="200" w:type="dxa"/>
            <w:vAlign w:val="bottom"/>
          </w:tcPr>
          <w:p>
            <w:pPr>
              <w:spacing w:after="0"/>
              <w:rPr>
                <w:sz w:val="13"/>
                <w:szCs w:val="13"/>
                <w:color w:val="auto"/>
              </w:rPr>
            </w:pPr>
          </w:p>
        </w:tc>
        <w:tc>
          <w:tcPr>
            <w:tcW w:w="180" w:type="dxa"/>
            <w:vAlign w:val="bottom"/>
            <w:tcBorders>
              <w:top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from discontinued operations</w:t>
            </w:r>
          </w:p>
        </w:tc>
        <w:tc>
          <w:tcPr>
            <w:tcW w:w="200" w:type="dxa"/>
            <w:vAlign w:val="bottom"/>
            <w:shd w:val="clear" w:color="auto" w:fill="CFF0FC"/>
          </w:tcPr>
          <w:p>
            <w:pPr>
              <w:spacing w:after="0"/>
              <w:rPr>
                <w:sz w:val="14"/>
                <w:szCs w:val="14"/>
                <w:color w:val="auto"/>
              </w:rPr>
            </w:pPr>
          </w:p>
        </w:tc>
        <w:tc>
          <w:tcPr>
            <w:tcW w:w="13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EBITDA from continuing operations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color w:val="auto"/>
        </w:rPr>
        <w:t>The following is a reconciliation of adjusted loss from continuing operations and adjusted net loss to GAAP: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2014</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2013</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8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168"/>
              <w:spacing w:after="0" w:line="133" w:lineRule="exact"/>
              <w:rPr>
                <w:sz w:val="20"/>
                <w:szCs w:val="20"/>
                <w:color w:val="auto"/>
              </w:rPr>
            </w:pPr>
            <w:r>
              <w:rPr>
                <w:rFonts w:ascii="Arial" w:cs="Arial" w:eastAsia="Arial" w:hAnsi="Arial"/>
                <w:sz w:val="14"/>
                <w:szCs w:val="14"/>
                <w:b w:val="1"/>
                <w:bCs w:val="1"/>
                <w:color w:val="auto"/>
                <w:w w:val="91"/>
              </w:rPr>
              <w:t>Per diluted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188"/>
              <w:spacing w:after="0" w:line="133" w:lineRule="exact"/>
              <w:rPr>
                <w:sz w:val="20"/>
                <w:szCs w:val="20"/>
                <w:color w:val="auto"/>
              </w:rPr>
            </w:pPr>
            <w:r>
              <w:rPr>
                <w:rFonts w:ascii="Arial" w:cs="Arial" w:eastAsia="Arial" w:hAnsi="Arial"/>
                <w:sz w:val="14"/>
                <w:szCs w:val="14"/>
                <w:b w:val="1"/>
                <w:bCs w:val="1"/>
                <w:color w:val="auto"/>
                <w:w w:val="91"/>
              </w:rPr>
              <w:t>Per diluted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w:t>
            </w: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74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3"/>
          </w:tcPr>
          <w:p>
            <w:pPr>
              <w:spacing w:after="0"/>
              <w:rPr>
                <w:sz w:val="20"/>
                <w:szCs w:val="20"/>
                <w:color w:val="auto"/>
              </w:rPr>
            </w:pPr>
            <w:r>
              <w:rPr>
                <w:rFonts w:ascii="Arial" w:cs="Arial" w:eastAsia="Arial" w:hAnsi="Arial"/>
                <w:sz w:val="14"/>
                <w:szCs w:val="14"/>
                <w:color w:val="auto"/>
              </w:rPr>
              <w:t>Loss from continuing operations, on a GAAP basis</w:t>
            </w:r>
          </w:p>
        </w:tc>
        <w:tc>
          <w:tcPr>
            <w:tcW w:w="148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(11.2)</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(0.23)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(60.3)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(1.24</w:t>
            </w: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7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3"/>
          </w:tcPr>
          <w:p>
            <w:pPr>
              <w:spacing w:after="0"/>
              <w:rPr>
                <w:sz w:val="20"/>
                <w:szCs w:val="20"/>
                <w:color w:val="auto"/>
              </w:rPr>
            </w:pPr>
            <w:r>
              <w:rPr>
                <w:rFonts w:ascii="Arial" w:cs="Arial" w:eastAsia="Arial" w:hAnsi="Arial"/>
                <w:sz w:val="14"/>
                <w:szCs w:val="14"/>
                <w:color w:val="auto"/>
              </w:rPr>
              <w:t>Executive severance accrual of $2.3 million, less income tax benefit of $0.9 million</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Asset impairment of $1.5 million, less tax benefit of $0.6 million</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4"/>
                <w:szCs w:val="14"/>
                <w:color w:val="auto"/>
              </w:rPr>
              <w:t xml:space="preserve">Charge to establish full valuation allowance for fiscal 2013 </w:t>
            </w:r>
            <w:r>
              <w:rPr>
                <w:rFonts w:ascii="Arial" w:cs="Arial" w:eastAsia="Arial" w:hAnsi="Arial"/>
                <w:sz w:val="12"/>
                <w:szCs w:val="12"/>
                <w:color w:val="auto"/>
              </w:rPr>
              <w:t>(1)</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Actual income tax provision for fiscal 2014</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Income tax benefit, assuming normal tax rate of 40% for fiscal 2014</w:t>
            </w:r>
          </w:p>
        </w:tc>
        <w:tc>
          <w:tcPr>
            <w:tcW w:w="7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Adjusted loss from continuing operations, non-GAAP basis</w:t>
            </w:r>
          </w:p>
        </w:tc>
        <w:tc>
          <w:tcPr>
            <w:tcW w:w="1480" w:type="dxa"/>
            <w:vAlign w:val="bottom"/>
            <w:gridSpan w:val="2"/>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(0.13)</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spacing w:after="0"/>
              <w:rPr>
                <w:sz w:val="20"/>
                <w:szCs w:val="20"/>
                <w:color w:val="auto"/>
              </w:rPr>
            </w:pPr>
            <w:r>
              <w:rPr>
                <w:rFonts w:ascii="Arial" w:cs="Arial" w:eastAsia="Arial" w:hAnsi="Arial"/>
                <w:sz w:val="14"/>
                <w:szCs w:val="14"/>
                <w:color w:val="auto"/>
              </w:rPr>
              <w:t>Income (loss) from discontinued operations, GAAP basis</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Adjusted net loss, non-GAAP basis</w:t>
            </w:r>
          </w:p>
        </w:tc>
        <w:tc>
          <w:tcPr>
            <w:tcW w:w="7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(7.7)</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(0.16)</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(0.13</w:t>
            </w:r>
          </w:p>
        </w:tc>
        <w:tc>
          <w:tcPr>
            <w:tcW w:w="120" w:type="dxa"/>
            <w:vAlign w:val="bottom"/>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20" w:type="dxa"/>
            <w:vAlign w:val="bottom"/>
            <w:gridSpan w:val="3"/>
          </w:tcPr>
          <w:p>
            <w:pPr>
              <w:spacing w:after="0"/>
              <w:rPr>
                <w:sz w:val="20"/>
                <w:szCs w:val="20"/>
                <w:color w:val="auto"/>
              </w:rPr>
            </w:pPr>
            <w:r>
              <w:rPr>
                <w:rFonts w:ascii="Arial" w:cs="Arial" w:eastAsia="Arial" w:hAnsi="Arial"/>
                <w:sz w:val="14"/>
                <w:szCs w:val="14"/>
                <w:color w:val="auto"/>
              </w:rPr>
              <w:t>Weighted average number of common shares outstanding on a diluted basis</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40" w:type="dxa"/>
            <w:vAlign w:val="bottom"/>
          </w:tcPr>
          <w:p>
            <w:pPr>
              <w:jc w:val="right"/>
              <w:ind w:right="84"/>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0" w:name="page31"/>
    <w:bookmarkEnd w:id="30"/>
    <w:p>
      <w:pPr>
        <w:ind w:left="398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8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Ward K. Mooney</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Willem Mesdag</w:t>
      </w: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7" w:right="6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Non-Equity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 xml:space="preserve">Bonus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8"/>
              </w:rPr>
              <w:t>($) (1) (2)</w:t>
            </w:r>
          </w:p>
        </w:tc>
        <w:tc>
          <w:tcPr>
            <w:tcW w:w="9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8"/>
              </w:rPr>
              <w:t>($) (1)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($)(1)(3)</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2014</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811,200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936,693</w:t>
            </w:r>
          </w:p>
        </w:tc>
        <w:tc>
          <w:tcPr>
            <w:tcW w:w="2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40,470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1,788,362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President and Chief Executive</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811,200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116,002</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2,182,462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811,200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413,400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1,256,675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80" w:type="dxa"/>
            <w:vAlign w:val="bottom"/>
          </w:tcPr>
          <w:p>
            <w:pPr>
              <w:spacing w:after="0" w:line="157" w:lineRule="exact"/>
              <w:rPr>
                <w:sz w:val="20"/>
                <w:szCs w:val="20"/>
                <w:color w:val="auto"/>
              </w:rPr>
            </w:pPr>
            <w:r>
              <w:rPr>
                <w:rFonts w:ascii="Arial" w:cs="Arial" w:eastAsia="Arial" w:hAnsi="Arial"/>
                <w:sz w:val="14"/>
                <w:szCs w:val="14"/>
                <w:color w:val="auto"/>
              </w:rPr>
              <w:t>Peter H. Stratton, Jr. (5)</w:t>
            </w:r>
          </w:p>
        </w:tc>
        <w:tc>
          <w:tcPr>
            <w:tcW w:w="120" w:type="dxa"/>
            <w:vAlign w:val="bottom"/>
          </w:tcPr>
          <w:p>
            <w:pPr>
              <w:spacing w:after="0"/>
              <w:rPr>
                <w:sz w:val="13"/>
                <w:szCs w:val="13"/>
                <w:color w:val="auto"/>
              </w:rPr>
            </w:pPr>
          </w:p>
        </w:tc>
        <w:tc>
          <w:tcPr>
            <w:tcW w:w="800" w:type="dxa"/>
            <w:vAlign w:val="bottom"/>
          </w:tcPr>
          <w:p>
            <w:pPr>
              <w:ind w:left="240"/>
              <w:spacing w:after="0" w:line="157" w:lineRule="exact"/>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w w:val="98"/>
              </w:rPr>
              <w:t>257,443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127,462</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24,347</w:t>
            </w:r>
          </w:p>
        </w:tc>
        <w:tc>
          <w:tcPr>
            <w:tcW w:w="2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409,252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Senior Vice President, Chief</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4"/>
                <w:szCs w:val="14"/>
                <w:color w:val="auto"/>
              </w:rPr>
              <w:t>John E. Kyees</w:t>
            </w:r>
          </w:p>
        </w:tc>
        <w:tc>
          <w:tcPr>
            <w:tcW w:w="92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205,500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167,688</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373,188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Former Interim Chief Financial</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80" w:type="dxa"/>
            <w:vAlign w:val="bottom"/>
          </w:tcPr>
          <w:p>
            <w:pPr>
              <w:spacing w:after="0" w:line="157" w:lineRule="exact"/>
              <w:rPr>
                <w:sz w:val="20"/>
                <w:szCs w:val="20"/>
                <w:color w:val="auto"/>
              </w:rPr>
            </w:pPr>
            <w:r>
              <w:rPr>
                <w:rFonts w:ascii="Arial" w:cs="Arial" w:eastAsia="Arial" w:hAnsi="Arial"/>
                <w:sz w:val="14"/>
                <w:szCs w:val="14"/>
                <w:color w:val="auto"/>
              </w:rPr>
              <w:t>Kenneth M. Ederle</w:t>
            </w:r>
          </w:p>
        </w:tc>
        <w:tc>
          <w:tcPr>
            <w:tcW w:w="120" w:type="dxa"/>
            <w:vAlign w:val="bottom"/>
          </w:tcPr>
          <w:p>
            <w:pPr>
              <w:spacing w:after="0"/>
              <w:rPr>
                <w:sz w:val="13"/>
                <w:szCs w:val="13"/>
                <w:color w:val="auto"/>
              </w:rPr>
            </w:pPr>
          </w:p>
        </w:tc>
        <w:tc>
          <w:tcPr>
            <w:tcW w:w="800" w:type="dxa"/>
            <w:vAlign w:val="bottom"/>
          </w:tcPr>
          <w:p>
            <w:pPr>
              <w:ind w:left="240"/>
              <w:spacing w:after="0" w:line="157" w:lineRule="exact"/>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w w:val="98"/>
              </w:rPr>
              <w:t>343,269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172,463</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21,662</w:t>
            </w:r>
          </w:p>
        </w:tc>
        <w:tc>
          <w:tcPr>
            <w:tcW w:w="2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537,394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Senior Vice President and Chief</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313,462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227,500</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113,750</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15,785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21,473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691,970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Merchandising Officer -</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275,000</w:t>
            </w:r>
          </w:p>
        </w:tc>
        <w:tc>
          <w:tcPr>
            <w:tcW w:w="22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49,050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19,836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343,886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Planning and Allocation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92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2014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332,308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163,878</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523,672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General</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325,000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113,750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16,266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707,704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Counsel and Secretary</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2012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325,000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57,969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403,468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680" w:type="dxa"/>
            <w:vAlign w:val="bottom"/>
          </w:tcPr>
          <w:p>
            <w:pPr>
              <w:spacing w:after="0" w:line="157" w:lineRule="exact"/>
              <w:rPr>
                <w:sz w:val="20"/>
                <w:szCs w:val="20"/>
                <w:color w:val="auto"/>
              </w:rPr>
            </w:pPr>
            <w:r>
              <w:rPr>
                <w:rFonts w:ascii="Arial" w:cs="Arial" w:eastAsia="Arial" w:hAnsi="Arial"/>
                <w:sz w:val="14"/>
                <w:szCs w:val="14"/>
                <w:color w:val="auto"/>
              </w:rPr>
              <w:t>Derrick Walker</w:t>
            </w:r>
          </w:p>
        </w:tc>
        <w:tc>
          <w:tcPr>
            <w:tcW w:w="120" w:type="dxa"/>
            <w:vAlign w:val="bottom"/>
          </w:tcPr>
          <w:p>
            <w:pPr>
              <w:spacing w:after="0"/>
              <w:rPr>
                <w:sz w:val="13"/>
                <w:szCs w:val="13"/>
                <w:color w:val="auto"/>
              </w:rPr>
            </w:pPr>
          </w:p>
        </w:tc>
        <w:tc>
          <w:tcPr>
            <w:tcW w:w="800" w:type="dxa"/>
            <w:vAlign w:val="bottom"/>
          </w:tcPr>
          <w:p>
            <w:pPr>
              <w:ind w:left="240"/>
              <w:spacing w:after="0" w:line="157" w:lineRule="exact"/>
              <w:rPr>
                <w:sz w:val="20"/>
                <w:szCs w:val="20"/>
                <w:color w:val="auto"/>
              </w:rPr>
            </w:pPr>
            <w:r>
              <w:rPr>
                <w:rFonts w:ascii="Arial" w:cs="Arial" w:eastAsia="Arial" w:hAnsi="Arial"/>
                <w:sz w:val="14"/>
                <w:szCs w:val="14"/>
                <w:color w:val="auto"/>
              </w:rPr>
              <w:t>2014</w:t>
            </w:r>
          </w:p>
        </w:tc>
        <w:tc>
          <w:tcPr>
            <w:tcW w:w="2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w w:val="98"/>
              </w:rPr>
              <w:t>293,269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147,299</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24,806</w:t>
            </w:r>
          </w:p>
        </w:tc>
        <w:tc>
          <w:tcPr>
            <w:tcW w:w="2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465,374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Senior Vice President and</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2013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275,000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192,500</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96,250</w:t>
            </w: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13,764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23,299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600,813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tcPr>
          <w:p>
            <w:pPr>
              <w:ind w:left="240"/>
              <w:spacing w:after="0"/>
              <w:rPr>
                <w:sz w:val="20"/>
                <w:szCs w:val="20"/>
                <w:color w:val="auto"/>
              </w:rPr>
            </w:pPr>
            <w:r>
              <w:rPr>
                <w:rFonts w:ascii="Arial" w:cs="Arial" w:eastAsia="Arial" w:hAnsi="Arial"/>
                <w:sz w:val="14"/>
                <w:szCs w:val="14"/>
                <w:color w:val="auto"/>
              </w:rPr>
              <w:t>Chief Marketing Officer</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2012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178,750</w:t>
            </w:r>
          </w:p>
        </w:tc>
        <w:tc>
          <w:tcPr>
            <w:tcW w:w="22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35,673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70,000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121,793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406,216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760" w:right="60" w:hanging="372"/>
        <w:spacing w:after="0" w:line="324"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both performance and non-performance awards computed in accordance with FASB ASC Topic 718, and not the actual amount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31, 2015.</w:t>
      </w:r>
    </w:p>
    <w:p>
      <w:pPr>
        <w:spacing w:after="0" w:line="48" w:lineRule="exact"/>
        <w:rPr>
          <w:rFonts w:ascii="Arial" w:cs="Arial" w:eastAsia="Arial" w:hAnsi="Arial"/>
          <w:sz w:val="14"/>
          <w:szCs w:val="14"/>
          <w:color w:val="auto"/>
        </w:rPr>
      </w:pPr>
    </w:p>
    <w:p>
      <w:pPr>
        <w:ind w:left="760" w:right="60" w:hanging="372"/>
        <w:spacing w:after="0" w:line="297" w:lineRule="auto"/>
        <w:tabs>
          <w:tab w:leader="none" w:pos="7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Excluded from the Stock Awards and Option Awards columns are the fair values associated with the grant in fiscal 2013 of performance-based awards computed in accordance with FASB ASC Topic 718. As of January 31, 2015, the achievement of the performance targets were not deemed probable and, therefore, no compensation expense has been recognized through the end of fiscal 2014. As a result, the following fair values, at the highest performance level, associated with the grant of performance-based awards to each of the Named Executive Officers are not reflected in the table above:</w:t>
      </w:r>
    </w:p>
    <w:p>
      <w:pPr>
        <w:spacing w:after="0" w:line="265"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Stock Awards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Option Awards</w:t>
            </w:r>
          </w:p>
        </w:tc>
        <w:tc>
          <w:tcPr>
            <w:tcW w:w="860" w:type="dxa"/>
            <w:vAlign w:val="bottom"/>
          </w:tcPr>
          <w:p>
            <w:pPr>
              <w:spacing w:after="0"/>
              <w:rPr>
                <w:sz w:val="14"/>
                <w:szCs w:val="14"/>
                <w:color w:val="auto"/>
              </w:rPr>
            </w:pPr>
          </w:p>
        </w:tc>
      </w:tr>
      <w:tr>
        <w:trPr>
          <w:trHeight w:val="156"/>
        </w:trPr>
        <w:tc>
          <w:tcPr>
            <w:tcW w:w="22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David Levin</w:t>
            </w:r>
          </w:p>
        </w:tc>
        <w:tc>
          <w:tcPr>
            <w:tcW w:w="1380" w:type="dxa"/>
            <w:vAlign w:val="bottom"/>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center"/>
              <w:ind w:right="100"/>
              <w:spacing w:after="0" w:line="155" w:lineRule="exact"/>
              <w:rPr>
                <w:sz w:val="20"/>
                <w:szCs w:val="20"/>
                <w:color w:val="auto"/>
              </w:rPr>
            </w:pPr>
            <w:r>
              <w:rPr>
                <w:rFonts w:ascii="Arial" w:cs="Arial" w:eastAsia="Arial" w:hAnsi="Arial"/>
                <w:sz w:val="14"/>
                <w:szCs w:val="14"/>
                <w:color w:val="auto"/>
                <w:w w:val="90"/>
              </w:rPr>
              <w:t>811,200</w:t>
            </w:r>
          </w:p>
        </w:tc>
        <w:tc>
          <w:tcPr>
            <w:tcW w:w="900" w:type="dxa"/>
            <w:vAlign w:val="bottom"/>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center"/>
              <w:ind w:left="265"/>
              <w:spacing w:after="0" w:line="155" w:lineRule="exact"/>
              <w:rPr>
                <w:sz w:val="20"/>
                <w:szCs w:val="20"/>
                <w:color w:val="auto"/>
              </w:rPr>
            </w:pPr>
            <w:r>
              <w:rPr>
                <w:rFonts w:ascii="Arial" w:cs="Arial" w:eastAsia="Arial" w:hAnsi="Arial"/>
                <w:sz w:val="14"/>
                <w:szCs w:val="14"/>
                <w:color w:val="auto"/>
                <w:w w:val="90"/>
              </w:rPr>
              <w:t>405,600</w:t>
            </w:r>
          </w:p>
        </w:tc>
        <w:tc>
          <w:tcPr>
            <w:tcW w:w="860" w:type="dxa"/>
            <w:vAlign w:val="bottom"/>
            <w:shd w:val="clear" w:color="auto" w:fill="CFF0FC"/>
          </w:tcPr>
          <w:p>
            <w:pPr>
              <w:spacing w:after="0"/>
              <w:rPr>
                <w:sz w:val="13"/>
                <w:szCs w:val="13"/>
                <w:color w:val="auto"/>
              </w:rPr>
            </w:pPr>
          </w:p>
        </w:tc>
      </w:tr>
      <w:tr>
        <w:trPr>
          <w:trHeight w:val="162"/>
        </w:trPr>
        <w:tc>
          <w:tcPr>
            <w:tcW w:w="2260" w:type="dxa"/>
            <w:vAlign w:val="bottom"/>
          </w:tcPr>
          <w:p>
            <w:pPr>
              <w:ind w:left="500"/>
              <w:spacing w:after="0"/>
              <w:rPr>
                <w:sz w:val="20"/>
                <w:szCs w:val="20"/>
                <w:color w:val="auto"/>
              </w:rPr>
            </w:pPr>
            <w:r>
              <w:rPr>
                <w:rFonts w:ascii="Arial" w:cs="Arial" w:eastAsia="Arial" w:hAnsi="Arial"/>
                <w:sz w:val="14"/>
                <w:szCs w:val="14"/>
                <w:color w:val="auto"/>
              </w:rPr>
              <w:t>Peter Stratton</w:t>
            </w:r>
          </w:p>
        </w:tc>
        <w:tc>
          <w:tcPr>
            <w:tcW w:w="13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140,000</w:t>
            </w:r>
          </w:p>
        </w:tc>
        <w:tc>
          <w:tcPr>
            <w:tcW w:w="900" w:type="dxa"/>
            <w:vAlign w:val="bottom"/>
          </w:tcPr>
          <w:p>
            <w:pPr>
              <w:spacing w:after="0"/>
              <w:rPr>
                <w:sz w:val="14"/>
                <w:szCs w:val="14"/>
                <w:color w:val="auto"/>
              </w:rPr>
            </w:pPr>
          </w:p>
        </w:tc>
        <w:tc>
          <w:tcPr>
            <w:tcW w:w="880" w:type="dxa"/>
            <w:vAlign w:val="bottom"/>
          </w:tcPr>
          <w:p>
            <w:pPr>
              <w:jc w:val="center"/>
              <w:ind w:left="285"/>
              <w:spacing w:after="0"/>
              <w:rPr>
                <w:sz w:val="20"/>
                <w:szCs w:val="20"/>
                <w:color w:val="auto"/>
              </w:rPr>
            </w:pPr>
            <w:r>
              <w:rPr>
                <w:rFonts w:ascii="Arial" w:cs="Arial" w:eastAsia="Arial" w:hAnsi="Arial"/>
                <w:sz w:val="14"/>
                <w:szCs w:val="14"/>
                <w:color w:val="auto"/>
                <w:w w:val="93"/>
              </w:rPr>
              <w:t>70,000</w:t>
            </w:r>
          </w:p>
        </w:tc>
        <w:tc>
          <w:tcPr>
            <w:tcW w:w="860" w:type="dxa"/>
            <w:vAlign w:val="bottom"/>
          </w:tcPr>
          <w:p>
            <w:pPr>
              <w:spacing w:after="0"/>
              <w:rPr>
                <w:sz w:val="14"/>
                <w:szCs w:val="14"/>
                <w:color w:val="auto"/>
              </w:rPr>
            </w:pPr>
          </w:p>
        </w:tc>
      </w:tr>
      <w:tr>
        <w:trPr>
          <w:trHeight w:val="230"/>
        </w:trPr>
        <w:tc>
          <w:tcPr>
            <w:tcW w:w="2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John Kyees</w:t>
            </w:r>
          </w:p>
        </w:tc>
        <w:tc>
          <w:tcPr>
            <w:tcW w:w="1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center"/>
              <w:ind w:right="520"/>
              <w:spacing w:after="0"/>
              <w:rPr>
                <w:sz w:val="20"/>
                <w:szCs w:val="20"/>
                <w:color w:val="auto"/>
              </w:rPr>
            </w:pPr>
            <w:r>
              <w:rPr>
                <w:rFonts w:ascii="Arial" w:cs="Arial" w:eastAsia="Arial" w:hAnsi="Arial"/>
                <w:sz w:val="18"/>
                <w:szCs w:val="18"/>
                <w:color w:val="auto"/>
                <w:w w:val="99"/>
              </w:rPr>
              <w:t>—</w:t>
            </w:r>
          </w:p>
        </w:tc>
      </w:tr>
      <w:tr>
        <w:trPr>
          <w:trHeight w:val="162"/>
        </w:trPr>
        <w:tc>
          <w:tcPr>
            <w:tcW w:w="2260" w:type="dxa"/>
            <w:vAlign w:val="bottom"/>
          </w:tcPr>
          <w:p>
            <w:pPr>
              <w:ind w:left="500"/>
              <w:spacing w:after="0"/>
              <w:rPr>
                <w:sz w:val="20"/>
                <w:szCs w:val="20"/>
                <w:color w:val="auto"/>
              </w:rPr>
            </w:pPr>
            <w:r>
              <w:rPr>
                <w:rFonts w:ascii="Arial" w:cs="Arial" w:eastAsia="Arial" w:hAnsi="Arial"/>
                <w:sz w:val="14"/>
                <w:szCs w:val="14"/>
                <w:color w:val="auto"/>
              </w:rPr>
              <w:t>Kenneth Ederle</w:t>
            </w:r>
          </w:p>
        </w:tc>
        <w:tc>
          <w:tcPr>
            <w:tcW w:w="13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227,500</w:t>
            </w:r>
          </w:p>
        </w:tc>
        <w:tc>
          <w:tcPr>
            <w:tcW w:w="900" w:type="dxa"/>
            <w:vAlign w:val="bottom"/>
          </w:tcPr>
          <w:p>
            <w:pPr>
              <w:spacing w:after="0"/>
              <w:rPr>
                <w:sz w:val="14"/>
                <w:szCs w:val="14"/>
                <w:color w:val="auto"/>
              </w:rPr>
            </w:pPr>
          </w:p>
        </w:tc>
        <w:tc>
          <w:tcPr>
            <w:tcW w:w="880" w:type="dxa"/>
            <w:vAlign w:val="bottom"/>
          </w:tcPr>
          <w:p>
            <w:pPr>
              <w:jc w:val="center"/>
              <w:ind w:left="265"/>
              <w:spacing w:after="0"/>
              <w:rPr>
                <w:sz w:val="20"/>
                <w:szCs w:val="20"/>
                <w:color w:val="auto"/>
              </w:rPr>
            </w:pPr>
            <w:r>
              <w:rPr>
                <w:rFonts w:ascii="Arial" w:cs="Arial" w:eastAsia="Arial" w:hAnsi="Arial"/>
                <w:sz w:val="14"/>
                <w:szCs w:val="14"/>
                <w:color w:val="auto"/>
                <w:w w:val="90"/>
              </w:rPr>
              <w:t>113,750</w:t>
            </w:r>
          </w:p>
        </w:tc>
        <w:tc>
          <w:tcPr>
            <w:tcW w:w="860" w:type="dxa"/>
            <w:vAlign w:val="bottom"/>
          </w:tcPr>
          <w:p>
            <w:pPr>
              <w:spacing w:after="0"/>
              <w:rPr>
                <w:sz w:val="14"/>
                <w:szCs w:val="14"/>
                <w:color w:val="auto"/>
              </w:rPr>
            </w:pPr>
          </w:p>
        </w:tc>
      </w:tr>
      <w:tr>
        <w:trPr>
          <w:trHeight w:val="162"/>
        </w:trPr>
        <w:tc>
          <w:tcPr>
            <w:tcW w:w="22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Robert Molloy</w:t>
            </w:r>
          </w:p>
        </w:tc>
        <w:tc>
          <w:tcPr>
            <w:tcW w:w="13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0"/>
              </w:rPr>
              <w:t>227,500</w:t>
            </w:r>
          </w:p>
        </w:tc>
        <w:tc>
          <w:tcPr>
            <w:tcW w:w="900" w:type="dxa"/>
            <w:vAlign w:val="bottom"/>
            <w:shd w:val="clear" w:color="auto" w:fill="CFF0FC"/>
          </w:tcPr>
          <w:p>
            <w:pPr>
              <w:spacing w:after="0"/>
              <w:rPr>
                <w:sz w:val="14"/>
                <w:szCs w:val="14"/>
                <w:color w:val="auto"/>
              </w:rPr>
            </w:pPr>
          </w:p>
        </w:tc>
        <w:tc>
          <w:tcPr>
            <w:tcW w:w="880" w:type="dxa"/>
            <w:vAlign w:val="bottom"/>
            <w:shd w:val="clear" w:color="auto" w:fill="CFF0FC"/>
          </w:tcPr>
          <w:p>
            <w:pPr>
              <w:jc w:val="center"/>
              <w:ind w:left="265"/>
              <w:spacing w:after="0"/>
              <w:rPr>
                <w:sz w:val="20"/>
                <w:szCs w:val="20"/>
                <w:color w:val="auto"/>
              </w:rPr>
            </w:pPr>
            <w:r>
              <w:rPr>
                <w:rFonts w:ascii="Arial" w:cs="Arial" w:eastAsia="Arial" w:hAnsi="Arial"/>
                <w:sz w:val="14"/>
                <w:szCs w:val="14"/>
                <w:color w:val="auto"/>
                <w:w w:val="90"/>
              </w:rPr>
              <w:t>113,750</w:t>
            </w:r>
          </w:p>
        </w:tc>
        <w:tc>
          <w:tcPr>
            <w:tcW w:w="860" w:type="dxa"/>
            <w:vAlign w:val="bottom"/>
            <w:shd w:val="clear" w:color="auto" w:fill="CFF0FC"/>
          </w:tcPr>
          <w:p>
            <w:pPr>
              <w:spacing w:after="0"/>
              <w:rPr>
                <w:sz w:val="14"/>
                <w:szCs w:val="14"/>
                <w:color w:val="auto"/>
              </w:rPr>
            </w:pPr>
          </w:p>
        </w:tc>
      </w:tr>
      <w:tr>
        <w:trPr>
          <w:trHeight w:val="182"/>
        </w:trPr>
        <w:tc>
          <w:tcPr>
            <w:tcW w:w="2260" w:type="dxa"/>
            <w:vAlign w:val="bottom"/>
          </w:tcPr>
          <w:p>
            <w:pPr>
              <w:ind w:left="500"/>
              <w:spacing w:after="0"/>
              <w:rPr>
                <w:sz w:val="20"/>
                <w:szCs w:val="20"/>
                <w:color w:val="auto"/>
              </w:rPr>
            </w:pPr>
            <w:r>
              <w:rPr>
                <w:rFonts w:ascii="Arial" w:cs="Arial" w:eastAsia="Arial" w:hAnsi="Arial"/>
                <w:sz w:val="14"/>
                <w:szCs w:val="14"/>
                <w:color w:val="auto"/>
              </w:rPr>
              <w:t>Derrick Walker</w:t>
            </w:r>
          </w:p>
        </w:tc>
        <w:tc>
          <w:tcPr>
            <w:tcW w:w="13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192,500</w:t>
            </w:r>
          </w:p>
        </w:tc>
        <w:tc>
          <w:tcPr>
            <w:tcW w:w="900" w:type="dxa"/>
            <w:vAlign w:val="bottom"/>
          </w:tcPr>
          <w:p>
            <w:pPr>
              <w:spacing w:after="0"/>
              <w:rPr>
                <w:sz w:val="15"/>
                <w:szCs w:val="15"/>
                <w:color w:val="auto"/>
              </w:rPr>
            </w:pPr>
          </w:p>
        </w:tc>
        <w:tc>
          <w:tcPr>
            <w:tcW w:w="880" w:type="dxa"/>
            <w:vAlign w:val="bottom"/>
          </w:tcPr>
          <w:p>
            <w:pPr>
              <w:jc w:val="center"/>
              <w:ind w:left="285"/>
              <w:spacing w:after="0"/>
              <w:rPr>
                <w:sz w:val="20"/>
                <w:szCs w:val="20"/>
                <w:color w:val="auto"/>
              </w:rPr>
            </w:pPr>
            <w:r>
              <w:rPr>
                <w:rFonts w:ascii="Arial" w:cs="Arial" w:eastAsia="Arial" w:hAnsi="Arial"/>
                <w:sz w:val="14"/>
                <w:szCs w:val="14"/>
                <w:color w:val="auto"/>
                <w:w w:val="93"/>
              </w:rPr>
              <w:t>96,250</w:t>
            </w:r>
          </w:p>
        </w:tc>
        <w:tc>
          <w:tcPr>
            <w:tcW w:w="860" w:type="dxa"/>
            <w:vAlign w:val="bottom"/>
          </w:tcPr>
          <w:p>
            <w:pPr>
              <w:spacing w:after="0"/>
              <w:rPr>
                <w:sz w:val="15"/>
                <w:szCs w:val="15"/>
                <w:color w:val="auto"/>
              </w:rPr>
            </w:pPr>
          </w:p>
        </w:tc>
      </w:tr>
    </w:tbl>
    <w:p>
      <w:pPr>
        <w:spacing w:after="0" w:line="389" w:lineRule="exact"/>
        <w:rPr>
          <w:sz w:val="20"/>
          <w:szCs w:val="20"/>
          <w:color w:val="auto"/>
        </w:rPr>
      </w:pPr>
    </w:p>
    <w:p>
      <w:pPr>
        <w:jc w:val="both"/>
        <w:ind w:left="760" w:right="1020" w:hanging="372"/>
        <w:spacing w:after="0" w:line="369"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3"/>
          <w:szCs w:val="13"/>
          <w:color w:val="auto"/>
        </w:rPr>
        <w:t>Repres</w:t>
      </w:r>
      <w:r>
        <w:rPr>
          <w:rFonts w:ascii="Arial" w:cs="Arial" w:eastAsia="Arial" w:hAnsi="Arial"/>
          <w:sz w:val="14"/>
          <w:szCs w:val="14"/>
          <w:color w:val="auto"/>
        </w:rPr>
        <w:t>ents cash awards earned under the 2014 AIP and the time-vested portion of the 2013-2016 LTIP. See “2014 Non-Equity (Cash) Incentive Plan</w:t>
      </w:r>
      <w:r>
        <w:rPr>
          <w:rFonts w:ascii="Arial" w:cs="Arial" w:eastAsia="Arial" w:hAnsi="Arial"/>
          <w:sz w:val="13"/>
          <w:szCs w:val="13"/>
          <w:color w:val="auto"/>
        </w:rPr>
        <w:t xml:space="preserve"> </w:t>
      </w:r>
      <w:r>
        <w:rPr>
          <w:rFonts w:ascii="Arial" w:cs="Arial" w:eastAsia="Arial" w:hAnsi="Arial"/>
          <w:sz w:val="14"/>
          <w:szCs w:val="14"/>
          <w:color w:val="auto"/>
        </w:rPr>
        <w:t>Compensation” for detail and the “Grants of Plan-Based Awards” table for the total estimated possible payouts over the term of the 2013-2016 LTIP.</w:t>
      </w:r>
    </w:p>
    <w:p>
      <w:pPr>
        <w:spacing w:after="0" w:line="18" w:lineRule="exact"/>
        <w:rPr>
          <w:rFonts w:ascii="Arial" w:cs="Arial" w:eastAsia="Arial" w:hAnsi="Arial"/>
          <w:sz w:val="14"/>
          <w:szCs w:val="14"/>
          <w:color w:val="auto"/>
        </w:rPr>
      </w:pPr>
    </w:p>
    <w:p>
      <w:pPr>
        <w:ind w:left="760" w:hanging="37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table below for a breakdown of “All Other Compensation.”</w:t>
      </w:r>
    </w:p>
    <w:p>
      <w:pPr>
        <w:spacing w:after="0" w:line="234" w:lineRule="exact"/>
        <w:rPr>
          <w:rFonts w:ascii="Arial" w:cs="Arial" w:eastAsia="Arial" w:hAnsi="Arial"/>
          <w:sz w:val="16"/>
          <w:szCs w:val="16"/>
          <w:color w:val="auto"/>
        </w:rPr>
      </w:pPr>
    </w:p>
    <w:p>
      <w:pPr>
        <w:ind w:left="760" w:hanging="372"/>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Stratton was appointed Senior Vice President, Chief Financial Officer and Treasurer on June 1, 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Non-Equity (Cash) Incentive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Long-Term Incentive Plan</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Annual Incentive Plan</w:t>
            </w:r>
          </w:p>
        </w:tc>
        <w:tc>
          <w:tcPr>
            <w:tcW w:w="2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Totals Non-Equity Incentive</w:t>
            </w:r>
          </w:p>
        </w:tc>
      </w:tr>
      <w:tr>
        <w:trPr>
          <w:trHeight w:val="171"/>
        </w:trPr>
        <w:tc>
          <w:tcPr>
            <w:tcW w:w="6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668"/>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5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Plan Compensation</w:t>
            </w:r>
          </w:p>
        </w:tc>
      </w:tr>
      <w:tr>
        <w:trPr>
          <w:trHeight w:val="156"/>
        </w:trPr>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4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81,120</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855,573</w:t>
            </w: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936,693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Peter H. Stratton, Jr.</w:t>
            </w:r>
          </w:p>
        </w:tc>
        <w:tc>
          <w:tcPr>
            <w:tcW w:w="40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14,000</w:t>
            </w:r>
          </w:p>
        </w:tc>
        <w:tc>
          <w:tcPr>
            <w:tcW w:w="2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113,462</w:t>
            </w:r>
          </w:p>
        </w:tc>
        <w:tc>
          <w:tcPr>
            <w:tcW w:w="12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127,462</w:t>
            </w:r>
          </w:p>
        </w:tc>
        <w:tc>
          <w:tcPr>
            <w:tcW w:w="120" w:type="dxa"/>
            <w:vAlign w:val="bottom"/>
          </w:tcPr>
          <w:p>
            <w:pPr>
              <w:spacing w:after="0"/>
              <w:rPr>
                <w:sz w:val="14"/>
                <w:szCs w:val="14"/>
                <w:color w:val="auto"/>
              </w:rPr>
            </w:pPr>
          </w:p>
        </w:tc>
      </w:tr>
      <w:tr>
        <w:trPr>
          <w:trHeight w:val="162"/>
        </w:trPr>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John E. Kyees</w:t>
            </w:r>
          </w:p>
        </w:tc>
        <w:tc>
          <w:tcPr>
            <w:tcW w:w="4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167,688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167,688</w:t>
            </w:r>
          </w:p>
        </w:tc>
        <w:tc>
          <w:tcPr>
            <w:tcW w:w="120" w:type="dxa"/>
            <w:vAlign w:val="bottom"/>
            <w:shd w:val="clear" w:color="auto" w:fill="CFF0FC"/>
          </w:tcPr>
          <w:p>
            <w:pPr>
              <w:spacing w:after="0"/>
              <w:rPr>
                <w:sz w:val="14"/>
                <w:szCs w:val="14"/>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Kenneth M. Ederle</w:t>
            </w:r>
          </w:p>
        </w:tc>
        <w:tc>
          <w:tcPr>
            <w:tcW w:w="40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22,750</w:t>
            </w:r>
          </w:p>
        </w:tc>
        <w:tc>
          <w:tcPr>
            <w:tcW w:w="2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149,713</w:t>
            </w:r>
          </w:p>
        </w:tc>
        <w:tc>
          <w:tcPr>
            <w:tcW w:w="12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172,463</w:t>
            </w:r>
          </w:p>
        </w:tc>
        <w:tc>
          <w:tcPr>
            <w:tcW w:w="120" w:type="dxa"/>
            <w:vAlign w:val="bottom"/>
          </w:tcPr>
          <w:p>
            <w:pPr>
              <w:spacing w:after="0"/>
              <w:rPr>
                <w:sz w:val="14"/>
                <w:szCs w:val="14"/>
                <w:color w:val="auto"/>
              </w:rPr>
            </w:pPr>
          </w:p>
        </w:tc>
      </w:tr>
      <w:tr>
        <w:trPr>
          <w:trHeight w:val="162"/>
        </w:trPr>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4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141,128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163,878</w:t>
            </w:r>
          </w:p>
        </w:tc>
        <w:tc>
          <w:tcPr>
            <w:tcW w:w="120" w:type="dxa"/>
            <w:vAlign w:val="bottom"/>
            <w:shd w:val="clear" w:color="auto" w:fill="CFF0FC"/>
          </w:tcPr>
          <w:p>
            <w:pPr>
              <w:spacing w:after="0"/>
              <w:rPr>
                <w:sz w:val="14"/>
                <w:szCs w:val="14"/>
                <w:color w:val="auto"/>
              </w:rPr>
            </w:pPr>
          </w:p>
        </w:tc>
      </w:t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Derrick Walker</w:t>
            </w:r>
          </w:p>
        </w:tc>
        <w:tc>
          <w:tcPr>
            <w:tcW w:w="40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19,250</w:t>
            </w:r>
          </w:p>
        </w:tc>
        <w:tc>
          <w:tcPr>
            <w:tcW w:w="2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128,049</w:t>
            </w:r>
          </w:p>
        </w:tc>
        <w:tc>
          <w:tcPr>
            <w:tcW w:w="12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147,299</w:t>
            </w:r>
          </w:p>
        </w:tc>
        <w:tc>
          <w:tcPr>
            <w:tcW w:w="120" w:type="dxa"/>
            <w:vAlign w:val="bottom"/>
          </w:tcPr>
          <w:p>
            <w:pPr>
              <w:spacing w:after="0"/>
              <w:rPr>
                <w:sz w:val="15"/>
                <w:szCs w:val="15"/>
                <w:color w:val="auto"/>
              </w:rPr>
            </w:pPr>
          </w:p>
        </w:tc>
      </w:tr>
    </w:tbl>
    <w:p>
      <w:pPr>
        <w:spacing w:after="0" w:line="200" w:lineRule="exact"/>
        <w:rPr>
          <w:sz w:val="20"/>
          <w:szCs w:val="20"/>
          <w:color w:val="auto"/>
        </w:rPr>
      </w:pPr>
    </w:p>
    <w:p>
      <w:pPr>
        <w:spacing w:after="0" w:line="256" w:lineRule="exact"/>
        <w:rPr>
          <w:sz w:val="20"/>
          <w:szCs w:val="20"/>
          <w:color w:val="auto"/>
        </w:rPr>
      </w:pPr>
    </w:p>
    <w:p>
      <w:pPr>
        <w:ind w:left="760" w:hanging="372"/>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Named Executive Officer earned 20% of the 50% time-based cash award under the 2013-2016 LTIP.</w:t>
      </w:r>
    </w:p>
    <w:p>
      <w:pPr>
        <w:spacing w:after="0" w:line="126" w:lineRule="exact"/>
        <w:rPr>
          <w:rFonts w:ascii="Arial" w:cs="Arial" w:eastAsia="Arial" w:hAnsi="Arial"/>
          <w:sz w:val="16"/>
          <w:szCs w:val="16"/>
          <w:color w:val="auto"/>
        </w:rPr>
      </w:pPr>
    </w:p>
    <w:p>
      <w:pPr>
        <w:ind w:left="760" w:right="340" w:hanging="372"/>
        <w:spacing w:after="0" w:line="29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Named Executive Officer earned a cash bonus, with payouts ranging from 105.5% to 108.8% of performance targets, which varied due to achievement of personal goals.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Long-</w:t>
            </w:r>
          </w:p>
        </w:tc>
        <w:tc>
          <w:tcPr>
            <w:tcW w:w="12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Auto</w:t>
            </w:r>
          </w:p>
        </w:tc>
        <w:tc>
          <w:tcPr>
            <w:tcW w:w="100" w:type="dxa"/>
            <w:vAlign w:val="bottom"/>
          </w:tcPr>
          <w:p>
            <w:pPr>
              <w:spacing w:after="0"/>
              <w:rPr>
                <w:sz w:val="12"/>
                <w:szCs w:val="12"/>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401(k)</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Relocation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Term</w:t>
            </w:r>
          </w:p>
        </w:tc>
        <w:tc>
          <w:tcPr>
            <w:tcW w:w="12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Insurance</w:t>
            </w:r>
          </w:p>
        </w:tc>
        <w:tc>
          <w:tcPr>
            <w:tcW w:w="9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4"/>
              </w:rPr>
              <w:t>Healthcare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Match</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Expenses</w:t>
            </w:r>
          </w:p>
        </w:tc>
        <w:tc>
          <w:tcPr>
            <w:tcW w:w="2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Premiums</w:t>
            </w:r>
          </w:p>
        </w:tc>
        <w:tc>
          <w:tcPr>
            <w:tcW w:w="2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2014</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10,000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9,100</w:t>
            </w:r>
          </w:p>
        </w:tc>
        <w:tc>
          <w:tcPr>
            <w:tcW w:w="8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3,255</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6,536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11,579</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40,470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8,925</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5,028</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Peter H. Stratton, Jr.</w:t>
            </w:r>
          </w:p>
        </w:tc>
        <w:tc>
          <w:tcPr>
            <w:tcW w:w="10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9,100</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4,370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2,477</w:t>
            </w:r>
          </w:p>
        </w:tc>
        <w:tc>
          <w:tcPr>
            <w:tcW w:w="2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24,347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vMerge w:val="restart"/>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John E. Kyees</w:t>
            </w:r>
          </w:p>
        </w:tc>
        <w:tc>
          <w:tcPr>
            <w:tcW w:w="90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180" w:type="dxa"/>
            <w:vAlign w:val="bottom"/>
          </w:tcPr>
          <w:p>
            <w:pPr>
              <w:spacing w:after="0" w:line="157" w:lineRule="exact"/>
              <w:rPr>
                <w:sz w:val="20"/>
                <w:szCs w:val="20"/>
                <w:color w:val="auto"/>
              </w:rPr>
            </w:pPr>
            <w:r>
              <w:rPr>
                <w:rFonts w:ascii="Arial" w:cs="Arial" w:eastAsia="Arial" w:hAnsi="Arial"/>
                <w:sz w:val="14"/>
                <w:szCs w:val="14"/>
                <w:color w:val="auto"/>
              </w:rPr>
              <w:t>Kenneth M. Ederle</w:t>
            </w:r>
          </w:p>
        </w:tc>
        <w:tc>
          <w:tcPr>
            <w:tcW w:w="100" w:type="dxa"/>
            <w:vAlign w:val="bottom"/>
          </w:tcPr>
          <w:p>
            <w:pPr>
              <w:spacing w:after="0"/>
              <w:rPr>
                <w:sz w:val="13"/>
                <w:szCs w:val="13"/>
                <w:color w:val="auto"/>
              </w:rPr>
            </w:pPr>
          </w:p>
        </w:tc>
        <w:tc>
          <w:tcPr>
            <w:tcW w:w="800" w:type="dxa"/>
            <w:vAlign w:val="bottom"/>
          </w:tcPr>
          <w:p>
            <w:pPr>
              <w:ind w:left="260"/>
              <w:spacing w:after="0" w:line="157"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8,400</w:t>
            </w:r>
          </w:p>
        </w:tc>
        <w:tc>
          <w:tcPr>
            <w:tcW w:w="220" w:type="dxa"/>
            <w:vAlign w:val="bottom"/>
          </w:tcPr>
          <w:p>
            <w:pPr>
              <w:spacing w:after="0"/>
              <w:rPr>
                <w:sz w:val="13"/>
                <w:szCs w:val="13"/>
                <w:color w:val="auto"/>
              </w:rPr>
            </w:pP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9,100</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4,162</w:t>
            </w:r>
          </w:p>
        </w:tc>
        <w:tc>
          <w:tcPr>
            <w:tcW w:w="220" w:type="dxa"/>
            <w:vAlign w:val="bottom"/>
          </w:tcPr>
          <w:p>
            <w:pPr>
              <w:spacing w:after="0"/>
              <w:rPr>
                <w:sz w:val="13"/>
                <w:szCs w:val="13"/>
                <w:color w:val="auto"/>
              </w:rPr>
            </w:pP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21,662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8,925</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4,148</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21,473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8,750</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2,686</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90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9,100</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5,223</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8,925</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3,100</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8,750</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line="157" w:lineRule="exact"/>
              <w:rPr>
                <w:sz w:val="20"/>
                <w:szCs w:val="20"/>
                <w:color w:val="auto"/>
              </w:rPr>
            </w:pPr>
            <w:r>
              <w:rPr>
                <w:rFonts w:ascii="Arial" w:cs="Arial" w:eastAsia="Arial" w:hAnsi="Arial"/>
                <w:sz w:val="14"/>
                <w:szCs w:val="14"/>
                <w:color w:val="auto"/>
              </w:rPr>
              <w:t>Derrick Walker</w:t>
            </w:r>
          </w:p>
        </w:tc>
        <w:tc>
          <w:tcPr>
            <w:tcW w:w="100" w:type="dxa"/>
            <w:vAlign w:val="bottom"/>
          </w:tcPr>
          <w:p>
            <w:pPr>
              <w:spacing w:after="0"/>
              <w:rPr>
                <w:sz w:val="13"/>
                <w:szCs w:val="13"/>
                <w:color w:val="auto"/>
              </w:rPr>
            </w:pPr>
          </w:p>
        </w:tc>
        <w:tc>
          <w:tcPr>
            <w:tcW w:w="800" w:type="dxa"/>
            <w:vAlign w:val="bottom"/>
          </w:tcPr>
          <w:p>
            <w:pPr>
              <w:ind w:left="260"/>
              <w:spacing w:after="0" w:line="157"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3"/>
                <w:szCs w:val="13"/>
                <w:color w:val="auto"/>
              </w:rPr>
            </w:pPr>
          </w:p>
        </w:tc>
        <w:tc>
          <w:tcPr>
            <w:tcW w:w="14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8,400</w:t>
            </w:r>
          </w:p>
        </w:tc>
        <w:tc>
          <w:tcPr>
            <w:tcW w:w="220" w:type="dxa"/>
            <w:vAlign w:val="bottom"/>
          </w:tcPr>
          <w:p>
            <w:pPr>
              <w:spacing w:after="0"/>
              <w:rPr>
                <w:sz w:val="13"/>
                <w:szCs w:val="13"/>
                <w:color w:val="auto"/>
              </w:rPr>
            </w:pP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9,100</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4,056</w:t>
            </w:r>
          </w:p>
        </w:tc>
        <w:tc>
          <w:tcPr>
            <w:tcW w:w="300" w:type="dxa"/>
            <w:vAlign w:val="bottom"/>
            <w:gridSpan w:val="2"/>
          </w:tcPr>
          <w:p>
            <w:pPr>
              <w:ind w:left="220"/>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3,250</w:t>
            </w:r>
          </w:p>
        </w:tc>
        <w:tc>
          <w:tcPr>
            <w:tcW w:w="220" w:type="dxa"/>
            <w:vAlign w:val="bottom"/>
          </w:tcPr>
          <w:p>
            <w:pPr>
              <w:spacing w:after="0"/>
              <w:rPr>
                <w:sz w:val="13"/>
                <w:szCs w:val="13"/>
                <w:color w:val="auto"/>
              </w:rPr>
            </w:pPr>
          </w:p>
        </w:tc>
        <w:tc>
          <w:tcPr>
            <w:tcW w:w="16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24,806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8,400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8,925</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3,120</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2,854</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5,137</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635</w:t>
            </w:r>
          </w:p>
        </w:tc>
        <w:tc>
          <w:tcPr>
            <w:tcW w:w="8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114,838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1,183</w:t>
            </w:r>
          </w:p>
        </w:tc>
        <w:tc>
          <w:tcPr>
            <w:tcW w:w="2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121,793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Mr. Levin is eligible to participate in our annual incentive plan at a target rate of 100% of his actual annual base salary, as defined in that plan, and in our Long-Term Incentive Plan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280"/>
        <w:spacing w:after="0" w:line="264"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3" w:lineRule="exact"/>
        <w:rPr>
          <w:sz w:val="20"/>
          <w:szCs w:val="20"/>
          <w:color w:val="auto"/>
        </w:rPr>
      </w:pPr>
    </w:p>
    <w:p>
      <w:pPr>
        <w:ind w:left="780" w:hanging="25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 rata bonus under the annual incentive plan;</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accelerated vesting of certain LTIP awards; and</w:t>
      </w:r>
    </w:p>
    <w:p>
      <w:pPr>
        <w:spacing w:after="0" w:line="117" w:lineRule="exact"/>
        <w:rPr>
          <w:rFonts w:ascii="Arial" w:cs="Arial" w:eastAsia="Arial" w:hAnsi="Arial"/>
          <w:sz w:val="18"/>
          <w:szCs w:val="18"/>
          <w:color w:val="auto"/>
        </w:rPr>
      </w:pPr>
    </w:p>
    <w:p>
      <w:pPr>
        <w:ind w:left="780" w:right="20" w:hanging="254"/>
        <w:spacing w:after="0" w:line="279"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severance comprised as the sum of (1) Mr. Levin’s monthly base salary then in effect plus (2) a monthly amount calculated by dividing by twelve the average of the sum of (i) the annual incentive bonuses earned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annual incentive plan.</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Employment Agreement contains confidentiality provisions pursuant to which Mr. Levin agrees not to disclose confidential information regarding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The Employment Agreement also contains covenants pursuant to which he agrees, during the term of his employment and for a one-year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termination of his employment, not to have any connection with any business which is a specialty retailer that primarily distributes, sells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markets so-called “big and tall” apparel of any kind for men or which utilizes the “big and tall” retail or wholesale marketing concept as part of 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business. The Employment Agreement also contains a “claw-back” provision which provides for remedies in the event we learn after Mr. Levin’s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us other than for “justifiable cause” that Mr. Levin could have been terminated for “justifiable cause”. Subject to the implementation of final rules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 the Dodd-Frank Act requires that we implement a policy providing for the recovery of erroneously paid incentive-based compensation following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required accounting restatement. Once the final rules are issued by the SEC, we will revise, in a timely manner, the current claw-back provision of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agreements.</w:t>
      </w:r>
    </w:p>
    <w:p>
      <w:pPr>
        <w:spacing w:after="0" w:line="21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Annual Incentive Plan. During fiscal 2014, they participated at 40% of their respective average base salaries, as defined in the plan, depending on our performance (based on achieving the metrics approved by the Compensation Committee of the Board of Directors). Senior Executives are also eligible to participate in our 2013-2016 LTIP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10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Employment Agreement with Mr. Kyees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Kyees served as our interim Chief Financial Officer from February 2, 2014 until May 31, 2014. Mr. Kyees was compensated by the Company pursuant to a temporary employment agreement, whereby Mr. Kyees received $3,000 per day plus expenses for his services. Mr. Kyees, in his interim role as Interim Chief Financial Officer, was also eligible to participate in the AIP for fiscal 2014 at a rate of 75% of the total per diem amount paid for his services as Interim Chief Financial Officer.</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GRANTS OF PLAN-BASED AWARDS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9"/>
            <w:vMerge w:val="restart"/>
          </w:tcPr>
          <w:p>
            <w:pPr>
              <w:jc w:val="center"/>
              <w:ind w:right="360"/>
              <w:spacing w:after="0"/>
              <w:rPr>
                <w:sz w:val="20"/>
                <w:szCs w:val="20"/>
                <w:color w:val="auto"/>
              </w:rPr>
            </w:pPr>
            <w:r>
              <w:rPr>
                <w:rFonts w:ascii="Arial" w:cs="Arial" w:eastAsia="Arial" w:hAnsi="Arial"/>
                <w:sz w:val="14"/>
                <w:szCs w:val="14"/>
                <w:b w:val="1"/>
                <w:bCs w:val="1"/>
                <w:color w:val="auto"/>
                <w:w w:val="89"/>
              </w:rPr>
              <w:t>Estimated Possible Payouts</w:t>
            </w:r>
          </w:p>
        </w:tc>
        <w:tc>
          <w:tcPr>
            <w:tcW w:w="26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9"/>
              </w:rPr>
              <w:t>Estimated Possible Payouts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or Base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9"/>
            <w:vMerge w:val="continue"/>
          </w:tcPr>
          <w:p>
            <w:pPr>
              <w:spacing w:after="0"/>
              <w:rPr>
                <w:sz w:val="12"/>
                <w:szCs w:val="12"/>
                <w:color w:val="auto"/>
              </w:rPr>
            </w:pPr>
          </w:p>
        </w:tc>
        <w:tc>
          <w:tcPr>
            <w:tcW w:w="2680" w:type="dxa"/>
            <w:vAlign w:val="bottom"/>
            <w:gridSpan w:val="6"/>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4"/>
              </w:rPr>
              <w:t>Incentive Plan Awards (1)(2)</w:t>
            </w:r>
          </w:p>
        </w:tc>
        <w:tc>
          <w:tcPr>
            <w:tcW w:w="2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Incentive Plan Awards (2)</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 Stock</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Approval</w:t>
            </w:r>
          </w:p>
        </w:tc>
        <w:tc>
          <w:tcPr>
            <w:tcW w:w="6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1"/>
              </w:rPr>
              <w:t>Threshold</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48"/>
              <w:spacing w:after="0" w:line="147" w:lineRule="exact"/>
              <w:rPr>
                <w:sz w:val="20"/>
                <w:szCs w:val="20"/>
                <w:color w:val="auto"/>
              </w:rPr>
            </w:pPr>
            <w:r>
              <w:rPr>
                <w:rFonts w:ascii="Arial" w:cs="Arial" w:eastAsia="Arial" w:hAnsi="Arial"/>
                <w:sz w:val="14"/>
                <w:szCs w:val="14"/>
                <w:b w:val="1"/>
                <w:bCs w:val="1"/>
                <w:color w:val="auto"/>
                <w:w w:val="93"/>
              </w:rPr>
              <w:t>Target</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68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w w:val="94"/>
              </w:rPr>
              <w:t>Threshold</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Target</w:t>
            </w:r>
          </w:p>
        </w:tc>
        <w:tc>
          <w:tcPr>
            <w:tcW w:w="68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or Units</w:t>
            </w:r>
          </w:p>
        </w:tc>
        <w:tc>
          <w:tcPr>
            <w:tcW w:w="9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52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 Sh)</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82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344,760</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1,216,800</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Peter H. Stratton, Jr.</w:t>
            </w: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44,321</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104,285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156,427</w:t>
            </w:r>
          </w:p>
        </w:tc>
        <w:tc>
          <w:tcPr>
            <w:tcW w:w="220" w:type="dxa"/>
            <w:vAlign w:val="bottom"/>
          </w:tcPr>
          <w:p>
            <w:pPr>
              <w:spacing w:after="0"/>
              <w:rPr>
                <w:sz w:val="14"/>
                <w:szCs w:val="14"/>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shd w:val="clear" w:color="auto" w:fill="CFF0FC"/>
          </w:tcPr>
          <w:p>
            <w:pPr>
              <w:spacing w:after="0"/>
              <w:rPr>
                <w:sz w:val="20"/>
                <w:szCs w:val="20"/>
                <w:color w:val="auto"/>
              </w:rPr>
            </w:pPr>
            <w:r>
              <w:rPr>
                <w:rFonts w:ascii="Arial" w:cs="Arial" w:eastAsia="Arial" w:hAnsi="Arial"/>
                <w:sz w:val="14"/>
                <w:szCs w:val="14"/>
                <w:color w:val="auto"/>
              </w:rPr>
              <w:t>John E. Kyees (3)</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77,063</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154,125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231,188</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Kenneth M. Ederle</w:t>
            </w: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58,519</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137,692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206,539</w:t>
            </w:r>
          </w:p>
        </w:tc>
        <w:tc>
          <w:tcPr>
            <w:tcW w:w="220" w:type="dxa"/>
            <w:vAlign w:val="bottom"/>
          </w:tcPr>
          <w:p>
            <w:pPr>
              <w:spacing w:after="0"/>
              <w:rPr>
                <w:sz w:val="14"/>
                <w:szCs w:val="14"/>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56,558</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133,077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199,615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Arial" w:cs="Arial" w:eastAsia="Arial" w:hAnsi="Arial"/>
                <w:sz w:val="14"/>
                <w:szCs w:val="14"/>
                <w:color w:val="auto"/>
              </w:rPr>
              <w:t>Derrick Walker</w:t>
            </w: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4/1/2014</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50,019</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117,692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176,538</w:t>
            </w:r>
          </w:p>
        </w:tc>
        <w:tc>
          <w:tcPr>
            <w:tcW w:w="2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760" w:right="80" w:hanging="372"/>
        <w:spacing w:after="0" w:line="253"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April 1, 2014, the Compensation Committee approved the annual targets pursuant to our Annual Incentive Plan for fiscal 2014. The threshold, target and maximum payouts for each executive was estimated based on achieving 50%, 100% and 150% of the payout targets set by the Compensation Committee. As discussed above, under “Compensation Discussion and Analysis – Components of Executive Compensation – 2014 Annual Incentive Plan,” the Compensation Committee established six separate targets: Sales, Adjusted EBITDA, Merchandise Margin, DXL Comparable Sales, DXL Sales per Square Foot and Personal Goals. On March 16, 2015, the Compensation Committee determined that the performance targets were achieved in fiscal 2014, and accordingly, the Compensation Committee approved a payout ranging from 105.5% to 108.8%, depending on each participant’s achievement of their personal goals. The respective cash payment to each of the Named Executive Officers is included in the Summary Compensation Table (and the supplemental 2014 Non-Equity (Cash) Incentive Plan Compensation Table) for fiscal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left="760" w:hanging="372"/>
        <w:spacing w:after="0" w:line="312"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November 7, 2014, the Compensation Committee approved the Wrap-Around Plan, which is a supplemental performance-based incentive plan that is only effective if the Company does not meet the performance targets set forth in the Company’s 2013-2016 Plan. Accordingly, no equity awards were granted under the Wrap-Around Plan. See “Long-term incentive plans-Wrap-Around Plan” above for a full discussion.</w:t>
      </w:r>
    </w:p>
    <w:p>
      <w:pPr>
        <w:spacing w:after="0" w:line="38" w:lineRule="exact"/>
        <w:rPr>
          <w:rFonts w:ascii="Arial" w:cs="Arial" w:eastAsia="Arial" w:hAnsi="Arial"/>
          <w:sz w:val="16"/>
          <w:szCs w:val="16"/>
          <w:color w:val="auto"/>
        </w:rPr>
      </w:pPr>
    </w:p>
    <w:p>
      <w:pPr>
        <w:ind w:left="760" w:right="40" w:hanging="372"/>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Pursuant to his temporary employment agreement, Mr. Kyees was eligible to participant in the 2014 AIP at 75% of his earned compensation. The potential payment in the above table was calculated using actual compensation earned for fiscal 2014 of $205,500.</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2014.</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2014 OUTSTANDING EQUITY AWARDS AT FISCAL YEAR-END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Option Awards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Market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Value of</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or Units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of Stock</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That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53"/>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That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Have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Not</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33"/>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56"/>
        </w:trPr>
        <w:tc>
          <w:tcPr>
            <w:tcW w:w="2920" w:type="dxa"/>
            <w:vAlign w:val="bottom"/>
          </w:tcPr>
          <w:p>
            <w:pPr>
              <w:spacing w:after="0" w:line="155"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4"/>
              </w:rPr>
              <w:t>Exercisable</w:t>
            </w:r>
          </w:p>
        </w:tc>
        <w:tc>
          <w:tcPr>
            <w:tcW w:w="1020" w:type="dxa"/>
            <w:vAlign w:val="bottom"/>
            <w:gridSpan w:val="2"/>
          </w:tcPr>
          <w:p>
            <w:pPr>
              <w:jc w:val="center"/>
              <w:ind w:left="152"/>
              <w:spacing w:after="0" w:line="155" w:lineRule="exact"/>
              <w:rPr>
                <w:sz w:val="20"/>
                <w:szCs w:val="20"/>
                <w:color w:val="auto"/>
              </w:rPr>
            </w:pPr>
            <w:r>
              <w:rPr>
                <w:rFonts w:ascii="Arial" w:cs="Arial" w:eastAsia="Arial" w:hAnsi="Arial"/>
                <w:sz w:val="14"/>
                <w:szCs w:val="14"/>
                <w:b w:val="1"/>
                <w:bCs w:val="1"/>
                <w:color w:val="auto"/>
                <w:w w:val="84"/>
              </w:rPr>
              <w:t>Unexercisable</w:t>
            </w:r>
          </w:p>
        </w:tc>
        <w:tc>
          <w:tcPr>
            <w:tcW w:w="940" w:type="dxa"/>
            <w:vAlign w:val="bottom"/>
            <w:gridSpan w:val="2"/>
          </w:tcPr>
          <w:p>
            <w:pPr>
              <w:jc w:val="center"/>
              <w:ind w:left="152"/>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93"/>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3"/>
          </w:tcPr>
          <w:p>
            <w:pPr>
              <w:jc w:val="center"/>
              <w:ind w:left="32"/>
              <w:spacing w:after="0" w:line="15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($)(1)</w:t>
            </w:r>
          </w:p>
        </w:tc>
        <w:tc>
          <w:tcPr>
            <w:tcW w:w="900" w:type="dxa"/>
            <w:vAlign w:val="bottom"/>
            <w:gridSpan w:val="2"/>
          </w:tcPr>
          <w:p>
            <w:pPr>
              <w:jc w:val="center"/>
              <w:ind w:left="132"/>
              <w:spacing w:after="0" w:line="155" w:lineRule="exact"/>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52"/>
              <w:spacing w:after="0" w:line="15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39,188</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156,754</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195,942</w:t>
            </w:r>
          </w:p>
        </w:tc>
        <w:tc>
          <w:tcPr>
            <w:tcW w:w="30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5.04</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86"/>
              </w:rPr>
              <w:t>5/28/2023</w:t>
            </w:r>
          </w:p>
        </w:tc>
        <w:tc>
          <w:tcPr>
            <w:tcW w:w="100" w:type="dxa"/>
            <w:vAlign w:val="bottom"/>
            <w:tcBorders>
              <w:top w:val="single" w:sz="8" w:color="CFF0FC"/>
            </w:tcBorders>
            <w:vMerge w:val="restart"/>
            <w:shd w:val="clear" w:color="auto" w:fill="CFF0FC"/>
          </w:tcPr>
          <w:p>
            <w:pPr>
              <w:spacing w:after="0"/>
              <w:rPr>
                <w:sz w:val="13"/>
                <w:szCs w:val="13"/>
                <w:color w:val="auto"/>
              </w:rPr>
            </w:pPr>
          </w:p>
        </w:tc>
        <w:tc>
          <w:tcPr>
            <w:tcW w:w="68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128,762</w:t>
            </w:r>
          </w:p>
        </w:tc>
        <w:tc>
          <w:tcPr>
            <w:tcW w:w="280" w:type="dxa"/>
            <w:vAlign w:val="bottom"/>
            <w:tcBorders>
              <w:top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vMerge w:val="restart"/>
            <w:shd w:val="clear" w:color="auto" w:fill="CFF0FC"/>
          </w:tcPr>
          <w:p>
            <w:pPr>
              <w:ind w:left="100"/>
              <w:spacing w:after="0"/>
              <w:rPr>
                <w:sz w:val="20"/>
                <w:szCs w:val="20"/>
                <w:color w:val="auto"/>
              </w:rPr>
            </w:pPr>
            <w:r>
              <w:rPr>
                <w:rFonts w:ascii="Arial" w:cs="Arial" w:eastAsia="Arial" w:hAnsi="Arial"/>
                <w:sz w:val="14"/>
                <w:szCs w:val="14"/>
                <w:color w:val="auto"/>
                <w:w w:val="94"/>
              </w:rPr>
              <w:t>654,111</w:t>
            </w:r>
          </w:p>
        </w:tc>
        <w:tc>
          <w:tcPr>
            <w:tcW w:w="220" w:type="dxa"/>
            <w:vAlign w:val="bottom"/>
            <w:tcBorders>
              <w:top w:val="single" w:sz="8" w:color="CFF0FC"/>
            </w:tcBorders>
            <w:vMerge w:val="restart"/>
            <w:shd w:val="clear" w:color="auto" w:fill="CFF0FC"/>
          </w:tcPr>
          <w:p>
            <w:pPr>
              <w:spacing w:after="0"/>
              <w:rPr>
                <w:sz w:val="13"/>
                <w:szCs w:val="13"/>
                <w:color w:val="auto"/>
              </w:rPr>
            </w:pPr>
          </w:p>
        </w:tc>
        <w:tc>
          <w:tcPr>
            <w:tcW w:w="680" w:type="dxa"/>
            <w:vAlign w:val="bottom"/>
            <w:tcBorders>
              <w:top w:val="single" w:sz="8" w:color="auto"/>
            </w:tcBorders>
            <w:vMerge w:val="restart"/>
            <w:shd w:val="clear" w:color="auto" w:fill="CFF0FC"/>
          </w:tcPr>
          <w:p>
            <w:pPr>
              <w:jc w:val="center"/>
              <w:ind w:left="12"/>
              <w:spacing w:after="0"/>
              <w:rPr>
                <w:sz w:val="20"/>
                <w:szCs w:val="20"/>
                <w:color w:val="auto"/>
              </w:rPr>
            </w:pPr>
            <w:r>
              <w:rPr>
                <w:rFonts w:ascii="Arial" w:cs="Arial" w:eastAsia="Arial" w:hAnsi="Arial"/>
                <w:sz w:val="14"/>
                <w:szCs w:val="14"/>
                <w:color w:val="auto"/>
                <w:w w:val="86"/>
              </w:rPr>
              <w:t>160,952</w:t>
            </w:r>
          </w:p>
        </w:tc>
        <w:tc>
          <w:tcPr>
            <w:tcW w:w="280" w:type="dxa"/>
            <w:vAlign w:val="bottom"/>
            <w:tcBorders>
              <w:top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vMerge w:val="restart"/>
            <w:shd w:val="clear" w:color="auto" w:fill="CFF0FC"/>
          </w:tcPr>
          <w:p>
            <w:pPr>
              <w:jc w:val="right"/>
              <w:ind w:right="12"/>
              <w:spacing w:after="0"/>
              <w:rPr>
                <w:sz w:val="20"/>
                <w:szCs w:val="20"/>
                <w:color w:val="auto"/>
              </w:rPr>
            </w:pPr>
            <w:r>
              <w:rPr>
                <w:rFonts w:ascii="Arial" w:cs="Arial" w:eastAsia="Arial" w:hAnsi="Arial"/>
                <w:sz w:val="14"/>
                <w:szCs w:val="14"/>
                <w:color w:val="auto"/>
                <w:w w:val="98"/>
              </w:rPr>
              <w:t>817,636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20"/>
                <w:szCs w:val="20"/>
                <w:color w:val="auto"/>
              </w:rPr>
            </w:pPr>
            <w:r>
              <w:rPr>
                <w:rFonts w:ascii="Arial" w:cs="Arial" w:eastAsia="Arial" w:hAnsi="Arial"/>
                <w:sz w:val="14"/>
                <w:szCs w:val="14"/>
                <w:b w:val="1"/>
                <w:bCs w:val="1"/>
                <w:color w:val="auto"/>
              </w:rPr>
              <w:t>Peter H. Stratton, Jr.</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8,587</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4.19</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3/16/2021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6,763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27,053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5.04</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5/28/2023</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22,222</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tcPr>
          <w:p>
            <w:pPr>
              <w:ind w:left="100"/>
              <w:spacing w:after="0"/>
              <w:rPr>
                <w:sz w:val="20"/>
                <w:szCs w:val="20"/>
                <w:color w:val="auto"/>
              </w:rPr>
            </w:pPr>
            <w:r>
              <w:rPr>
                <w:rFonts w:ascii="Arial" w:cs="Arial" w:eastAsia="Arial" w:hAnsi="Arial"/>
                <w:sz w:val="14"/>
                <w:szCs w:val="14"/>
                <w:color w:val="auto"/>
                <w:w w:val="94"/>
              </w:rPr>
              <w:t>112,888</w:t>
            </w:r>
          </w:p>
        </w:tc>
        <w:tc>
          <w:tcPr>
            <w:tcW w:w="90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83"/>
              </w:rPr>
              <w:t>27,777</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w w:val="98"/>
              </w:rPr>
              <w:t>141,107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John E. Kyees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1,286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1/31/2022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5"/>
              </w:rPr>
              <w:t>11/30/2021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9/30/2021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8"/>
              </w:rPr>
              <w:t>5/2/2021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8"/>
              </w:rPr>
              <w:t>10/31/2021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3,387</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8/31/2021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2,547</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1/31/2021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8"/>
              </w:rPr>
              <w:t>8/1/2021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8"/>
              </w:rPr>
              <w:t>5/3/2020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2/28/2021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5/31/2021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8"/>
              </w:rPr>
              <w:t>2/4/2023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2/28/2023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3/31/2021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5/31/2023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4/30/2023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w:t>
            </w:r>
          </w:p>
        </w:tc>
        <w:tc>
          <w:tcPr>
            <w:tcW w:w="900" w:type="dxa"/>
            <w:vAlign w:val="bottom"/>
            <w:gridSpan w:val="2"/>
            <w:shd w:val="clear" w:color="auto" w:fill="CFF0FC"/>
          </w:tcPr>
          <w:p>
            <w:pPr>
              <w:jc w:val="center"/>
              <w:ind w:left="152"/>
              <w:spacing w:after="0"/>
              <w:rPr>
                <w:sz w:val="20"/>
                <w:szCs w:val="20"/>
                <w:color w:val="auto"/>
              </w:rPr>
            </w:pPr>
            <w:r>
              <w:rPr>
                <w:rFonts w:ascii="Arial" w:cs="Arial" w:eastAsia="Arial" w:hAnsi="Arial"/>
                <w:sz w:val="14"/>
                <w:szCs w:val="14"/>
                <w:color w:val="auto"/>
                <w:w w:val="88"/>
              </w:rPr>
              <w:t>5/6/2023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6"/>
              </w:rPr>
              <w:t>3/29/2023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6"/>
              </w:rPr>
              <w:t>1/31/2024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4,409</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6"/>
              </w:rPr>
              <w:t>8/30/2023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8/5/2023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6"/>
              </w:rPr>
              <w:t>6/28/2023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12/31/2023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6"/>
              </w:rPr>
              <w:t>11/4/2023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8"/>
              </w:rPr>
              <w:t>10/31/2023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5"/>
              </w:rPr>
              <w:t>11/29/2023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11,238</w:t>
            </w:r>
          </w:p>
        </w:tc>
        <w:tc>
          <w:tcPr>
            <w:tcW w:w="1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81"/>
              </w:rPr>
              <w:t>(4)</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ind w:right="32"/>
              <w:spacing w:after="0"/>
              <w:rPr>
                <w:sz w:val="20"/>
                <w:szCs w:val="20"/>
                <w:color w:val="auto"/>
              </w:rPr>
            </w:pPr>
            <w:r>
              <w:rPr>
                <w:rFonts w:ascii="Arial" w:cs="Arial" w:eastAsia="Arial" w:hAnsi="Arial"/>
                <w:sz w:val="14"/>
                <w:szCs w:val="14"/>
                <w:color w:val="auto"/>
              </w:rPr>
              <w:t>57,089</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20"/>
                <w:szCs w:val="20"/>
                <w:color w:val="auto"/>
              </w:rPr>
            </w:pPr>
            <w:r>
              <w:rPr>
                <w:rFonts w:ascii="Arial" w:cs="Arial" w:eastAsia="Arial" w:hAnsi="Arial"/>
                <w:sz w:val="14"/>
                <w:szCs w:val="14"/>
                <w:b w:val="1"/>
                <w:bCs w:val="1"/>
                <w:color w:val="auto"/>
              </w:rPr>
              <w:t>Kenneth M. Ederle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7.52</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8"/>
              </w:rPr>
              <w:t>10/22/2017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10,990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43,961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5.04</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5/28/2023</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color w:val="auto"/>
              </w:rPr>
              <w:t>36,111</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tcPr>
          <w:p>
            <w:pPr>
              <w:ind w:left="100"/>
              <w:spacing w:after="0"/>
              <w:rPr>
                <w:sz w:val="20"/>
                <w:szCs w:val="20"/>
                <w:color w:val="auto"/>
              </w:rPr>
            </w:pPr>
            <w:r>
              <w:rPr>
                <w:rFonts w:ascii="Arial" w:cs="Arial" w:eastAsia="Arial" w:hAnsi="Arial"/>
                <w:sz w:val="14"/>
                <w:szCs w:val="14"/>
                <w:color w:val="auto"/>
                <w:w w:val="94"/>
              </w:rPr>
              <w:t>183,444</w:t>
            </w:r>
          </w:p>
        </w:tc>
        <w:tc>
          <w:tcPr>
            <w:tcW w:w="90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83"/>
              </w:rPr>
              <w:t>45,138</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w w:val="98"/>
              </w:rPr>
              <w:t>229,301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Robert S. Molloy</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20,606</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3/19/2020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13,955</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3/16/2021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43,961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90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5/28/2023</w:t>
            </w:r>
          </w:p>
        </w:tc>
        <w:tc>
          <w:tcPr>
            <w:tcW w:w="78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36,111</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shd w:val="clear" w:color="auto" w:fill="CFF0FC"/>
          </w:tcPr>
          <w:p>
            <w:pPr>
              <w:ind w:left="100"/>
              <w:spacing w:after="0"/>
              <w:rPr>
                <w:sz w:val="20"/>
                <w:szCs w:val="20"/>
                <w:color w:val="auto"/>
              </w:rPr>
            </w:pPr>
            <w:r>
              <w:rPr>
                <w:rFonts w:ascii="Arial" w:cs="Arial" w:eastAsia="Arial" w:hAnsi="Arial"/>
                <w:sz w:val="14"/>
                <w:szCs w:val="14"/>
                <w:color w:val="auto"/>
                <w:w w:val="94"/>
              </w:rPr>
              <w:t>183,444</w:t>
            </w:r>
          </w:p>
        </w:tc>
        <w:tc>
          <w:tcPr>
            <w:tcW w:w="900" w:type="dxa"/>
            <w:vAlign w:val="bottom"/>
            <w:gridSpan w:val="2"/>
            <w:vMerge w:val="restart"/>
            <w:shd w:val="clear" w:color="auto" w:fill="CFF0FC"/>
          </w:tcPr>
          <w:p>
            <w:pPr>
              <w:jc w:val="center"/>
              <w:ind w:left="232"/>
              <w:spacing w:after="0"/>
              <w:rPr>
                <w:sz w:val="20"/>
                <w:szCs w:val="20"/>
                <w:color w:val="auto"/>
              </w:rPr>
            </w:pPr>
            <w:r>
              <w:rPr>
                <w:rFonts w:ascii="Arial" w:cs="Arial" w:eastAsia="Arial" w:hAnsi="Arial"/>
                <w:sz w:val="14"/>
                <w:szCs w:val="14"/>
                <w:color w:val="auto"/>
                <w:w w:val="83"/>
              </w:rPr>
              <w:t>45,138</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FF0FC"/>
          </w:tcPr>
          <w:p>
            <w:pPr>
              <w:jc w:val="right"/>
              <w:ind w:right="12"/>
              <w:spacing w:after="0"/>
              <w:rPr>
                <w:sz w:val="20"/>
                <w:szCs w:val="20"/>
                <w:color w:val="auto"/>
              </w:rPr>
            </w:pPr>
            <w:r>
              <w:rPr>
                <w:rFonts w:ascii="Arial" w:cs="Arial" w:eastAsia="Arial" w:hAnsi="Arial"/>
                <w:sz w:val="14"/>
                <w:szCs w:val="14"/>
                <w:color w:val="auto"/>
                <w:w w:val="98"/>
              </w:rPr>
              <w:t>229,301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780" w:type="dxa"/>
            <w:vAlign w:val="bottom"/>
            <w:gridSpan w:val="3"/>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20"/>
                <w:szCs w:val="20"/>
                <w:color w:val="auto"/>
              </w:rPr>
            </w:pPr>
            <w:r>
              <w:rPr>
                <w:rFonts w:ascii="Arial" w:cs="Arial" w:eastAsia="Arial" w:hAnsi="Arial"/>
                <w:sz w:val="14"/>
                <w:szCs w:val="14"/>
                <w:b w:val="1"/>
                <w:bCs w:val="1"/>
                <w:color w:val="auto"/>
              </w:rPr>
              <w:t>Derrick Walker</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16,667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33,333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3.12</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6/14/2022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9,298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37,198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46,496</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5.04</w:t>
            </w:r>
          </w:p>
        </w:tc>
        <w:tc>
          <w:tcPr>
            <w:tcW w:w="90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5/28/2023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30,556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w w:val="94"/>
              </w:rPr>
              <w:t>155,224</w:t>
            </w:r>
          </w:p>
        </w:tc>
        <w:tc>
          <w:tcPr>
            <w:tcW w:w="900" w:type="dxa"/>
            <w:vAlign w:val="bottom"/>
            <w:gridSpan w:val="2"/>
          </w:tcPr>
          <w:p>
            <w:pPr>
              <w:jc w:val="center"/>
              <w:ind w:left="232"/>
              <w:spacing w:after="0"/>
              <w:rPr>
                <w:sz w:val="20"/>
                <w:szCs w:val="20"/>
                <w:color w:val="auto"/>
              </w:rPr>
            </w:pPr>
            <w:r>
              <w:rPr>
                <w:rFonts w:ascii="Arial" w:cs="Arial" w:eastAsia="Arial" w:hAnsi="Arial"/>
                <w:sz w:val="14"/>
                <w:szCs w:val="14"/>
                <w:color w:val="auto"/>
                <w:w w:val="83"/>
              </w:rPr>
              <w:t>38,194</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w w:val="98"/>
              </w:rPr>
              <w:t>194,026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hanging="37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$5.38 on January 31, 2015.</w:t>
      </w:r>
    </w:p>
    <w:p>
      <w:pPr>
        <w:spacing w:after="0" w:line="49" w:lineRule="exact"/>
        <w:rPr>
          <w:rFonts w:ascii="Arial" w:cs="Arial" w:eastAsia="Arial" w:hAnsi="Arial"/>
          <w:sz w:val="18"/>
          <w:szCs w:val="18"/>
          <w:color w:val="auto"/>
        </w:rPr>
      </w:pPr>
    </w:p>
    <w:p>
      <w:pPr>
        <w:ind w:left="760" w:right="160" w:hanging="372"/>
        <w:spacing w:after="0" w:line="27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the unvested portion of the time-based awards.</w:t>
      </w:r>
    </w:p>
    <w:p>
      <w:pPr>
        <w:ind w:left="760" w:right="380" w:hanging="372"/>
        <w:spacing w:after="0" w:line="26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May 28, 2013 in connection with our 2013-2016 LTIP and represent unearned and unvested performance-based awards. See “Compensation Components, Fiscal 2014 Compensation Decisions and 2015 Annual Incentive Plan Targets – 2013-2016 Long-Term Incentive Plan” above for more information.</w:t>
      </w:r>
    </w:p>
    <w:p>
      <w:pPr>
        <w:spacing w:after="0" w:line="5" w:lineRule="exact"/>
        <w:rPr>
          <w:rFonts w:ascii="Arial" w:cs="Arial" w:eastAsia="Arial" w:hAnsi="Arial"/>
          <w:sz w:val="18"/>
          <w:szCs w:val="18"/>
          <w:color w:val="auto"/>
        </w:rPr>
      </w:pPr>
    </w:p>
    <w:p>
      <w:pPr>
        <w:ind w:left="760" w:hanging="37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shares of unvested deferred stock that are subject to a three-year cliff vesting.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ind w:left="260" w:right="60" w:hanging="252"/>
        <w:spacing w:after="0" w:line="277"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OPTION EXERCISES AND STOCK VESTED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ind w:left="800"/>
              <w:spacing w:after="0"/>
              <w:rPr>
                <w:sz w:val="20"/>
                <w:szCs w:val="20"/>
                <w:color w:val="auto"/>
              </w:rPr>
            </w:pPr>
            <w:r>
              <w:rPr>
                <w:rFonts w:ascii="Arial" w:cs="Arial" w:eastAsia="Arial" w:hAnsi="Arial"/>
                <w:sz w:val="14"/>
                <w:szCs w:val="14"/>
                <w:b w:val="1"/>
                <w:bCs w:val="1"/>
                <w:color w:val="auto"/>
              </w:rPr>
              <w:t>Option Awards</w:t>
            </w:r>
          </w:p>
        </w:tc>
        <w:tc>
          <w:tcPr>
            <w:tcW w:w="2600" w:type="dxa"/>
            <w:vAlign w:val="bottom"/>
            <w:gridSpan w:val="5"/>
          </w:tcPr>
          <w:p>
            <w:pPr>
              <w:ind w:left="840"/>
              <w:spacing w:after="0"/>
              <w:rPr>
                <w:sz w:val="20"/>
                <w:szCs w:val="20"/>
                <w:color w:val="auto"/>
              </w:rPr>
            </w:pPr>
            <w:r>
              <w:rPr>
                <w:rFonts w:ascii="Arial" w:cs="Arial" w:eastAsia="Arial" w:hAnsi="Arial"/>
                <w:sz w:val="14"/>
                <w:szCs w:val="14"/>
                <w:b w:val="1"/>
                <w:bCs w:val="1"/>
                <w:color w:val="auto"/>
              </w:rPr>
              <w:t>Stock Awards</w:t>
            </w:r>
          </w:p>
        </w:tc>
      </w:tr>
      <w:tr>
        <w:trPr>
          <w:trHeight w:val="143"/>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 Realized</w:t>
            </w:r>
          </w:p>
        </w:tc>
      </w:tr>
      <w:tr>
        <w:trPr>
          <w:trHeight w:val="149"/>
        </w:trPr>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r>
      <w:tr>
        <w:trPr>
          <w:trHeight w:val="223"/>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353,010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tcPr>
          <w:p>
            <w:pPr>
              <w:spacing w:after="0"/>
              <w:rPr>
                <w:sz w:val="19"/>
                <w:szCs w:val="19"/>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67,929</w:t>
            </w:r>
          </w:p>
        </w:tc>
        <w:tc>
          <w:tcPr>
            <w:tcW w:w="100" w:type="dxa"/>
            <w:vAlign w:val="bottom"/>
          </w:tcPr>
          <w:p>
            <w:pPr>
              <w:spacing w:after="0"/>
              <w:rPr>
                <w:sz w:val="19"/>
                <w:szCs w:val="19"/>
                <w:color w:val="auto"/>
              </w:rPr>
            </w:pPr>
          </w:p>
        </w:tc>
      </w:tr>
      <w:tr>
        <w:trPr>
          <w:trHeight w:val="230"/>
        </w:trPr>
        <w:tc>
          <w:tcPr>
            <w:tcW w:w="6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98,997</w:t>
            </w:r>
          </w:p>
        </w:tc>
        <w:tc>
          <w:tcPr>
            <w:tcW w:w="100" w:type="dxa"/>
            <w:vAlign w:val="bottom"/>
            <w:shd w:val="clear" w:color="auto" w:fill="CFF0FC"/>
          </w:tcPr>
          <w:p>
            <w:pPr>
              <w:spacing w:after="0"/>
              <w:rPr>
                <w:sz w:val="19"/>
                <w:szCs w:val="19"/>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38,801</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280" w:right="300" w:hanging="272"/>
        <w:spacing w:after="0" w:line="302" w:lineRule="auto"/>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have no accumulated benefits.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31, 2015: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(b)</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 xml:space="preserve">Equity compensation plans approved by security holders </w:t>
            </w:r>
            <w:r>
              <w:rPr>
                <w:rFonts w:ascii="Arial" w:cs="Arial" w:eastAsia="Arial" w:hAnsi="Arial"/>
                <w:sz w:val="15"/>
                <w:szCs w:val="15"/>
                <w:color w:val="auto"/>
                <w:w w:val="92"/>
              </w:rPr>
              <w:t>(1)</w:t>
            </w:r>
          </w:p>
        </w:tc>
        <w:tc>
          <w:tcPr>
            <w:tcW w:w="1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2,965,302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1,122,627</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355,812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1,478,439</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500" w:right="80" w:hanging="351"/>
        <w:spacing w:after="0" w:line="302" w:lineRule="auto"/>
        <w:tabs>
          <w:tab w:leader="none" w:pos="1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During fiscal 2014, we had one stockholder-approved equity compensation plan, our 2006 Incentive Compensation Plan (as amended, the “2006 Plan”). Pursuant to the 2006 Plan, at January 31, 2015, we had a total of 7,250,000 shares authorized for issuance, of which 1,122,627 shares were available for future issuances. At January 31, 2015, we had 2,747,802 options outstanding. We also had 217,500 options still outstanding as part of our 1992 Stock Incentive Plan (the “1992 Plan”). No further grants can be made under the 1992 Plan.</w:t>
      </w:r>
    </w:p>
    <w:p>
      <w:pPr>
        <w:spacing w:after="0" w:line="46" w:lineRule="exact"/>
        <w:rPr>
          <w:sz w:val="20"/>
          <w:szCs w:val="20"/>
          <w:color w:val="auto"/>
        </w:rPr>
      </w:pPr>
    </w:p>
    <w:p>
      <w:pPr>
        <w:ind w:left="1520" w:right="180"/>
        <w:spacing w:after="0" w:line="302" w:lineRule="auto"/>
        <w:rPr>
          <w:sz w:val="20"/>
          <w:szCs w:val="20"/>
          <w:color w:val="auto"/>
        </w:rPr>
      </w:pPr>
      <w:r>
        <w:rPr>
          <w:rFonts w:ascii="Arial" w:cs="Arial" w:eastAsia="Arial" w:hAnsi="Arial"/>
          <w:sz w:val="16"/>
          <w:szCs w:val="16"/>
          <w:color w:val="auto"/>
        </w:rPr>
        <w:t>Of the 2,747,802 options outstanding at January 31, 2015, approximately 1,175,000 options are subject to the achievement of performance targets. At January 31, 2015, the performance targets were not deemed probable and as a result no compensation expense has been recognized as of January 31, 2015. See “</w:t>
      </w:r>
      <w:r>
        <w:rPr>
          <w:rFonts w:ascii="Arial" w:cs="Arial" w:eastAsia="Arial" w:hAnsi="Arial"/>
          <w:sz w:val="16"/>
          <w:szCs w:val="16"/>
          <w:i w:val="1"/>
          <w:iCs w:val="1"/>
          <w:color w:val="auto"/>
        </w:rPr>
        <w:t>Compensation Discussion and Analysis- Compensation Components, Fiscal 2014</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 and 2015Annual Incentive Plan Targets – Long- term incentive plans</w:t>
      </w:r>
      <w:r>
        <w:rPr>
          <w:rFonts w:ascii="Arial" w:cs="Arial" w:eastAsia="Arial" w:hAnsi="Arial"/>
          <w:sz w:val="16"/>
          <w:szCs w:val="16"/>
          <w:color w:val="auto"/>
        </w:rPr>
        <w:t>” for more information.</w:t>
      </w:r>
    </w:p>
    <w:p>
      <w:pPr>
        <w:spacing w:after="0" w:line="46" w:lineRule="exact"/>
        <w:rPr>
          <w:sz w:val="20"/>
          <w:szCs w:val="20"/>
          <w:color w:val="auto"/>
        </w:rPr>
      </w:pPr>
    </w:p>
    <w:p>
      <w:pPr>
        <w:ind w:left="1500" w:right="760" w:hanging="351"/>
        <w:spacing w:after="0" w:line="342" w:lineRule="auto"/>
        <w:tabs>
          <w:tab w:leader="none" w:pos="1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Pursuant to our Amended and Restated Non-Employee Director Compensation Plan (“Director Plan”), we have 500,000 shares authorized for stock issuances in lieu of cash director fees, of which 355,812 shares remained available at January 31, 2015.</w:t>
      </w:r>
    </w:p>
    <w:p>
      <w:pPr>
        <w:spacing w:after="0" w:line="15" w:lineRule="exact"/>
        <w:rPr>
          <w:rFonts w:ascii="Arial" w:cs="Arial" w:eastAsia="Arial" w:hAnsi="Arial"/>
          <w:sz w:val="16"/>
          <w:szCs w:val="16"/>
          <w:color w:val="auto"/>
        </w:rPr>
      </w:pPr>
    </w:p>
    <w:p>
      <w:pPr>
        <w:ind w:left="1500" w:right="60" w:hanging="351"/>
        <w:spacing w:after="0" w:line="308" w:lineRule="auto"/>
        <w:tabs>
          <w:tab w:leader="none" w:pos="1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2006 Plan includes a limitation of 4,250,000 shares which may be issued in the form of restricted stock, deferred stock, performance awards or other stock-based awards. At January 31, 2015, 1,015,286 shares remained subject to this limitation.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401(k) Plans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Through December 31, 2014, the Company had two defined contribution plans, the Casual Male 401(k) Salaried Plan and the Casual Male 401(k) Hourly Plan. Effective January 1, 2015, the two plans were merged and renamed the Destination XL Group, Inc. 401(k) Savings Plan (the “401(k) Plan”). Under the 401(k) Plan, the Company will offer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Inc.(JMI)</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From October 1999 through August 7, 2014, the Company had an ongoing consulting agreement with JMI to provide the Company with services as may be agreed upon, from time to time, between JMI and the Company (the “Consulting Agreement”). In connection with the execution of the Employment and Chairman Compensation Agreement discussed below, on August 7, 2014, the Company terminated the Consulting Agreement. Prior to the execution of the Employment and Chairman Compensation Agreement and through August 7, 2014, Mr. Holtzman was primarily compensated by the Company for his services pursuant to this Consulting Agreement. Under the terms of the Consulting Agreement at the time of its termination, Mr. Holtzman was entitled to receive annual consulting compensation of $372,750 and a salary of $24,000.</w:t>
      </w:r>
    </w:p>
    <w:p>
      <w:pPr>
        <w:spacing w:after="0" w:line="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On August 7, 2014, the Company entered into an Employment and Chairman Compensation Agreement with Mr. Holtzman. Pursuant to the terms of the agreement, Mr. Holtzman serves as both an employee of the Company, reporting to the Board, and, in his capacity as Chairman of the Board, as Executive Chairman, with the duties of the Chairman of the Board as set forth in the Company’s Third Amended and Restated By-Laws. The initial term of the agreement is for two years. Commencing August 7, 2015, the agreement can be automatically extended for an additional one-year term on each anniversary date. As compensation for the employment services, Mr. Holtzman receives an annual base salary of $24,000 and, as compensation for his services as Executive Chairman, Mr. Holtzman receives annual compensation of $372,750. A complete summary of all compensation and consulting fees paid to Mr. Holtzman is described above under “</w:t>
      </w:r>
      <w:r>
        <w:rPr>
          <w:rFonts w:ascii="Arial" w:cs="Arial" w:eastAsia="Arial" w:hAnsi="Arial"/>
          <w:sz w:val="17"/>
          <w:szCs w:val="17"/>
          <w:i w:val="1"/>
          <w:iCs w:val="1"/>
          <w:color w:val="auto"/>
        </w:rPr>
        <w:t>Director Compensation- Executive Chairman Compensation.</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Due to Mr. Holtzman’s role as our Executive Chairman of the Board of Directors and the relevance of the services he provides on a consulting basis, our Compensation Committee had the primary responsibility for reviewing and approving all amendments to the consulting agreement since March 2000. In addition, the Compensation Committee was responsible for the review and approval of the Employment and Chairman Compensation Agreement dated August 7, 2014.</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would be the primary responsibility of the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2014, we believe that the Reporting Persons complied with all applicable Section 16(a) reporting requirements and that all required reports were filed in a timely manner, with the exception of Mr. Ederle, who filed a late Form 4 on April 7, 2015 for a sale of 60 shares on May 24, 2011.</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TO REAPPROVE THE PERFORMANCE MEASURES UNDER THE COMPANY’S 2006 INCENTIVE COMPENSATION PLAN FOR PURPOSES OF SECTION 162(M) OF THE INTERNAL REVENUE CODE.</w:t>
      </w:r>
    </w:p>
    <w:p>
      <w:pPr>
        <w:spacing w:after="0" w:line="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Board of Directors is seeking stockholder reapproval of the Company’s 2006 Incentive Compensation Plan, as previously amended (the “2006 Plan”), which is required every five years in order to preserve tax deductibility under Section 162(m) of the Internal Revenue Code (“Section 162(m)”). The last time the 2006 Plan was reapproved by stockholders for this purpose was August 5, 2010. As a result, the 2006 Plan must be reapproved this year to preserve our ability to deduct for tax purposes certain compensation granted under the 2006 Plan under Section 162(m). </w:t>
      </w:r>
      <w:r>
        <w:rPr>
          <w:rFonts w:ascii="Arial" w:cs="Arial" w:eastAsia="Arial" w:hAnsi="Arial"/>
          <w:sz w:val="16"/>
          <w:szCs w:val="16"/>
          <w:b w:val="1"/>
          <w:bCs w:val="1"/>
          <w:color w:val="auto"/>
        </w:rPr>
        <w:t>Stockholders are not being asked to approve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any amendments to the 2006 Plan or any increase in the number of shares available to be granted under the 2006 Plan. </w:t>
      </w:r>
      <w:r>
        <w:rPr>
          <w:rFonts w:ascii="Arial" w:cs="Arial" w:eastAsia="Arial" w:hAnsi="Arial"/>
          <w:sz w:val="16"/>
          <w:szCs w:val="16"/>
          <w:color w:val="auto"/>
        </w:rPr>
        <w:t>The 2006 Plan is summarized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below and is qualified in its entirety by reference to the full text of the 2006 Plan, which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The summary of the 2006 Plan may not contain all the information that is important to you and you should read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carefully before you decide how to vote.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Proposal</w:t>
      </w:r>
    </w:p>
    <w:p>
      <w:pPr>
        <w:spacing w:after="0" w:line="13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2006 Plan was originally approved by our stockholders on July 31, 2006, and subsequently amended with stockholder approval on August 27, 2009, August 5, 2010 and August 1, 2013. The purpose of the 2006 Plan is to provide a means for us to provide a source of equity to attract, retain and reward high-quality executives and other key employees, officers, directors and consultants. A further purpose of the 2006 Plan is to provide participants with additional incentive and reward opportunities designed to enhance our profitable growth, and provide participants with annual and long-term performance incentives to expend their maximum efforts in the creation of stockholder value.</w:t>
      </w:r>
    </w:p>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submitting the 2006 Plan to our stockholders for approval in order to protect our ability to deduct for federal income tax purposes under Section 162(m) for amounts paid under the 2006 Plan to certain employees. Section 162(m) generally provides that the federal income tax deductibility of compensation paid to a “covered employee” may be limited to the extent such compensation exceeds $1 million in any taxable year. Generally, covered employees are our chief executive officer and the three other most highly paid executive officers (other than the chief financial officer). However, we may deduct compensation paid to these covered employees in excess of $1 million if it qualifies as “performance-based” compensation within the meaning of Section 162(m). In order for a plan award to constitute performance-based compensation, the award must, among other things, be subject to objective performance measures and the material terms of the performance goals must be disclosed to and approved by stockholders every five years. Because the 2006 Plan authorizes the Compensation Committee to select the appropriate target levels of performance to be achieved, stockholder approval of the material terms of the performance goals is required no later than this year’s annual meeting if we are to continue to be able to deduct certain compensation under the 2006 Plan beyond 2015.</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Accordingly, by approving this proposal, the stockholders will be reapproving the material terms of the 2006 Plan, including the performance goals for performance-based awards, as described in the summary of the 2006 Plan below.</w:t>
      </w:r>
    </w:p>
    <w:p>
      <w:pPr>
        <w:spacing w:after="0" w:line="19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Submission of the material terms of the 2006 Plan and the performance goals for performance-based awards should not be viewed as a guarantee that we can deduct all compensation under the 2006 Plan. While reapproval of the performance goals is required for compensation to qualify as “performance-based” compensation under Section 162(m), not all 2006 Plan awards or other compensation approved by the Compensation Committee are intended to qualify, or if intended to qualify, will qualify as “performance-based” compensation or otherwise be deductible. Nothing in this proposal precludes us from making any payment or granting awards that do not qualify for tax deductibility under Section 162(m).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Incentive Compensation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117"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color w:val="auto"/>
        </w:rPr>
        <w:t>Under the 2006 Plan, the total number of shares of common stock that may be subject to the granting of awards under the 2006 Plan shall be equal to 7,250,000 shares, plus the number of shares with respect to which awards previously granted thereunder terminate without being exercised; provided, however, that the maximum number of shares that may be subject to the granting of awards other than stock options and SARs shall not exceed 4,250,000 shares.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right="60"/>
        <w:spacing w:after="0" w:line="270" w:lineRule="auto"/>
        <w:rPr>
          <w:sz w:val="20"/>
          <w:szCs w:val="20"/>
          <w:color w:val="auto"/>
        </w:rPr>
      </w:pPr>
      <w:r>
        <w:rPr>
          <w:rFonts w:ascii="Arial" w:cs="Arial" w:eastAsia="Arial" w:hAnsi="Arial"/>
          <w:sz w:val="17"/>
          <w:szCs w:val="17"/>
          <w:color w:val="auto"/>
        </w:rPr>
        <w:t>In addition, the 2006 Plan imposes individual limitations on the amount of certain awards in part to comply with Section 162(m). Under these limitations, during any fiscal year the number of options, SARs, restricted shares of common stock, deferred shares of common stock, shares issued as a bonus or in lieu of other Company obligations, and other stock-based awards, other than performance units,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2006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Compensation Committee.</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Committee members must be "non-employee directors" as defined by Rule 16b-3 of the Exchange Act, "outside directors" for purposes of Section 162(m) and independent as defined by Nasdaq or any other national securities exchange on which any securities of the Company may be listed for trading in the future. However, except as otherwise required to comply with Rule 16b-3 of the Exchange Act or Section 162(m),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 and SARs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2006 Plan also permits net share settlement of nonqualified stock options. Methods of exercise and settlement and other terms of the SARs are determined by the Committee.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1" w:name="page42"/>
    <w:bookmarkEnd w:id="41"/>
    <w:p>
      <w:pPr>
        <w:spacing w:after="0" w:line="293" w:lineRule="auto"/>
        <w:rPr>
          <w:sz w:val="20"/>
          <w:szCs w:val="20"/>
          <w:color w:val="auto"/>
        </w:rPr>
      </w:pPr>
      <w:r>
        <w:rPr>
          <w:rFonts w:ascii="Arial" w:cs="Arial" w:eastAsia="Arial" w:hAnsi="Arial"/>
          <w:sz w:val="16"/>
          <w:szCs w:val="16"/>
          <w:color w:val="auto"/>
        </w:rPr>
        <w:t>Other than in connection with standard adjustments (as set forth in Section 10(c) of the 2006 Plan), (i) the terms of outstanding options or SARs may not be amended to reduce the exercise price per share of such options or SARs,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price of such option or SAR or (b) options or SARs with an exercise price per share that is less than the exercise price per share of the original option or SAR and (iii) the Committee shall not be permitted to take any other action with respect to an option or SAR that may be treated as a repricing, in each case, without approval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and Deferred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Equivalents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Section 162(m). For purposes of Section 162(m), the term "covered employee" means our chief executive officer and the three highest compensated officers other than the chief executive and chief financial officers. If and to the extent required under Section 162(m), any power or authority relating to a performance award intended to qualify under Section 162(m) is to be exercised by the Committee, not our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right="20"/>
        <w:spacing w:after="0" w:line="267" w:lineRule="auto"/>
        <w:rPr>
          <w:sz w:val="20"/>
          <w:szCs w:val="20"/>
          <w:color w:val="auto"/>
        </w:rPr>
      </w:pPr>
      <w:r>
        <w:rPr>
          <w:rFonts w:ascii="Arial" w:cs="Arial" w:eastAsia="Arial" w:hAnsi="Arial"/>
          <w:sz w:val="17"/>
          <w:szCs w:val="17"/>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 (5) return on net assets; (6) return on investment; (7) return on capital; (8) return on equity; (9) economic value added; (10) direct contribution; (11) net income; (12) pretax earnings; (13) earnings before interest and taxes; (14) earnings before interest, taxes, depreciation and amortization; (15) earnings after interest expense and before extraordinary or special items; (16) operating income; (17) income before interest income or expense, unusual items and income taxes, local, state or federal and excluding budgeted and actual bonuses which might be paid under any ongoing bonus plans of ours; (18) working capital; (19) management of fixed costs or variable costs; (20) identification or consummation of investment opportunities or completion of specified projects in accordance with corporate business plans, including strategic mergers, acquisitions or divestitures; (21) total stockholder return; (22) debt reduction; and (23)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w:t>
      </w:r>
    </w:p>
    <w:p>
      <w:pPr>
        <w:spacing w:after="0" w:line="2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Awards under the 2006 Plan are generally granted without a requirement that the participant pay consideration in the form of cash or property for the grant (as distinguished from the exercise), except to the extent required by law. Subject to the prohibition on repricings and certain exchanges with respect to options and SARs, as described above under “Stock Options and SARs,”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 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there are no further rights or obligations with respect to outstanding awards under the 2006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3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2006 Plan is not qualified under the provisions of Section 401(a) of the Internal Revenue Code and is not subject to any of the provisions of the Employee Retirement Income Security Act of 1974.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8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4" w:name="page45"/>
    <w:bookmarkEnd w:id="44"/>
    <w:p>
      <w:pPr>
        <w:ind w:right="40"/>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3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Section 162 Limitations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162(m)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benefits that will be awarded under the 2006 Plan cannot currently be determined. Awards granted under the 2006 Plan are within the discretion of the Compensation Committee, and the committee has not determined future awards or who might receive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affirmative vote of a majority of the votes properly cast is required for approval of Proposal 2. Any abstentions and broker non-votes will not be counted as votes cast on this proposal and, accordingly, will have no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reapproval of the performance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the Company’s 2006 Incentive Compensation Plan for purposes of Section 162(m)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under the Dodd-Frank Wall Street Reform and Consumer Protection Act of 2010 (the "Dodd-Frank Act"), and in accordance with the recommendation by our Board of Directors and approval by our stockholders of an annual "Say on 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147"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xml:space="preserve"> section of this Proxy Statement, including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describes in detail our executive compensation programs and the decisions made by the Compensation Committee with respect to fiscal 2014.</w:t>
      </w:r>
    </w:p>
    <w:tbl>
      <w:tblPr>
        <w:tblLayout w:type="fixed"/>
        <w:tblInd w:w="0" w:type="dxa"/>
        <w:tblCellMar>
          <w:top w:w="0" w:type="dxa"/>
          <w:left w:w="0" w:type="dxa"/>
          <w:bottom w:w="0" w:type="dxa"/>
          <w:right w:w="0" w:type="dxa"/>
        </w:tblCellMar>
      </w:tblP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2014 Annual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Vested Cash</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2014</w:t>
            </w:r>
          </w:p>
        </w:tc>
        <w:tc>
          <w:tcPr>
            <w:tcW w:w="0" w:type="dxa"/>
            <w:vAlign w:val="bottom"/>
          </w:tcPr>
          <w:p>
            <w:pPr>
              <w:spacing w:after="0"/>
              <w:rPr>
                <w:sz w:val="1"/>
                <w:szCs w:val="1"/>
                <w:color w:val="auto"/>
              </w:rPr>
            </w:pPr>
          </w:p>
        </w:tc>
      </w:tr>
      <w:tr>
        <w:trPr>
          <w:trHeight w:val="68"/>
        </w:trPr>
        <w:tc>
          <w:tcPr>
            <w:tcW w:w="566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53"/>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Portion of 2013-</w:t>
            </w:r>
          </w:p>
        </w:tc>
        <w:tc>
          <w:tcPr>
            <w:tcW w:w="200" w:type="dxa"/>
            <w:vAlign w:val="bottom"/>
          </w:tcPr>
          <w:p>
            <w:pPr>
              <w:spacing w:after="0"/>
              <w:rPr>
                <w:sz w:val="5"/>
                <w:szCs w:val="5"/>
                <w:color w:val="auto"/>
              </w:rPr>
            </w:pPr>
          </w:p>
        </w:tc>
        <w:tc>
          <w:tcPr>
            <w:tcW w:w="820" w:type="dxa"/>
            <w:vAlign w:val="bottom"/>
            <w:vMerge w:val="restart"/>
          </w:tcPr>
          <w:p>
            <w:pPr>
              <w:jc w:val="right"/>
              <w:ind w:right="253"/>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93"/>
        </w:trPr>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2016 LTIP</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855,573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1,788,362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Peter H. Stratton, Jr.</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257,443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113,462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24,347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John E. Kyees</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Kenneth M. Ederle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343,269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149,713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21,662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537,394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332,308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27,486</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Derrick Walker</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293,269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128,049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24,806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465,374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executive compensation program include the following:</w:t>
      </w:r>
    </w:p>
    <w:p>
      <w:pPr>
        <w:spacing w:after="0" w:line="117" w:lineRule="exact"/>
        <w:rPr>
          <w:sz w:val="20"/>
          <w:szCs w:val="20"/>
          <w:color w:val="auto"/>
        </w:rPr>
      </w:pPr>
    </w:p>
    <w:p>
      <w:pPr>
        <w:ind w:left="780" w:right="100" w:hanging="254"/>
        <w:spacing w:after="0" w:line="264"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Because there was no opportunity for a performance-based payout from the 2013-2016 LTIP for fiscal 2014, the only potential performance-based compensation for fiscal 2014 was an annual cash incentive under our annual incentive plan (or “AIP”) based on achievement of specified performance goals for fiscal 2014.</w:t>
      </w:r>
    </w:p>
    <w:p>
      <w:pPr>
        <w:spacing w:after="0" w:line="73" w:lineRule="exact"/>
        <w:rPr>
          <w:rFonts w:ascii="Arial" w:cs="Arial" w:eastAsia="Arial" w:hAnsi="Arial"/>
          <w:sz w:val="18"/>
          <w:szCs w:val="18"/>
          <w:color w:val="auto"/>
        </w:rPr>
      </w:pPr>
    </w:p>
    <w:p>
      <w:pPr>
        <w:ind w:left="780" w:right="160" w:hanging="254"/>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More than 50% of our CEO’s compensation and more than 25% of Messrs. Stratton, Ederle, Molloy and Walker’s compensation was the result of performance-based earnings.</w:t>
      </w:r>
    </w:p>
    <w:p>
      <w:pPr>
        <w:spacing w:after="0" w:line="62" w:lineRule="exact"/>
        <w:rPr>
          <w:rFonts w:ascii="Arial" w:cs="Arial" w:eastAsia="Arial" w:hAnsi="Arial"/>
          <w:sz w:val="18"/>
          <w:szCs w:val="18"/>
          <w:color w:val="auto"/>
        </w:rPr>
      </w:pPr>
    </w:p>
    <w:p>
      <w:pPr>
        <w:ind w:left="780" w:right="160" w:hanging="254"/>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CEO’s base salary has remained flat since fiscal 2010 and therefore his only opportunity for increased compensation is through our incentive programs.</w:t>
      </w:r>
    </w:p>
    <w:p>
      <w:pPr>
        <w:spacing w:after="0" w:line="62" w:lineRule="exact"/>
        <w:rPr>
          <w:rFonts w:ascii="Arial" w:cs="Arial" w:eastAsia="Arial" w:hAnsi="Arial"/>
          <w:sz w:val="18"/>
          <w:szCs w:val="18"/>
          <w:color w:val="auto"/>
        </w:rPr>
      </w:pPr>
    </w:p>
    <w:p>
      <w:pPr>
        <w:ind w:left="780" w:right="240" w:hanging="254"/>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for Mr. Ederle’s salary adjustment due to his additional responsibilities, base salaries for our CEO and Senior Executives will remain flat for fiscal 2015.</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2014 compensation of the Named Executive Officers.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1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2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left="5160"/>
        <w:spacing w:after="0"/>
        <w:rPr>
          <w:sz w:val="20"/>
          <w:szCs w:val="20"/>
          <w:color w:val="auto"/>
        </w:rPr>
      </w:pPr>
      <w:r>
        <w:rPr>
          <w:rFonts w:ascii="Arial" w:cs="Arial" w:eastAsia="Arial" w:hAnsi="Arial"/>
          <w:sz w:val="18"/>
          <w:szCs w:val="18"/>
          <w:b w:val="1"/>
          <w:bCs w:val="1"/>
          <w:color w:val="auto"/>
        </w:rPr>
        <w:t>PROPOSAL 4</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30, 2016, subject to completion of KPMG’s customary client acceptance procedures.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KPMG has served as our independent registered public accounting firm since June 6, 2013. Prior to the engagement of KPMG, Ernst &amp; Young LLP (“Ernst &amp; Young”) served as our independent registered public accounting firm from October 2000 until June 6, 2013. Ernst &amp; Young’s reports on the Company’s financial statements for the fiscal year ended February 2, 2013 did not contain an adverse opinion or disclaimer of opinion, and were not qualified or modified as to uncertainty, audit scope or accounting principles. During the fiscal year ended February 2, 2013 and the subsequent period through June 6, 2013, (i) there were no disagreements between the Company and Ernst &amp; Young on any matter of accounting principles or practices, financial statement disclosure or auditing scope or procedure which, if not resolved to the satisfaction of Ernst &amp; Young, would have caused Ernst &amp; Young to make reference to the matter in its report on the Company’s financial statements; and (ii) there were no reportable events as the term is described in Item 304(a)(1)(v) of Regulation S-K. During the fiscal years ended January 28, 2012 and February 2, 2013, and through June 6, 2013, neither the Company nor anyone acting on its behalf consulted with KPMG regarding any of the matters or events described in Items 304(a)(2)(i) and (ii) of Regulation S-K.</w:t>
      </w:r>
    </w:p>
    <w:p>
      <w:pPr>
        <w:spacing w:after="0" w:line="16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firms for the fiscal years ended January 31, 2015 (“fiscal 2014”) and February 1, 2014 (“fiscal 2013”):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2014</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2013</w:t>
            </w:r>
          </w:p>
        </w:tc>
      </w:tr>
      <w:tr>
        <w:trPr>
          <w:trHeight w:val="223"/>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555,509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Audit-related fees (2)</w:t>
            </w:r>
          </w:p>
        </w:tc>
        <w:tc>
          <w:tcPr>
            <w:tcW w:w="2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Tax fees (3)</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(4)</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FF0FC"/>
            </w:tcBorders>
          </w:tcPr>
          <w:p>
            <w:pPr>
              <w:spacing w:after="0"/>
              <w:rPr>
                <w:sz w:val="19"/>
                <w:szCs w:val="19"/>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557,159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280" w:right="20" w:hanging="272"/>
        <w:spacing w:after="0" w:line="264"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 fees relate to professional services rendered in connection with the audits of our financial statements included in our Annual Reports on Form 10-K for fiscal 2014 and fiscal 2013, for services performed related to compliance with Section 404 of the Sarbanes-Oxley Act of 2002, reviews of the financial statements included in each of our Quarterly Reports on Form 10-Q.</w:t>
      </w:r>
    </w:p>
    <w:p>
      <w:pPr>
        <w:spacing w:after="0" w:line="73" w:lineRule="exact"/>
        <w:rPr>
          <w:rFonts w:ascii="Arial" w:cs="Arial" w:eastAsia="Arial" w:hAnsi="Arial"/>
          <w:sz w:val="18"/>
          <w:szCs w:val="18"/>
          <w:color w:val="auto"/>
        </w:rPr>
      </w:pPr>
    </w:p>
    <w:p>
      <w:pPr>
        <w:ind w:left="280" w:right="720" w:hanging="272"/>
        <w:spacing w:after="0" w:line="277"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Audit-related fees, if any, comprise fees for professional services that reasonably relate to the performance of the audit or review of our financial statements.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fees, if any, relate to professional services rendered in comment with tax audits or tax planning services.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fees relate to an annual fee for online accounting research tools.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firm. Pursuant to this policy, the Audit Committee will consider annually and, if appropriate, approve the provision of audit services (including audit review and attest services) by our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affirmative vote of a majority of the votes properly cast is required for the ratification of the appointment of KPMG LLP as our independent registered public accounting firm for the fiscal year ending January 30, 2016. Any abstentions will not be counted as votes cast on this proposal and, accordingly, will have no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30, 2016.</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is responsible for expressing an opinion on the conformity of our audited consolidated financial statements for the fiscal year ended January 31, 2015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five meetings during the fiscal year ended January 31, 2015.</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31, 2015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February 1, 2014 a report by management on our assessment of our internal control over financial reporting, including management’s assessment of the</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effectiveness of such internal control. KPMG LLP has issued an audit report relative to our internal control over financial reporting at January 31, 2015. During the course of fiscal 2014,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January 31, 2015.</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http://investor.destinationxl.com.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Willem Mesdag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w:t>
      </w:r>
    </w:p>
    <w:p>
      <w:pPr>
        <w:spacing w:after="0" w:line="27" w:lineRule="exact"/>
        <w:rPr>
          <w:sz w:val="20"/>
          <w:szCs w:val="20"/>
          <w:color w:val="auto"/>
        </w:rPr>
      </w:pPr>
    </w:p>
    <w:p>
      <w:pPr>
        <w:ind w:right="60" w:firstLine="8"/>
        <w:spacing w:after="0" w:line="323" w:lineRule="auto"/>
        <w:tabs>
          <w:tab w:leader="none" w:pos="1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Mooney was appointed to the Audit Committee on May 14, 2015. He did not participate in the review and discussions relating to the audit of the Company’s consolidated financial statements for the year ended January 31, 2015. Mr. Bernikow was a member of the Audit Committee until May 14, 2015.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16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http://investor.destinationxl.com.</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or via the “contact us” dropdown on the investor page of our website. We will send you a copy of the Proxy Statement promptly after we receive your request.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2016 Annual Meeting of Stockholders, the proposal must be received by the Secretary of our Company at our principal executive offices by March 4, 2016 (120 days before the anniversary of the date this Proxy Statement is being mailed to our stockholders).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2016 Annual Meeting, a stockholder must deliver the requisite notice of such item to the Secretary of our Company not before April 15, 2016 or after May 15, 2016.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ind w:right="-15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2080"/>
        <w:spacing w:after="0"/>
        <w:rPr>
          <w:sz w:val="20"/>
          <w:szCs w:val="20"/>
          <w:color w:val="auto"/>
        </w:rPr>
      </w:pPr>
      <w:r>
        <w:rPr>
          <w:rFonts w:ascii="Arial" w:cs="Arial" w:eastAsia="Arial" w:hAnsi="Arial"/>
          <w:sz w:val="25"/>
          <w:szCs w:val="25"/>
          <w:b w:val="1"/>
          <w:bCs w:val="1"/>
          <w:color w:val="auto"/>
        </w:rPr>
        <w:t>2006 INCENTIVE COMPENSATION PLAN</w:t>
      </w:r>
    </w:p>
    <w:p>
      <w:pPr>
        <w:spacing w:after="0" w:line="6"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(as amended and restated effective as of August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849630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2006 INCENTIVE COMPENSATION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amended and restated effective as of August 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1.</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Purpose</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A-1</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2.</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Definitions</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A-1</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3.</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Administration</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A-5</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4.</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Shares Subject to Plan</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A-6</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5.</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Eligibility; Per-Person Award Limitations</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A-7</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Specific Terms of Awards</w:t>
            </w:r>
          </w:p>
        </w:tc>
        <w:tc>
          <w:tcPr>
            <w:tcW w:w="4220" w:type="dxa"/>
            <w:vAlign w:val="bottom"/>
          </w:tcPr>
          <w:p>
            <w:pPr>
              <w:jc w:val="center"/>
              <w:ind w:left="3290"/>
              <w:spacing w:after="0"/>
              <w:rPr>
                <w:sz w:val="20"/>
                <w:szCs w:val="20"/>
                <w:color w:val="auto"/>
              </w:rPr>
            </w:pPr>
            <w:r>
              <w:rPr>
                <w:rFonts w:ascii="Arial" w:cs="Arial" w:eastAsia="Arial" w:hAnsi="Arial"/>
                <w:sz w:val="18"/>
                <w:szCs w:val="18"/>
                <w:color w:val="auto"/>
                <w:w w:val="99"/>
              </w:rPr>
              <w:t>A-7</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7.</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Certain Provisions Applicable to Awards</w:t>
            </w:r>
          </w:p>
        </w:tc>
        <w:tc>
          <w:tcPr>
            <w:tcW w:w="4220" w:type="dxa"/>
            <w:vAlign w:val="bottom"/>
          </w:tcPr>
          <w:p>
            <w:pPr>
              <w:jc w:val="center"/>
              <w:ind w:left="3310"/>
              <w:spacing w:after="0"/>
              <w:rPr>
                <w:sz w:val="20"/>
                <w:szCs w:val="20"/>
                <w:color w:val="auto"/>
              </w:rPr>
            </w:pPr>
            <w:r>
              <w:rPr>
                <w:rFonts w:ascii="Arial" w:cs="Arial" w:eastAsia="Arial" w:hAnsi="Arial"/>
                <w:sz w:val="18"/>
                <w:szCs w:val="18"/>
                <w:color w:val="auto"/>
                <w:w w:val="99"/>
              </w:rPr>
              <w:t>A-12</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8.</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Code Section 162(m) Provisions</w:t>
            </w:r>
          </w:p>
        </w:tc>
        <w:tc>
          <w:tcPr>
            <w:tcW w:w="4220" w:type="dxa"/>
            <w:vAlign w:val="bottom"/>
          </w:tcPr>
          <w:p>
            <w:pPr>
              <w:jc w:val="center"/>
              <w:ind w:left="3310"/>
              <w:spacing w:after="0"/>
              <w:rPr>
                <w:sz w:val="20"/>
                <w:szCs w:val="20"/>
                <w:color w:val="auto"/>
              </w:rPr>
            </w:pPr>
            <w:r>
              <w:rPr>
                <w:rFonts w:ascii="Arial" w:cs="Arial" w:eastAsia="Arial" w:hAnsi="Arial"/>
                <w:sz w:val="18"/>
                <w:szCs w:val="18"/>
                <w:color w:val="auto"/>
                <w:w w:val="99"/>
              </w:rPr>
              <w:t>A-14</w:t>
            </w:r>
          </w:p>
        </w:tc>
      </w:tr>
      <w:tr>
        <w:trPr>
          <w:trHeight w:val="216"/>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92"/>
              </w:rPr>
              <w:t>9.</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Change in Control</w:t>
            </w:r>
          </w:p>
        </w:tc>
        <w:tc>
          <w:tcPr>
            <w:tcW w:w="4220" w:type="dxa"/>
            <w:vAlign w:val="bottom"/>
          </w:tcPr>
          <w:p>
            <w:pPr>
              <w:jc w:val="center"/>
              <w:ind w:left="3310"/>
              <w:spacing w:after="0"/>
              <w:rPr>
                <w:sz w:val="20"/>
                <w:szCs w:val="20"/>
                <w:color w:val="auto"/>
              </w:rPr>
            </w:pPr>
            <w:r>
              <w:rPr>
                <w:rFonts w:ascii="Arial" w:cs="Arial" w:eastAsia="Arial" w:hAnsi="Arial"/>
                <w:sz w:val="18"/>
                <w:szCs w:val="18"/>
                <w:color w:val="auto"/>
                <w:w w:val="99"/>
              </w:rPr>
              <w:t>A-15</w:t>
            </w:r>
          </w:p>
        </w:tc>
      </w:tr>
      <w:tr>
        <w:trPr>
          <w:trHeight w:val="230"/>
        </w:trPr>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10.</w:t>
            </w:r>
          </w:p>
        </w:tc>
        <w:tc>
          <w:tcPr>
            <w:tcW w:w="6740" w:type="dxa"/>
            <w:vAlign w:val="bottom"/>
          </w:tcPr>
          <w:p>
            <w:pPr>
              <w:ind w:left="100"/>
              <w:spacing w:after="0"/>
              <w:rPr>
                <w:sz w:val="20"/>
                <w:szCs w:val="20"/>
                <w:color w:val="auto"/>
              </w:rPr>
            </w:pPr>
            <w:r>
              <w:rPr>
                <w:rFonts w:ascii="Arial" w:cs="Arial" w:eastAsia="Arial" w:hAnsi="Arial"/>
                <w:sz w:val="18"/>
                <w:szCs w:val="18"/>
                <w:i w:val="1"/>
                <w:iCs w:val="1"/>
                <w:color w:val="auto"/>
              </w:rPr>
              <w:t>General Provisions</w:t>
            </w:r>
          </w:p>
        </w:tc>
        <w:tc>
          <w:tcPr>
            <w:tcW w:w="4220" w:type="dxa"/>
            <w:vAlign w:val="bottom"/>
          </w:tcPr>
          <w:p>
            <w:pPr>
              <w:jc w:val="center"/>
              <w:ind w:left="3310"/>
              <w:spacing w:after="0"/>
              <w:rPr>
                <w:sz w:val="20"/>
                <w:szCs w:val="20"/>
                <w:color w:val="auto"/>
              </w:rPr>
            </w:pPr>
            <w:r>
              <w:rPr>
                <w:rFonts w:ascii="Arial" w:cs="Arial" w:eastAsia="Arial" w:hAnsi="Arial"/>
                <w:sz w:val="18"/>
                <w:szCs w:val="18"/>
                <w:color w:val="auto"/>
                <w:w w:val="99"/>
              </w:rPr>
              <w:t>A-16</w:t>
            </w:r>
          </w:p>
        </w:tc>
      </w:tr>
      <w:tr>
        <w:trPr>
          <w:trHeight w:val="2735"/>
        </w:trPr>
        <w:tc>
          <w:tcPr>
            <w:tcW w:w="48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25"/>
          <w:szCs w:val="25"/>
          <w:b w:val="1"/>
          <w:bCs w:val="1"/>
          <w:color w:val="auto"/>
        </w:rPr>
        <w:t>DESTINATION XL GROUP, INC.</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INCENTIVE COMPENSATION PLAN</w:t>
      </w:r>
    </w:p>
    <w:p>
      <w:pPr>
        <w:spacing w:after="0" w:line="212" w:lineRule="exact"/>
        <w:rPr>
          <w:sz w:val="20"/>
          <w:szCs w:val="20"/>
          <w:color w:val="auto"/>
        </w:rPr>
      </w:pPr>
    </w:p>
    <w:p>
      <w:pPr>
        <w:ind w:right="80" w:firstLine="769"/>
        <w:spacing w:after="0" w:line="275" w:lineRule="auto"/>
        <w:tabs>
          <w:tab w:leader="none" w:pos="1572"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Purpose</w:t>
      </w:r>
      <w:r>
        <w:rPr>
          <w:rFonts w:ascii="Arial" w:cs="Arial" w:eastAsia="Arial" w:hAnsi="Arial"/>
          <w:sz w:val="19"/>
          <w:szCs w:val="19"/>
          <w:color w:val="auto"/>
        </w:rPr>
        <w:t>. The purpose of this DESTINATION XL GROUP, INC. 2006 INCENTIVE COMPENSATION PLAN</w:t>
      </w:r>
      <w:r>
        <w:rPr>
          <w:rFonts w:ascii="Arial" w:cs="Arial" w:eastAsia="Arial" w:hAnsi="Arial"/>
          <w:sz w:val="19"/>
          <w:szCs w:val="19"/>
          <w:i w:val="1"/>
          <w:iCs w:val="1"/>
          <w:color w:val="auto"/>
        </w:rPr>
        <w:t xml:space="preserve"> </w:t>
      </w:r>
      <w:r>
        <w:rPr>
          <w:rFonts w:ascii="Arial" w:cs="Arial" w:eastAsia="Arial" w:hAnsi="Arial"/>
          <w:sz w:val="19"/>
          <w:szCs w:val="19"/>
          <w:color w:val="auto"/>
        </w:rPr>
        <w:t>(the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was originally adopted effective as of July 31, 2006, was amended effective as of August 27, 2009, August 5, 2010, and was further amended effective as of August 1, 2013.</w:t>
      </w:r>
    </w:p>
    <w:p>
      <w:pPr>
        <w:spacing w:after="0" w:line="158" w:lineRule="exact"/>
        <w:rPr>
          <w:rFonts w:ascii="Arial" w:cs="Arial" w:eastAsia="Arial" w:hAnsi="Arial"/>
          <w:sz w:val="19"/>
          <w:szCs w:val="19"/>
          <w:color w:val="auto"/>
        </w:rPr>
      </w:pPr>
    </w:p>
    <w:p>
      <w:pPr>
        <w:ind w:right="60" w:firstLine="769"/>
        <w:spacing w:after="0" w:line="251" w:lineRule="auto"/>
        <w:tabs>
          <w:tab w:leader="none" w:pos="1572" w:val="left"/>
        </w:tabs>
        <w:numPr>
          <w:ilvl w:val="0"/>
          <w:numId w:val="48"/>
        </w:numPr>
        <w:rPr>
          <w:rFonts w:ascii="Arial" w:cs="Arial" w:eastAsia="Arial" w:hAnsi="Arial"/>
          <w:sz w:val="22"/>
          <w:szCs w:val="22"/>
          <w:color w:val="auto"/>
        </w:rPr>
      </w:pPr>
      <w:r>
        <w:rPr>
          <w:rFonts w:ascii="Arial" w:cs="Arial" w:eastAsia="Arial" w:hAnsi="Arial"/>
          <w:sz w:val="22"/>
          <w:szCs w:val="22"/>
          <w:b w:val="1"/>
          <w:bCs w:val="1"/>
          <w:i w:val="1"/>
          <w:iCs w:val="1"/>
          <w:color w:val="auto"/>
        </w:rPr>
        <w:t>Definitions</w:t>
      </w:r>
      <w:r>
        <w:rPr>
          <w:rFonts w:ascii="Arial" w:cs="Arial" w:eastAsia="Arial" w:hAnsi="Arial"/>
          <w:sz w:val="22"/>
          <w:szCs w:val="22"/>
          <w:color w:val="auto"/>
        </w:rPr>
        <w:t>. For purposes of the Plan, the following terms shall be defined as set forth below, in addition to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terms defined in Section 1 hereof.</w:t>
      </w:r>
    </w:p>
    <w:p>
      <w:pPr>
        <w:spacing w:after="0" w:line="173" w:lineRule="exact"/>
        <w:rPr>
          <w:rFonts w:ascii="Arial" w:cs="Arial" w:eastAsia="Arial" w:hAnsi="Arial"/>
          <w:sz w:val="22"/>
          <w:szCs w:val="22"/>
          <w:color w:val="auto"/>
        </w:rPr>
      </w:pPr>
    </w:p>
    <w:p>
      <w:pPr>
        <w:jc w:val="both"/>
        <w:ind w:firstLine="966"/>
        <w:spacing w:after="0"/>
        <w:tabs>
          <w:tab w:leader="none" w:pos="1846"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6" w:lineRule="exact"/>
        <w:rPr>
          <w:rFonts w:ascii="Arial" w:cs="Arial" w:eastAsia="Arial" w:hAnsi="Arial"/>
          <w:sz w:val="22"/>
          <w:szCs w:val="22"/>
          <w:color w:val="auto"/>
        </w:rPr>
      </w:pPr>
    </w:p>
    <w:p>
      <w:pPr>
        <w:ind w:firstLine="966"/>
        <w:spacing w:after="0" w:line="251" w:lineRule="auto"/>
        <w:tabs>
          <w:tab w:leader="none" w:pos="1859"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any written agreement, contract or other instrument or document evidencing any Award granted by the Committee hereunder.</w:t>
      </w:r>
    </w:p>
    <w:p>
      <w:pPr>
        <w:spacing w:after="0" w:line="173" w:lineRule="exact"/>
        <w:rPr>
          <w:rFonts w:ascii="Arial" w:cs="Arial" w:eastAsia="Arial" w:hAnsi="Arial"/>
          <w:sz w:val="22"/>
          <w:szCs w:val="22"/>
          <w:color w:val="auto"/>
        </w:rPr>
      </w:pPr>
    </w:p>
    <w:p>
      <w:pPr>
        <w:jc w:val="both"/>
        <w:ind w:firstLine="966"/>
        <w:spacing w:after="0" w:line="282" w:lineRule="auto"/>
        <w:tabs>
          <w:tab w:leader="none" w:pos="1846"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Beneficiary</w:t>
      </w:r>
      <w:r>
        <w:rPr>
          <w:rFonts w:ascii="Arial" w:cs="Arial" w:eastAsia="Arial" w:hAnsi="Arial"/>
          <w:sz w:val="19"/>
          <w:szCs w:val="19"/>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47" w:lineRule="exact"/>
        <w:rPr>
          <w:rFonts w:ascii="Arial" w:cs="Arial" w:eastAsia="Arial" w:hAnsi="Arial"/>
          <w:sz w:val="19"/>
          <w:szCs w:val="19"/>
          <w:color w:val="auto"/>
        </w:rPr>
      </w:pPr>
    </w:p>
    <w:p>
      <w:pPr>
        <w:ind w:firstLine="966"/>
        <w:spacing w:after="0" w:line="259" w:lineRule="exact"/>
        <w:tabs>
          <w:tab w:leader="none" w:pos="1859"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shall have the meaning ascribed to such term in Rule 13d</w:t>
      </w:r>
      <w:r>
        <w:rPr>
          <w:rFonts w:ascii="MS PGothic" w:cs="MS PGothic" w:eastAsia="MS PGothic" w:hAnsi="MS PGothic"/>
          <w:sz w:val="22"/>
          <w:szCs w:val="22"/>
          <w:color w:val="auto"/>
        </w:rPr>
        <w:t>‑</w:t>
      </w:r>
      <w:r>
        <w:rPr>
          <w:rFonts w:ascii="Arial" w:cs="Arial" w:eastAsia="Arial" w:hAnsi="Arial"/>
          <w:sz w:val="22"/>
          <w:szCs w:val="22"/>
          <w:color w:val="auto"/>
        </w:rPr>
        <w:t>3 under the Exchange Act and any successor to such Rule.</w:t>
      </w:r>
    </w:p>
    <w:p>
      <w:pPr>
        <w:spacing w:after="0" w:line="185" w:lineRule="exact"/>
        <w:rPr>
          <w:rFonts w:ascii="Arial" w:cs="Arial" w:eastAsia="Arial" w:hAnsi="Arial"/>
          <w:sz w:val="22"/>
          <w:szCs w:val="22"/>
          <w:color w:val="auto"/>
        </w:rPr>
      </w:pPr>
    </w:p>
    <w:p>
      <w:pPr>
        <w:ind w:left="1860" w:hanging="894"/>
        <w:spacing w:after="0"/>
        <w:tabs>
          <w:tab w:leader="none" w:pos="18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Company's Board of Directors.</w:t>
      </w:r>
    </w:p>
    <w:p>
      <w:pPr>
        <w:spacing w:after="0" w:line="206" w:lineRule="exact"/>
        <w:rPr>
          <w:rFonts w:ascii="Arial" w:cs="Arial" w:eastAsia="Arial" w:hAnsi="Arial"/>
          <w:sz w:val="22"/>
          <w:szCs w:val="22"/>
          <w:color w:val="auto"/>
        </w:rPr>
      </w:pPr>
    </w:p>
    <w:p>
      <w:pPr>
        <w:jc w:val="both"/>
        <w:ind w:firstLine="966"/>
        <w:spacing w:after="0" w:line="272" w:lineRule="auto"/>
        <w:tabs>
          <w:tab w:leader="none" w:pos="1823" w:val="left"/>
        </w:tabs>
        <w:numPr>
          <w:ilvl w:val="1"/>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the4. Company or any Related Entity. The good faith determination by the Committee of whether the Participant’s Continuous Service was terminated by the Company for “Cause” shall be final and binding for all purposes 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ind w:left="1860" w:hanging="894"/>
        <w:spacing w:after="0"/>
        <w:tabs>
          <w:tab w:leader="none" w:pos="18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a Change in Control as defined in Section 9(b) of the Plan.</w:t>
      </w:r>
    </w:p>
    <w:p>
      <w:pPr>
        <w:spacing w:after="0" w:line="206" w:lineRule="exact"/>
        <w:rPr>
          <w:rFonts w:ascii="Arial" w:cs="Arial" w:eastAsia="Arial" w:hAnsi="Arial"/>
          <w:sz w:val="22"/>
          <w:szCs w:val="22"/>
          <w:color w:val="auto"/>
        </w:rPr>
      </w:pPr>
    </w:p>
    <w:p>
      <w:pPr>
        <w:ind w:firstLine="966"/>
        <w:spacing w:after="0" w:line="251" w:lineRule="auto"/>
        <w:tabs>
          <w:tab w:leader="none" w:pos="185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from time to time, including regulations thereunder and successor provisions and regulations thereto.</w:t>
      </w:r>
    </w:p>
    <w:p>
      <w:pPr>
        <w:spacing w:after="0" w:line="173" w:lineRule="exact"/>
        <w:rPr>
          <w:rFonts w:ascii="Arial" w:cs="Arial" w:eastAsia="Arial" w:hAnsi="Arial"/>
          <w:sz w:val="22"/>
          <w:szCs w:val="22"/>
          <w:color w:val="auto"/>
        </w:rPr>
      </w:pPr>
    </w:p>
    <w:p>
      <w:pPr>
        <w:jc w:val="both"/>
        <w:ind w:firstLine="966"/>
        <w:spacing w:after="0" w:line="279" w:lineRule="auto"/>
        <w:tabs>
          <w:tab w:leader="none" w:pos="1811"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w:t>
      </w:r>
    </w:p>
    <w:p>
      <w:pPr>
        <w:spacing w:after="0" w:line="150" w:lineRule="exact"/>
        <w:rPr>
          <w:rFonts w:ascii="Arial" w:cs="Arial" w:eastAsia="Arial" w:hAnsi="Arial"/>
          <w:sz w:val="19"/>
          <w:szCs w:val="19"/>
          <w:color w:val="auto"/>
        </w:rPr>
      </w:pPr>
    </w:p>
    <w:p>
      <w:pPr>
        <w:jc w:val="both"/>
        <w:ind w:firstLine="966"/>
        <w:spacing w:after="0"/>
        <w:tabs>
          <w:tab w:leader="none" w:pos="18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6" w:lineRule="exact"/>
        <w:rPr>
          <w:rFonts w:ascii="Arial" w:cs="Arial" w:eastAsia="Arial" w:hAnsi="Arial"/>
          <w:sz w:val="22"/>
          <w:szCs w:val="22"/>
          <w:color w:val="auto"/>
        </w:rPr>
      </w:pPr>
    </w:p>
    <w:p>
      <w:pPr>
        <w:jc w:val="both"/>
        <w:ind w:firstLine="966"/>
        <w:spacing w:after="0" w:line="247" w:lineRule="auto"/>
        <w:tabs>
          <w:tab w:leader="none" w:pos="1859" w:val="left"/>
        </w:tabs>
        <w:numPr>
          <w:ilvl w:val="0"/>
          <w:numId w:val="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Continuous Service</w:t>
      </w:r>
      <w:r>
        <w:rPr>
          <w:rFonts w:ascii="Arial" w:cs="Arial" w:eastAsia="Arial" w:hAnsi="Arial"/>
          <w:sz w:val="21"/>
          <w:szCs w:val="21"/>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78" w:lineRule="exact"/>
        <w:rPr>
          <w:rFonts w:ascii="Arial" w:cs="Arial" w:eastAsia="Arial" w:hAnsi="Arial"/>
          <w:sz w:val="21"/>
          <w:szCs w:val="21"/>
          <w:color w:val="auto"/>
        </w:rPr>
      </w:pPr>
    </w:p>
    <w:p>
      <w:pPr>
        <w:ind w:firstLine="966"/>
        <w:spacing w:after="0" w:line="251" w:lineRule="auto"/>
        <w:tabs>
          <w:tab w:leader="none" w:pos="18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Employee</w:t>
      </w:r>
      <w:r>
        <w:rPr>
          <w:rFonts w:ascii="Arial" w:cs="Arial" w:eastAsia="Arial" w:hAnsi="Arial"/>
          <w:sz w:val="22"/>
          <w:szCs w:val="22"/>
          <w:color w:val="auto"/>
        </w:rPr>
        <w:t>” means an Eligible Person who is a “covered employee” within the meaning of Section 162(m)(3) of the Code, or any successor provision thereto.</w:t>
      </w:r>
    </w:p>
    <w:p>
      <w:pPr>
        <w:spacing w:after="0" w:line="173" w:lineRule="exact"/>
        <w:rPr>
          <w:rFonts w:ascii="Arial" w:cs="Arial" w:eastAsia="Arial" w:hAnsi="Arial"/>
          <w:sz w:val="22"/>
          <w:szCs w:val="22"/>
          <w:color w:val="auto"/>
        </w:rPr>
      </w:pPr>
    </w:p>
    <w:p>
      <w:pPr>
        <w:ind w:firstLine="966"/>
        <w:spacing w:after="0" w:line="251" w:lineRule="auto"/>
        <w:tabs>
          <w:tab w:leader="none" w:pos="19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Deferred Stock</w:t>
      </w:r>
      <w:r>
        <w:rPr>
          <w:rFonts w:ascii="Arial" w:cs="Arial" w:eastAsia="Arial" w:hAnsi="Arial"/>
          <w:sz w:val="22"/>
          <w:szCs w:val="22"/>
          <w:color w:val="auto"/>
        </w:rPr>
        <w:t>” means a right to receive Shares, including Restricted Stock, cash measured based upon the value of Shares or a combination thereof, at the end of a specified deferral period.</w:t>
      </w:r>
    </w:p>
    <w:p>
      <w:pPr>
        <w:spacing w:after="0" w:line="173" w:lineRule="exact"/>
        <w:rPr>
          <w:rFonts w:ascii="Arial" w:cs="Arial" w:eastAsia="Arial" w:hAnsi="Arial"/>
          <w:sz w:val="22"/>
          <w:szCs w:val="22"/>
          <w:color w:val="auto"/>
        </w:rPr>
      </w:pPr>
    </w:p>
    <w:p>
      <w:pPr>
        <w:ind w:left="1860" w:hanging="894"/>
        <w:spacing w:after="0"/>
        <w:tabs>
          <w:tab w:leader="none" w:pos="18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Stock Award</w:t>
      </w:r>
      <w:r>
        <w:rPr>
          <w:rFonts w:ascii="Arial" w:cs="Arial" w:eastAsia="Arial" w:hAnsi="Arial"/>
          <w:sz w:val="19"/>
          <w:szCs w:val="19"/>
          <w:color w:val="auto"/>
        </w:rPr>
        <w:t>” means an Award of Deferred Stock granted to a Participant under Section 6(e)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88" w:lineRule="exact"/>
        <w:rPr>
          <w:rFonts w:ascii="Arial" w:cs="Arial" w:eastAsia="Arial" w:hAnsi="Arial"/>
          <w:sz w:val="19"/>
          <w:szCs w:val="19"/>
          <w:color w:val="auto"/>
        </w:rPr>
      </w:pPr>
    </w:p>
    <w:p>
      <w:pPr>
        <w:ind w:left="1860" w:hanging="894"/>
        <w:spacing w:after="0"/>
        <w:tabs>
          <w:tab w:leader="none" w:pos="18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 or the board of directors of any Related Entity.</w:t>
      </w:r>
    </w:p>
    <w:p>
      <w:pPr>
        <w:spacing w:after="0" w:line="206" w:lineRule="exact"/>
        <w:rPr>
          <w:rFonts w:ascii="Arial" w:cs="Arial" w:eastAsia="Arial" w:hAnsi="Arial"/>
          <w:sz w:val="22"/>
          <w:szCs w:val="22"/>
          <w:color w:val="auto"/>
        </w:rPr>
      </w:pPr>
    </w:p>
    <w:p>
      <w:pPr>
        <w:ind w:firstLine="966"/>
        <w:spacing w:after="0" w:line="251" w:lineRule="auto"/>
        <w:tabs>
          <w:tab w:leader="none" w:pos="185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 permanent and total disability (within the meaning of Section 22(e) of the Code), as determined by a medical doctor satisfactory to the Committee.</w:t>
      </w:r>
    </w:p>
    <w:p>
      <w:pPr>
        <w:spacing w:after="0" w:line="173" w:lineRule="exact"/>
        <w:rPr>
          <w:rFonts w:ascii="Arial" w:cs="Arial" w:eastAsia="Arial" w:hAnsi="Arial"/>
          <w:sz w:val="22"/>
          <w:szCs w:val="22"/>
          <w:color w:val="auto"/>
        </w:rPr>
      </w:pPr>
    </w:p>
    <w:p>
      <w:pPr>
        <w:jc w:val="both"/>
        <w:ind w:firstLine="966"/>
        <w:spacing w:after="0"/>
        <w:tabs>
          <w:tab w:leader="none" w:pos="185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86" w:lineRule="exact"/>
        <w:rPr>
          <w:rFonts w:ascii="Arial" w:cs="Arial" w:eastAsia="Arial" w:hAnsi="Arial"/>
          <w:sz w:val="22"/>
          <w:szCs w:val="22"/>
          <w:color w:val="auto"/>
        </w:rPr>
      </w:pPr>
    </w:p>
    <w:p>
      <w:pPr>
        <w:ind w:left="1840" w:hanging="874"/>
        <w:spacing w:after="0"/>
        <w:tabs>
          <w:tab w:leader="none" w:pos="1840" w:val="left"/>
        </w:tabs>
        <w:numPr>
          <w:ilvl w:val="0"/>
          <w:numId w:val="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means the effective date of the Plan, which shall be the Shareholder Approval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6" w:name="page57"/>
    <w:bookmarkEnd w:id="56"/>
    <w:p>
      <w:pPr>
        <w:jc w:val="both"/>
        <w:ind w:firstLine="966"/>
        <w:spacing w:after="0" w:line="282" w:lineRule="auto"/>
        <w:tabs>
          <w:tab w:leader="none" w:pos="1835"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Person</w:t>
      </w:r>
      <w:r>
        <w:rPr>
          <w:rFonts w:ascii="Arial" w:cs="Arial" w:eastAsia="Arial" w:hAnsi="Arial"/>
          <w:sz w:val="19"/>
          <w:szCs w:val="19"/>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47" w:lineRule="exact"/>
        <w:rPr>
          <w:rFonts w:ascii="Arial" w:cs="Arial" w:eastAsia="Arial" w:hAnsi="Arial"/>
          <w:sz w:val="19"/>
          <w:szCs w:val="19"/>
          <w:color w:val="auto"/>
        </w:rPr>
      </w:pPr>
    </w:p>
    <w:p>
      <w:pPr>
        <w:jc w:val="both"/>
        <w:ind w:firstLine="966"/>
        <w:spacing w:after="0"/>
        <w:tabs>
          <w:tab w:leader="none" w:pos="1811"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22"/>
          <w:szCs w:val="22"/>
          <w:color w:val="auto"/>
        </w:rPr>
      </w:pPr>
    </w:p>
    <w:p>
      <w:pPr>
        <w:ind w:firstLine="966"/>
        <w:spacing w:after="0" w:line="251" w:lineRule="auto"/>
        <w:tabs>
          <w:tab w:leader="none" w:pos="18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from time to time, including rules thereunder and successor provisions and rules thereto.</w:t>
      </w:r>
    </w:p>
    <w:p>
      <w:pPr>
        <w:spacing w:after="0" w:line="173" w:lineRule="exact"/>
        <w:rPr>
          <w:rFonts w:ascii="Arial" w:cs="Arial" w:eastAsia="Arial" w:hAnsi="Arial"/>
          <w:sz w:val="22"/>
          <w:szCs w:val="22"/>
          <w:color w:val="auto"/>
        </w:rPr>
      </w:pPr>
    </w:p>
    <w:p>
      <w:pPr>
        <w:jc w:val="both"/>
        <w:ind w:firstLine="966"/>
        <w:spacing w:after="0" w:line="282" w:lineRule="auto"/>
        <w:tabs>
          <w:tab w:leader="none" w:pos="1859"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47" w:lineRule="exact"/>
        <w:rPr>
          <w:rFonts w:ascii="Arial" w:cs="Arial" w:eastAsia="Arial" w:hAnsi="Arial"/>
          <w:sz w:val="19"/>
          <w:szCs w:val="19"/>
          <w:color w:val="auto"/>
        </w:rPr>
      </w:pPr>
    </w:p>
    <w:p>
      <w:pPr>
        <w:jc w:val="both"/>
        <w:ind w:firstLine="966"/>
        <w:spacing w:after="0" w:line="271" w:lineRule="auto"/>
        <w:tabs>
          <w:tab w:leader="none" w:pos="1907"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65" w:lineRule="exact"/>
        <w:rPr>
          <w:rFonts w:ascii="Arial" w:cs="Arial" w:eastAsia="Arial" w:hAnsi="Arial"/>
          <w:sz w:val="19"/>
          <w:szCs w:val="19"/>
          <w:color w:val="auto"/>
        </w:rPr>
      </w:pPr>
    </w:p>
    <w:p>
      <w:pPr>
        <w:ind w:firstLine="966"/>
        <w:spacing w:after="0" w:line="251" w:lineRule="auto"/>
        <w:tabs>
          <w:tab w:leader="none" w:pos="18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any Option intended to be designated as an incentive stock option within the meaning of Section 422 of the Code or any successor provision thereto.</w:t>
      </w:r>
    </w:p>
    <w:p>
      <w:pPr>
        <w:spacing w:after="0" w:line="173" w:lineRule="exact"/>
        <w:rPr>
          <w:rFonts w:ascii="Arial" w:cs="Arial" w:eastAsia="Arial" w:hAnsi="Arial"/>
          <w:sz w:val="22"/>
          <w:szCs w:val="22"/>
          <w:color w:val="auto"/>
        </w:rPr>
      </w:pPr>
    </w:p>
    <w:p>
      <w:pPr>
        <w:jc w:val="both"/>
        <w:ind w:firstLine="966"/>
        <w:spacing w:after="0"/>
        <w:tabs>
          <w:tab w:leader="none" w:pos="1859"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Independent</w:t>
      </w:r>
      <w:r>
        <w:rPr>
          <w:rFonts w:ascii="Arial" w:cs="Arial" w:eastAsia="Arial" w:hAnsi="Arial"/>
          <w:sz w:val="22"/>
          <w:szCs w:val="22"/>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6" w:lineRule="exact"/>
        <w:rPr>
          <w:rFonts w:ascii="Arial" w:cs="Arial" w:eastAsia="Arial" w:hAnsi="Arial"/>
          <w:sz w:val="22"/>
          <w:szCs w:val="22"/>
          <w:color w:val="auto"/>
        </w:rPr>
      </w:pPr>
    </w:p>
    <w:p>
      <w:pPr>
        <w:ind w:left="1860" w:hanging="894"/>
        <w:spacing w:after="0"/>
        <w:tabs>
          <w:tab w:leader="none" w:pos="18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Incumbent Board</w:t>
      </w:r>
      <w:r>
        <w:rPr>
          <w:rFonts w:ascii="Arial" w:cs="Arial" w:eastAsia="Arial" w:hAnsi="Arial"/>
          <w:sz w:val="22"/>
          <w:szCs w:val="22"/>
          <w:color w:val="auto"/>
        </w:rPr>
        <w:t>” means the Incumbent Board as defined in Section 9(b)(ii) of the Plan.</w:t>
      </w:r>
    </w:p>
    <w:p>
      <w:pPr>
        <w:spacing w:after="0" w:line="206" w:lineRule="exact"/>
        <w:rPr>
          <w:sz w:val="20"/>
          <w:szCs w:val="20"/>
          <w:color w:val="auto"/>
        </w:rPr>
      </w:pPr>
    </w:p>
    <w:p>
      <w:pPr>
        <w:ind w:firstLine="966"/>
        <w:spacing w:after="0" w:line="251" w:lineRule="auto"/>
        <w:tabs>
          <w:tab w:leader="none" w:pos="1942"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right granted to a Participant under Section 6(b) hereof, to purchase Shares or other Awards at a specified price during specified time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7" w:name="page58"/>
    <w:bookmarkEnd w:id="57"/>
    <w:p>
      <w:pPr>
        <w:ind w:right="20" w:firstLine="966"/>
        <w:spacing w:after="0" w:line="251" w:lineRule="auto"/>
        <w:tabs>
          <w:tab w:leader="none" w:pos="1967"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Optionee</w:t>
      </w:r>
      <w:r>
        <w:rPr>
          <w:rFonts w:ascii="Arial" w:cs="Arial" w:eastAsia="Arial" w:hAnsi="Arial"/>
          <w:sz w:val="22"/>
          <w:szCs w:val="22"/>
          <w:color w:val="auto"/>
        </w:rPr>
        <w:t>” means a person to whom an Option is granted under this Plan or any person who succeeds to the rights of such person under this Plan.</w:t>
      </w:r>
    </w:p>
    <w:p>
      <w:pPr>
        <w:spacing w:after="0" w:line="173" w:lineRule="exact"/>
        <w:rPr>
          <w:rFonts w:ascii="Arial" w:cs="Arial" w:eastAsia="Arial" w:hAnsi="Arial"/>
          <w:sz w:val="22"/>
          <w:szCs w:val="22"/>
          <w:color w:val="auto"/>
        </w:rPr>
      </w:pPr>
    </w:p>
    <w:p>
      <w:pPr>
        <w:ind w:left="1960" w:hanging="994"/>
        <w:spacing w:after="0"/>
        <w:tabs>
          <w:tab w:leader="none" w:pos="19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Stock-Based Awards</w:t>
      </w:r>
      <w:r>
        <w:rPr>
          <w:rFonts w:ascii="Arial" w:cs="Arial" w:eastAsia="Arial" w:hAnsi="Arial"/>
          <w:sz w:val="22"/>
          <w:szCs w:val="22"/>
          <w:color w:val="auto"/>
        </w:rPr>
        <w:t>” means Awards granted to a Participant under Section 6(i) hereof.</w:t>
      </w:r>
    </w:p>
    <w:p>
      <w:pPr>
        <w:spacing w:after="0" w:line="206" w:lineRule="exact"/>
        <w:rPr>
          <w:rFonts w:ascii="Arial" w:cs="Arial" w:eastAsia="Arial" w:hAnsi="Arial"/>
          <w:sz w:val="22"/>
          <w:szCs w:val="22"/>
          <w:color w:val="auto"/>
        </w:rPr>
      </w:pPr>
    </w:p>
    <w:p>
      <w:pPr>
        <w:ind w:firstLine="966"/>
        <w:spacing w:after="0" w:line="251" w:lineRule="auto"/>
        <w:tabs>
          <w:tab w:leader="none" w:pos="1959"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who has been granted an Award under the Plan which remains outstanding, including a person who is no longer an Eligible Person.</w:t>
      </w:r>
    </w:p>
    <w:p>
      <w:pPr>
        <w:spacing w:after="0" w:line="173" w:lineRule="exact"/>
        <w:rPr>
          <w:rFonts w:ascii="Arial" w:cs="Arial" w:eastAsia="Arial" w:hAnsi="Arial"/>
          <w:sz w:val="22"/>
          <w:szCs w:val="22"/>
          <w:color w:val="auto"/>
        </w:rPr>
      </w:pPr>
    </w:p>
    <w:p>
      <w:pPr>
        <w:ind w:left="1940" w:hanging="974"/>
        <w:spacing w:after="0"/>
        <w:tabs>
          <w:tab w:leader="none" w:pos="19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shall mean any Award of Performance Shares or Performance Units granted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6(h).</w:t>
      </w:r>
    </w:p>
    <w:p>
      <w:pPr>
        <w:spacing w:after="0" w:line="188" w:lineRule="exact"/>
        <w:rPr>
          <w:rFonts w:ascii="Arial" w:cs="Arial" w:eastAsia="Arial" w:hAnsi="Arial"/>
          <w:sz w:val="19"/>
          <w:szCs w:val="19"/>
          <w:color w:val="auto"/>
        </w:rPr>
      </w:pPr>
    </w:p>
    <w:p>
      <w:pPr>
        <w:jc w:val="both"/>
        <w:ind w:firstLine="966"/>
        <w:spacing w:after="0"/>
        <w:tabs>
          <w:tab w:leader="none" w:pos="1891"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86" w:lineRule="exact"/>
        <w:rPr>
          <w:rFonts w:ascii="Arial" w:cs="Arial" w:eastAsia="Arial" w:hAnsi="Arial"/>
          <w:sz w:val="22"/>
          <w:szCs w:val="22"/>
          <w:color w:val="auto"/>
        </w:rPr>
      </w:pPr>
    </w:p>
    <w:p>
      <w:pPr>
        <w:jc w:val="both"/>
        <w:ind w:firstLine="966"/>
        <w:spacing w:after="0" w:line="252" w:lineRule="auto"/>
        <w:tabs>
          <w:tab w:leader="none" w:pos="1959"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Performance Share</w:t>
      </w:r>
      <w:r>
        <w:rPr>
          <w:rFonts w:ascii="Arial" w:cs="Arial" w:eastAsia="Arial" w:hAnsi="Arial"/>
          <w:sz w:val="21"/>
          <w:szCs w:val="21"/>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74" w:lineRule="exact"/>
        <w:rPr>
          <w:rFonts w:ascii="Arial" w:cs="Arial" w:eastAsia="Arial" w:hAnsi="Arial"/>
          <w:sz w:val="21"/>
          <w:szCs w:val="21"/>
          <w:color w:val="auto"/>
        </w:rPr>
      </w:pPr>
    </w:p>
    <w:p>
      <w:pPr>
        <w:jc w:val="both"/>
        <w:ind w:firstLine="966"/>
        <w:spacing w:after="0" w:line="287" w:lineRule="auto"/>
        <w:tabs>
          <w:tab w:leader="none" w:pos="1967"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Unit</w:t>
      </w:r>
      <w:r>
        <w:rPr>
          <w:rFonts w:ascii="Arial" w:cs="Arial" w:eastAsia="Arial" w:hAnsi="Arial"/>
          <w:sz w:val="19"/>
          <w:szCs w:val="19"/>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43" w:lineRule="exact"/>
        <w:rPr>
          <w:rFonts w:ascii="Arial" w:cs="Arial" w:eastAsia="Arial" w:hAnsi="Arial"/>
          <w:sz w:val="19"/>
          <w:szCs w:val="19"/>
          <w:color w:val="auto"/>
        </w:rPr>
      </w:pPr>
    </w:p>
    <w:p>
      <w:pPr>
        <w:ind w:right="20" w:firstLine="966"/>
        <w:spacing w:after="0" w:line="251" w:lineRule="auto"/>
        <w:tabs>
          <w:tab w:leader="none" w:pos="1871"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have the meaning ascribed to such term in Section 3(a)(9) of the Exchange Act and used in Sections 13(d) and 14(d) thereof, and shall include a “group” as defined in Section 13(d) thereof.</w:t>
      </w:r>
    </w:p>
    <w:p>
      <w:pPr>
        <w:spacing w:after="0" w:line="173" w:lineRule="exact"/>
        <w:rPr>
          <w:rFonts w:ascii="Arial" w:cs="Arial" w:eastAsia="Arial" w:hAnsi="Arial"/>
          <w:sz w:val="22"/>
          <w:szCs w:val="22"/>
          <w:color w:val="auto"/>
        </w:rPr>
      </w:pPr>
    </w:p>
    <w:p>
      <w:pPr>
        <w:ind w:left="1880" w:hanging="914"/>
        <w:spacing w:after="0"/>
        <w:tabs>
          <w:tab w:leader="none" w:pos="1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w:t>
      </w:r>
      <w:r>
        <w:rPr>
          <w:rFonts w:ascii="Arial" w:cs="Arial" w:eastAsia="Arial" w:hAnsi="Arial"/>
          <w:sz w:val="22"/>
          <w:szCs w:val="22"/>
          <w:color w:val="auto"/>
        </w:rPr>
        <w:t>” means the Company’s 1992 Stock Incentive Plan, as amended.</w:t>
      </w:r>
    </w:p>
    <w:p>
      <w:pPr>
        <w:spacing w:after="0" w:line="206" w:lineRule="exact"/>
        <w:rPr>
          <w:rFonts w:ascii="Arial" w:cs="Arial" w:eastAsia="Arial" w:hAnsi="Arial"/>
          <w:sz w:val="22"/>
          <w:szCs w:val="22"/>
          <w:color w:val="auto"/>
        </w:rPr>
      </w:pPr>
    </w:p>
    <w:p>
      <w:pPr>
        <w:jc w:val="both"/>
        <w:ind w:firstLine="966"/>
        <w:spacing w:after="0"/>
        <w:tabs>
          <w:tab w:leader="none" w:pos="1967"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Entity</w:t>
      </w:r>
      <w:r>
        <w:rPr>
          <w:rFonts w:ascii="Arial" w:cs="Arial" w:eastAsia="Arial" w:hAnsi="Arial"/>
          <w:sz w:val="22"/>
          <w:szCs w:val="22"/>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86" w:lineRule="exact"/>
        <w:rPr>
          <w:rFonts w:ascii="Arial" w:cs="Arial" w:eastAsia="Arial" w:hAnsi="Arial"/>
          <w:sz w:val="22"/>
          <w:szCs w:val="22"/>
          <w:color w:val="auto"/>
        </w:rPr>
      </w:pPr>
    </w:p>
    <w:p>
      <w:pPr>
        <w:jc w:val="both"/>
        <w:ind w:firstLine="966"/>
        <w:spacing w:after="0" w:line="287" w:lineRule="auto"/>
        <w:tabs>
          <w:tab w:leader="none" w:pos="1863"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w:t>
      </w:r>
      <w:r>
        <w:rPr>
          <w:rFonts w:ascii="Arial" w:cs="Arial" w:eastAsia="Arial" w:hAnsi="Arial"/>
          <w:sz w:val="19"/>
          <w:szCs w:val="19"/>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43" w:lineRule="exact"/>
        <w:rPr>
          <w:rFonts w:ascii="Arial" w:cs="Arial" w:eastAsia="Arial" w:hAnsi="Arial"/>
          <w:sz w:val="19"/>
          <w:szCs w:val="19"/>
          <w:color w:val="auto"/>
        </w:rPr>
      </w:pPr>
    </w:p>
    <w:p>
      <w:pPr>
        <w:ind w:left="2080" w:hanging="1114"/>
        <w:spacing w:after="0"/>
        <w:tabs>
          <w:tab w:leader="none" w:pos="20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granted to a Participant under Section 6(d) hereof.</w:t>
      </w:r>
    </w:p>
    <w:p>
      <w:pPr>
        <w:spacing w:after="0" w:line="206" w:lineRule="exact"/>
        <w:rPr>
          <w:rFonts w:ascii="Arial" w:cs="Arial" w:eastAsia="Arial" w:hAnsi="Arial"/>
          <w:sz w:val="22"/>
          <w:szCs w:val="22"/>
          <w:color w:val="auto"/>
        </w:rPr>
      </w:pPr>
    </w:p>
    <w:p>
      <w:pPr>
        <w:ind w:firstLine="966"/>
        <w:spacing w:after="0" w:line="251" w:lineRule="auto"/>
        <w:tabs>
          <w:tab w:leader="none" w:pos="1967"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as from time to time in effect and applicable to the Plan and Participants, promulgated by the Securities and Exchange Commission under Section 16 of the Exchange Act.</w:t>
      </w:r>
    </w:p>
    <w:p>
      <w:pPr>
        <w:spacing w:after="0" w:line="173" w:lineRule="exact"/>
        <w:rPr>
          <w:rFonts w:ascii="Arial" w:cs="Arial" w:eastAsia="Arial" w:hAnsi="Arial"/>
          <w:sz w:val="22"/>
          <w:szCs w:val="22"/>
          <w:color w:val="auto"/>
        </w:rPr>
      </w:pPr>
    </w:p>
    <w:p>
      <w:pPr>
        <w:jc w:val="both"/>
        <w:ind w:firstLine="966"/>
        <w:spacing w:after="0" w:line="236" w:lineRule="auto"/>
        <w:tabs>
          <w:tab w:leader="none" w:pos="1959"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Shareholder Approval Date</w:t>
      </w:r>
      <w:r>
        <w:rPr>
          <w:rFonts w:ascii="Arial" w:cs="Arial" w:eastAsia="Arial" w:hAnsi="Arial"/>
          <w:sz w:val="22"/>
          <w:szCs w:val="22"/>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8" w:name="page59"/>
    <w:bookmarkEnd w:id="58"/>
    <w:p>
      <w:pPr>
        <w:ind w:firstLine="966"/>
        <w:spacing w:after="0" w:line="251" w:lineRule="auto"/>
        <w:tabs>
          <w:tab w:leader="none" w:pos="1967"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means the shares of common stock of the Company, par value $.01 per share, and such other securities as may be substituted (or resubstituted) for Shares pursuant to Section 10(c) hereof.</w:t>
      </w:r>
    </w:p>
    <w:p>
      <w:pPr>
        <w:spacing w:after="0" w:line="173" w:lineRule="exact"/>
        <w:rPr>
          <w:rFonts w:ascii="Arial" w:cs="Arial" w:eastAsia="Arial" w:hAnsi="Arial"/>
          <w:sz w:val="22"/>
          <w:szCs w:val="22"/>
          <w:color w:val="auto"/>
        </w:rPr>
      </w:pPr>
    </w:p>
    <w:p>
      <w:pPr>
        <w:ind w:left="1980" w:hanging="1014"/>
        <w:spacing w:after="0"/>
        <w:tabs>
          <w:tab w:leader="none" w:pos="1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means a right granted to a Participant under Section 6(c) hereof.</w:t>
      </w:r>
    </w:p>
    <w:p>
      <w:pPr>
        <w:spacing w:after="0" w:line="206" w:lineRule="exact"/>
        <w:rPr>
          <w:rFonts w:ascii="Arial" w:cs="Arial" w:eastAsia="Arial" w:hAnsi="Arial"/>
          <w:sz w:val="22"/>
          <w:szCs w:val="22"/>
          <w:color w:val="auto"/>
        </w:rPr>
      </w:pPr>
    </w:p>
    <w:p>
      <w:pPr>
        <w:jc w:val="both"/>
        <w:ind w:firstLine="966"/>
        <w:spacing w:after="0" w:line="252" w:lineRule="auto"/>
        <w:tabs>
          <w:tab w:leader="none" w:pos="1895"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4" w:lineRule="exact"/>
        <w:rPr>
          <w:rFonts w:ascii="Arial" w:cs="Arial" w:eastAsia="Arial" w:hAnsi="Arial"/>
          <w:sz w:val="21"/>
          <w:szCs w:val="21"/>
          <w:color w:val="auto"/>
        </w:rPr>
      </w:pPr>
    </w:p>
    <w:p>
      <w:pPr>
        <w:jc w:val="both"/>
        <w:ind w:firstLine="966"/>
        <w:spacing w:after="0" w:line="258" w:lineRule="auto"/>
        <w:tabs>
          <w:tab w:leader="none" w:pos="1919"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Substitute Awards</w:t>
      </w:r>
      <w:r>
        <w:rPr>
          <w:rFonts w:ascii="Arial" w:cs="Arial" w:eastAsia="Arial" w:hAnsi="Arial"/>
          <w:sz w:val="21"/>
          <w:szCs w:val="21"/>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60" w:lineRule="exact"/>
        <w:rPr>
          <w:rFonts w:ascii="Arial" w:cs="Arial" w:eastAsia="Arial" w:hAnsi="Arial"/>
          <w:sz w:val="21"/>
          <w:szCs w:val="21"/>
          <w:color w:val="auto"/>
        </w:rPr>
      </w:pPr>
    </w:p>
    <w:p>
      <w:pPr>
        <w:ind w:left="1580" w:hanging="811"/>
        <w:spacing w:after="0"/>
        <w:tabs>
          <w:tab w:leader="none" w:pos="1580" w:val="left"/>
        </w:tabs>
        <w:numPr>
          <w:ilvl w:val="0"/>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Administration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right="20" w:firstLine="958"/>
        <w:spacing w:after="0" w:line="273" w:lineRule="auto"/>
        <w:tabs>
          <w:tab w:leader="none" w:pos="1838" w:val="left"/>
        </w:tabs>
        <w:numPr>
          <w:ilvl w:val="1"/>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Authority of the Committee</w:t>
      </w:r>
      <w:r>
        <w:rPr>
          <w:rFonts w:ascii="Arial" w:cs="Arial" w:eastAsia="Arial" w:hAnsi="Arial"/>
          <w:sz w:val="19"/>
          <w:szCs w:val="19"/>
          <w:color w:val="auto"/>
        </w:rPr>
        <w:t>. The Plan shall be administered by the Committee, except to the extent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56" w:lineRule="exact"/>
        <w:rPr>
          <w:rFonts w:ascii="Arial" w:cs="Arial" w:eastAsia="Arial" w:hAnsi="Arial"/>
          <w:sz w:val="19"/>
          <w:szCs w:val="19"/>
          <w:color w:val="auto"/>
        </w:rPr>
      </w:pPr>
    </w:p>
    <w:p>
      <w:pPr>
        <w:ind w:firstLine="958"/>
        <w:spacing w:after="0" w:line="244" w:lineRule="auto"/>
        <w:tabs>
          <w:tab w:leader="none" w:pos="1851" w:val="left"/>
        </w:tabs>
        <w:numPr>
          <w:ilvl w:val="1"/>
          <w:numId w:val="54"/>
        </w:numPr>
        <w:rPr>
          <w:rFonts w:ascii="Arial" w:cs="Arial" w:eastAsia="Arial" w:hAnsi="Arial"/>
          <w:sz w:val="21"/>
          <w:szCs w:val="21"/>
          <w:color w:val="auto"/>
        </w:rPr>
      </w:pPr>
      <w:r>
        <w:rPr>
          <w:rFonts w:ascii="Arial" w:cs="Arial" w:eastAsia="Arial" w:hAnsi="Arial"/>
          <w:sz w:val="21"/>
          <w:szCs w:val="21"/>
          <w:b w:val="1"/>
          <w:bCs w:val="1"/>
          <w:i w:val="1"/>
          <w:iCs w:val="1"/>
          <w:color w:val="auto"/>
        </w:rPr>
        <w:t>Manner of Exercise of Committee Authority</w:t>
      </w:r>
      <w:r>
        <w:rPr>
          <w:rFonts w:ascii="Arial" w:cs="Arial" w:eastAsia="Arial" w:hAnsi="Arial"/>
          <w:sz w:val="21"/>
          <w:szCs w:val="21"/>
          <w:color w:val="auto"/>
        </w:rPr>
        <w:t>. The Committee, and not the Board, shall exercise sole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exclusive discretion on any matter 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4" w:lineRule="exact"/>
        <w:rPr>
          <w:rFonts w:ascii="Arial" w:cs="Arial" w:eastAsia="Arial" w:hAnsi="Arial"/>
          <w:sz w:val="21"/>
          <w:szCs w:val="21"/>
          <w:color w:val="auto"/>
        </w:rPr>
      </w:pPr>
    </w:p>
    <w:p>
      <w:pPr>
        <w:jc w:val="both"/>
        <w:ind w:firstLine="958"/>
        <w:spacing w:after="0" w:line="238" w:lineRule="auto"/>
        <w:tabs>
          <w:tab w:leader="none" w:pos="1838" w:val="left"/>
        </w:tabs>
        <w:numPr>
          <w:ilvl w:val="1"/>
          <w:numId w:val="54"/>
        </w:numPr>
        <w:rPr>
          <w:rFonts w:ascii="Arial" w:cs="Arial" w:eastAsia="Arial" w:hAnsi="Arial"/>
          <w:sz w:val="22"/>
          <w:szCs w:val="22"/>
          <w:color w:val="auto"/>
        </w:rPr>
      </w:pPr>
      <w:r>
        <w:rPr>
          <w:rFonts w:ascii="Arial" w:cs="Arial" w:eastAsia="Arial" w:hAnsi="Arial"/>
          <w:sz w:val="22"/>
          <w:szCs w:val="22"/>
          <w:b w:val="1"/>
          <w:bCs w:val="1"/>
          <w:i w:val="1"/>
          <w:iCs w:val="1"/>
          <w:color w:val="auto"/>
        </w:rPr>
        <w:t>Limitation of Liability</w:t>
      </w:r>
      <w:r>
        <w:rPr>
          <w:rFonts w:ascii="Arial" w:cs="Arial" w:eastAsia="Arial" w:hAnsi="Arial"/>
          <w:sz w:val="22"/>
          <w:szCs w:val="22"/>
          <w:color w:val="auto"/>
        </w:rPr>
        <w:t>. The Committee and the Board, and each member thereof, shall be entitled to, in good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9" w:name="page60"/>
    <w:bookmarkEnd w:id="59"/>
    <w:p>
      <w:pPr>
        <w:jc w:val="both"/>
        <w:spacing w:after="0"/>
        <w:rPr>
          <w:sz w:val="20"/>
          <w:szCs w:val="20"/>
          <w:color w:val="auto"/>
        </w:rPr>
      </w:pPr>
      <w:r>
        <w:rPr>
          <w:rFonts w:ascii="Arial" w:cs="Arial" w:eastAsia="Arial" w:hAnsi="Arial"/>
          <w:sz w:val="22"/>
          <w:szCs w:val="22"/>
          <w:color w:val="auto"/>
        </w:rPr>
        <w:t>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80" w:lineRule="exact"/>
        <w:rPr>
          <w:sz w:val="20"/>
          <w:szCs w:val="20"/>
          <w:color w:val="auto"/>
        </w:rPr>
      </w:pPr>
    </w:p>
    <w:p>
      <w:pPr>
        <w:ind w:left="1580" w:hanging="811"/>
        <w:spacing w:after="0"/>
        <w:tabs>
          <w:tab w:leader="none" w:pos="1580"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Shares Subject to Plan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right="100" w:firstLine="958"/>
        <w:spacing w:after="0" w:line="249" w:lineRule="auto"/>
        <w:tabs>
          <w:tab w:leader="none" w:pos="1838" w:val="left"/>
        </w:tabs>
        <w:numPr>
          <w:ilvl w:val="1"/>
          <w:numId w:val="55"/>
        </w:numPr>
        <w:rPr>
          <w:rFonts w:ascii="Arial" w:cs="Arial" w:eastAsia="Arial" w:hAnsi="Arial"/>
          <w:sz w:val="21"/>
          <w:szCs w:val="21"/>
          <w:color w:val="auto"/>
        </w:rPr>
      </w:pPr>
      <w:r>
        <w:rPr>
          <w:rFonts w:ascii="Arial" w:cs="Arial" w:eastAsia="Arial" w:hAnsi="Arial"/>
          <w:sz w:val="21"/>
          <w:szCs w:val="21"/>
          <w:b w:val="1"/>
          <w:bCs w:val="1"/>
          <w:i w:val="1"/>
          <w:iCs w:val="1"/>
          <w:color w:val="auto"/>
        </w:rPr>
        <w:t>Limitation on Overall Number of Shares Available for Delivery Under Plan</w:t>
      </w:r>
      <w:r>
        <w:rPr>
          <w:rFonts w:ascii="Arial" w:cs="Arial" w:eastAsia="Arial" w:hAnsi="Arial"/>
          <w:sz w:val="21"/>
          <w:szCs w:val="21"/>
          <w:color w:val="auto"/>
        </w:rPr>
        <w:t>. Subject to adjustment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provided in Section 10(c) hereof, the total number of Shares reserved and available for delivery under the Plan shall be 7,250,000; provided, however, that the maximum number of Shares issued or available for issuance under the Plan with respect to Awards other than Options and Stock Appreciation Rights shall not exceed 4,250,000. Any Shares delivered under the Plan may consist, in whole or in part, of authorized and unissued shares or treasury shares.</w:t>
      </w:r>
    </w:p>
    <w:p>
      <w:pPr>
        <w:spacing w:after="0" w:line="178" w:lineRule="exact"/>
        <w:rPr>
          <w:rFonts w:ascii="Arial" w:cs="Arial" w:eastAsia="Arial" w:hAnsi="Arial"/>
          <w:sz w:val="21"/>
          <w:szCs w:val="21"/>
          <w:color w:val="auto"/>
        </w:rPr>
      </w:pPr>
    </w:p>
    <w:p>
      <w:pPr>
        <w:ind w:right="100" w:firstLine="958"/>
        <w:spacing w:after="0" w:line="277" w:lineRule="auto"/>
        <w:tabs>
          <w:tab w:leader="none" w:pos="1851" w:val="left"/>
        </w:tabs>
        <w:numPr>
          <w:ilvl w:val="1"/>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Application of Limitation to Grants of Award</w:t>
      </w:r>
      <w:r>
        <w:rPr>
          <w:rFonts w:ascii="Arial" w:cs="Arial" w:eastAsia="Arial" w:hAnsi="Arial"/>
          <w:sz w:val="19"/>
          <w:szCs w:val="19"/>
          <w:color w:val="auto"/>
        </w:rPr>
        <w:t>. No Award may be granted if the number of Shares to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delivered in connection with such an 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52" w:lineRule="exact"/>
        <w:rPr>
          <w:rFonts w:ascii="Arial" w:cs="Arial" w:eastAsia="Arial" w:hAnsi="Arial"/>
          <w:sz w:val="19"/>
          <w:szCs w:val="19"/>
          <w:color w:val="auto"/>
        </w:rPr>
      </w:pPr>
    </w:p>
    <w:p>
      <w:pPr>
        <w:ind w:left="1840" w:hanging="882"/>
        <w:spacing w:after="0"/>
        <w:tabs>
          <w:tab w:leader="none" w:pos="1840" w:val="left"/>
        </w:tabs>
        <w:numPr>
          <w:ilvl w:val="1"/>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Availability of Shares Not Delivered under Awards and Adjustments to Limits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240" w:right="200" w:hanging="330"/>
        <w:spacing w:after="0" w:line="236" w:lineRule="auto"/>
        <w:tabs>
          <w:tab w:leader="none" w:pos="2240" w:val="left"/>
        </w:tabs>
        <w:numPr>
          <w:ilvl w:val="2"/>
          <w:numId w:val="55"/>
        </w:numPr>
        <w:rPr>
          <w:rFonts w:ascii="Arial" w:cs="Arial" w:eastAsia="Arial" w:hAnsi="Arial"/>
          <w:sz w:val="22"/>
          <w:szCs w:val="22"/>
          <w:color w:val="auto"/>
        </w:rPr>
      </w:pPr>
      <w:r>
        <w:rPr>
          <w:rFonts w:ascii="Arial" w:cs="Arial" w:eastAsia="Arial" w:hAnsi="Arial"/>
          <w:sz w:val="22"/>
          <w:szCs w:val="22"/>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187" w:lineRule="exact"/>
        <w:rPr>
          <w:rFonts w:ascii="Arial" w:cs="Arial" w:eastAsia="Arial" w:hAnsi="Arial"/>
          <w:sz w:val="22"/>
          <w:szCs w:val="22"/>
          <w:color w:val="auto"/>
        </w:rPr>
      </w:pPr>
    </w:p>
    <w:p>
      <w:pPr>
        <w:ind w:left="2240" w:right="200" w:hanging="330"/>
        <w:spacing w:after="0"/>
        <w:tabs>
          <w:tab w:leader="none" w:pos="2240" w:val="left"/>
        </w:tabs>
        <w:numPr>
          <w:ilvl w:val="2"/>
          <w:numId w:val="55"/>
        </w:numPr>
        <w:rPr>
          <w:rFonts w:ascii="Arial" w:cs="Arial" w:eastAsia="Arial" w:hAnsi="Arial"/>
          <w:sz w:val="22"/>
          <w:szCs w:val="22"/>
          <w:color w:val="auto"/>
        </w:rPr>
      </w:pPr>
      <w:r>
        <w:rPr>
          <w:rFonts w:ascii="Arial" w:cs="Arial" w:eastAsia="Arial" w:hAnsi="Arial"/>
          <w:sz w:val="22"/>
          <w:szCs w:val="22"/>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186" w:lineRule="exact"/>
        <w:rPr>
          <w:rFonts w:ascii="Arial" w:cs="Arial" w:eastAsia="Arial" w:hAnsi="Arial"/>
          <w:sz w:val="22"/>
          <w:szCs w:val="22"/>
          <w:color w:val="auto"/>
        </w:rPr>
      </w:pPr>
    </w:p>
    <w:p>
      <w:pPr>
        <w:ind w:left="2240" w:hanging="330"/>
        <w:spacing w:after="0" w:line="272" w:lineRule="auto"/>
        <w:tabs>
          <w:tab w:leader="none" w:pos="2240"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0" w:name="page61"/>
    <w:bookmarkEnd w:id="60"/>
    <w:p>
      <w:pPr>
        <w:ind w:left="2240" w:right="160" w:hanging="330"/>
        <w:spacing w:after="0" w:line="251" w:lineRule="auto"/>
        <w:tabs>
          <w:tab w:leader="none" w:pos="22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Share that again becomes available for delivery pursuant to this Section 4(c) shall be added back as one (1) Share.</w:t>
      </w:r>
    </w:p>
    <w:p>
      <w:pPr>
        <w:spacing w:after="0" w:line="173" w:lineRule="exact"/>
        <w:rPr>
          <w:rFonts w:ascii="Arial" w:cs="Arial" w:eastAsia="Arial" w:hAnsi="Arial"/>
          <w:sz w:val="22"/>
          <w:szCs w:val="22"/>
          <w:color w:val="auto"/>
        </w:rPr>
      </w:pPr>
    </w:p>
    <w:p>
      <w:pPr>
        <w:ind w:left="2240" w:hanging="330"/>
        <w:spacing w:after="0" w:line="282" w:lineRule="auto"/>
        <w:tabs>
          <w:tab w:leader="none" w:pos="2240" w:val="left"/>
        </w:tabs>
        <w:numPr>
          <w:ilvl w:val="1"/>
          <w:numId w:val="56"/>
        </w:numPr>
        <w:rPr>
          <w:rFonts w:ascii="Arial" w:cs="Arial" w:eastAsia="Arial" w:hAnsi="Arial"/>
          <w:sz w:val="19"/>
          <w:szCs w:val="19"/>
          <w:b w:val="1"/>
          <w:bCs w:val="1"/>
          <w:i w:val="1"/>
          <w:iCs w:val="1"/>
          <w:color w:val="auto"/>
        </w:rPr>
      </w:pPr>
      <w:r>
        <w:rPr>
          <w:rFonts w:ascii="Arial" w:cs="Arial" w:eastAsia="Arial" w:hAnsi="Arial"/>
          <w:sz w:val="19"/>
          <w:szCs w:val="19"/>
          <w:color w:val="auto"/>
        </w:rPr>
        <w:t xml:space="preserve">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w:t>
      </w:r>
      <w:r>
        <w:rPr>
          <w:rFonts w:ascii="Arial" w:cs="Arial" w:eastAsia="Arial" w:hAnsi="Arial"/>
          <w:sz w:val="19"/>
          <w:szCs w:val="19"/>
          <w:b w:val="1"/>
          <w:bCs w:val="1"/>
          <w:i w:val="1"/>
          <w:iCs w:val="1"/>
          <w:color w:val="auto"/>
        </w:rPr>
        <w:t>that the Plan designate a maximum aggregate number of shares that may be issued.</w:t>
      </w:r>
    </w:p>
    <w:p>
      <w:pPr>
        <w:spacing w:after="0" w:line="147" w:lineRule="exact"/>
        <w:rPr>
          <w:rFonts w:ascii="Arial" w:cs="Arial" w:eastAsia="Arial" w:hAnsi="Arial"/>
          <w:sz w:val="19"/>
          <w:szCs w:val="19"/>
          <w:b w:val="1"/>
          <w:bCs w:val="1"/>
          <w:i w:val="1"/>
          <w:iCs w:val="1"/>
          <w:color w:val="auto"/>
        </w:rPr>
      </w:pPr>
    </w:p>
    <w:p>
      <w:pPr>
        <w:ind w:right="120" w:firstLine="958"/>
        <w:spacing w:after="0" w:line="251" w:lineRule="auto"/>
        <w:tabs>
          <w:tab w:leader="none" w:pos="1851"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No Further Awards Under Prior Plan</w:t>
      </w:r>
      <w:r>
        <w:rPr>
          <w:rFonts w:ascii="Arial" w:cs="Arial" w:eastAsia="Arial" w:hAnsi="Arial"/>
          <w:sz w:val="22"/>
          <w:szCs w:val="22"/>
          <w:color w:val="auto"/>
        </w:rPr>
        <w:t>. In light of the adoption of this Plan, no further awards shall be made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 the Prior Plan after the Effective Date.</w:t>
      </w:r>
    </w:p>
    <w:p>
      <w:pPr>
        <w:spacing w:after="0" w:line="173" w:lineRule="exact"/>
        <w:rPr>
          <w:sz w:val="20"/>
          <w:szCs w:val="20"/>
          <w:color w:val="auto"/>
        </w:rPr>
      </w:pPr>
    </w:p>
    <w:p>
      <w:pPr>
        <w:ind w:firstLine="761"/>
        <w:spacing w:after="0" w:line="277" w:lineRule="auto"/>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b w:val="1"/>
          <w:bCs w:val="1"/>
          <w:i w:val="1"/>
          <w:iCs w:val="1"/>
          <w:color w:val="auto"/>
        </w:rPr>
        <w:t>Eligibility; Per-Person Award Limitations.</w:t>
      </w:r>
      <w:r>
        <w:rPr>
          <w:rFonts w:ascii="Arial" w:cs="Arial" w:eastAsia="Arial" w:hAnsi="Arial"/>
          <w:sz w:val="19"/>
          <w:szCs w:val="19"/>
          <w:color w:val="auto"/>
        </w:rPr>
        <w:t xml:space="preserve"> Awards may be granted under the Plan only to Eligible Persons. Subject to adjustment as provided in Section 10(c), in any fiscal year of the Company during any part of which the Plan is in effect, no Participant may be granted Awards that are not Performance Units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 periods that are in the Performance Period.</w:t>
      </w:r>
    </w:p>
    <w:p>
      <w:pPr>
        <w:spacing w:after="0" w:line="147" w:lineRule="exact"/>
        <w:rPr>
          <w:sz w:val="20"/>
          <w:szCs w:val="20"/>
          <w:color w:val="auto"/>
        </w:rPr>
      </w:pPr>
    </w:p>
    <w:p>
      <w:pPr>
        <w:ind w:left="760"/>
        <w:spacing w:after="0"/>
        <w:tabs>
          <w:tab w:leader="none" w:pos="220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2"/>
          <w:szCs w:val="22"/>
          <w:b w:val="1"/>
          <w:bCs w:val="1"/>
          <w:i w:val="1"/>
          <w:iCs w:val="1"/>
          <w:color w:val="auto"/>
        </w:rPr>
        <w:t>Specific Terms of Awards</w:t>
      </w:r>
      <w:r>
        <w:rPr>
          <w:rFonts w:ascii="Arial" w:cs="Arial" w:eastAsia="Arial" w:hAnsi="Arial"/>
          <w:sz w:val="22"/>
          <w:szCs w:val="22"/>
          <w:b w:val="1"/>
          <w:bCs w:val="1"/>
          <w:color w:val="auto"/>
        </w:rPr>
        <w:t>.</w:t>
      </w:r>
    </w:p>
    <w:p>
      <w:pPr>
        <w:spacing w:after="0" w:line="212" w:lineRule="exact"/>
        <w:rPr>
          <w:sz w:val="20"/>
          <w:szCs w:val="20"/>
          <w:color w:val="auto"/>
        </w:rPr>
      </w:pPr>
    </w:p>
    <w:p>
      <w:pPr>
        <w:ind w:firstLine="958"/>
        <w:spacing w:after="0" w:line="245" w:lineRule="auto"/>
        <w:tabs>
          <w:tab w:leader="none" w:pos="1838" w:val="left"/>
        </w:tabs>
        <w:numPr>
          <w:ilvl w:val="1"/>
          <w:numId w:val="5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GeneralAwards </w:t>
      </w:r>
      <w:r>
        <w:rPr>
          <w:rFonts w:ascii="Arial" w:cs="Arial" w:eastAsia="Arial" w:hAnsi="Arial"/>
          <w:sz w:val="21"/>
          <w:szCs w:val="21"/>
          <w:color w:val="auto"/>
        </w:rPr>
        <w:t>may be granted on the terms and conditions set forth in this Section 6. In addition,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85" w:lineRule="exact"/>
        <w:rPr>
          <w:rFonts w:ascii="Arial" w:cs="Arial" w:eastAsia="Arial" w:hAnsi="Arial"/>
          <w:sz w:val="21"/>
          <w:szCs w:val="21"/>
          <w:color w:val="auto"/>
        </w:rPr>
      </w:pPr>
    </w:p>
    <w:p>
      <w:pPr>
        <w:ind w:left="1860" w:hanging="902"/>
        <w:spacing w:after="0"/>
        <w:tabs>
          <w:tab w:leader="none" w:pos="1860" w:val="left"/>
        </w:tabs>
        <w:numPr>
          <w:ilvl w:val="1"/>
          <w:numId w:val="5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Options. </w:t>
      </w:r>
      <w:r>
        <w:rPr>
          <w:rFonts w:ascii="Arial" w:cs="Arial" w:eastAsia="Arial" w:hAnsi="Arial"/>
          <w:sz w:val="19"/>
          <w:szCs w:val="19"/>
          <w:color w:val="auto"/>
        </w:rPr>
        <w:t>The Committee is authorized to grant Options to any Eligible Person on the following terms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conditions:</w:t>
      </w:r>
    </w:p>
    <w:p>
      <w:pPr>
        <w:spacing w:after="0" w:line="188" w:lineRule="exact"/>
        <w:rPr>
          <w:rFonts w:ascii="Arial" w:cs="Arial" w:eastAsia="Arial" w:hAnsi="Arial"/>
          <w:sz w:val="19"/>
          <w:szCs w:val="19"/>
          <w:color w:val="auto"/>
        </w:rPr>
      </w:pPr>
    </w:p>
    <w:p>
      <w:pPr>
        <w:ind w:left="1140" w:hanging="371"/>
        <w:spacing w:after="0" w:line="272" w:lineRule="auto"/>
        <w:tabs>
          <w:tab w:leader="none" w:pos="1140" w:val="left"/>
        </w:tabs>
        <w:numPr>
          <w:ilvl w:val="0"/>
          <w:numId w:val="59"/>
        </w:numPr>
        <w:rPr>
          <w:rFonts w:ascii="Arial" w:cs="Arial" w:eastAsia="Arial" w:hAnsi="Arial"/>
          <w:sz w:val="19"/>
          <w:szCs w:val="19"/>
          <w:color w:val="auto"/>
        </w:rPr>
      </w:pPr>
      <w:r>
        <w:rPr>
          <w:rFonts w:ascii="Arial" w:cs="Arial" w:eastAsia="Arial" w:hAnsi="Arial"/>
          <w:sz w:val="19"/>
          <w:szCs w:val="19"/>
          <w:b w:val="1"/>
          <w:bCs w:val="1"/>
          <w:i w:val="1"/>
          <w:iCs w:val="1"/>
          <w:color w:val="auto"/>
        </w:rPr>
        <w:t>Exercise Price</w:t>
      </w:r>
      <w:r>
        <w:rPr>
          <w:rFonts w:ascii="Arial" w:cs="Arial" w:eastAsia="Arial" w:hAnsi="Arial"/>
          <w:sz w:val="19"/>
          <w:szCs w:val="19"/>
          <w:color w:val="auto"/>
        </w:rPr>
        <w:t>. Other than in connection with Substitute Awards, the exercise price per Share purchasable under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61" w:name="page62"/>
    <w:bookmarkEnd w:id="61"/>
    <w:p>
      <w:pPr>
        <w:ind w:left="1100"/>
        <w:spacing w:after="0" w:line="287" w:lineRule="auto"/>
        <w:rPr>
          <w:sz w:val="20"/>
          <w:szCs w:val="20"/>
          <w:color w:val="auto"/>
        </w:rPr>
      </w:pPr>
      <w:r>
        <w:rPr>
          <w:rFonts w:ascii="Arial" w:cs="Arial" w:eastAsia="Arial" w:hAnsi="Arial"/>
          <w:sz w:val="19"/>
          <w:szCs w:val="19"/>
          <w:color w:val="auto"/>
        </w:rPr>
        <w:t>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43" w:lineRule="exact"/>
        <w:rPr>
          <w:sz w:val="20"/>
          <w:szCs w:val="20"/>
          <w:color w:val="auto"/>
        </w:rPr>
      </w:pPr>
    </w:p>
    <w:p>
      <w:pPr>
        <w:ind w:left="1100" w:right="40" w:hanging="371"/>
        <w:spacing w:after="0" w:line="273" w:lineRule="auto"/>
        <w:tabs>
          <w:tab w:leader="none" w:pos="1100"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Time and Method of Exercise</w:t>
      </w:r>
      <w:r>
        <w:rPr>
          <w:rFonts w:ascii="Arial" w:cs="Arial" w:eastAsia="Arial" w:hAnsi="Arial"/>
          <w:sz w:val="19"/>
          <w:szCs w:val="19"/>
          <w:color w:val="auto"/>
        </w:rPr>
        <w:t>. Subject to the maximum term of any Option set forth in Section 7(b), the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determine the time or times at which or the circumstances under which an 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100" w:right="40" w:hanging="371"/>
        <w:spacing w:after="0" w:line="246" w:lineRule="auto"/>
        <w:tabs>
          <w:tab w:leader="none" w:pos="1100" w:val="left"/>
        </w:tabs>
        <w:numPr>
          <w:ilvl w:val="0"/>
          <w:numId w:val="60"/>
        </w:numPr>
        <w:rPr>
          <w:rFonts w:ascii="Arial" w:cs="Arial" w:eastAsia="Arial" w:hAnsi="Arial"/>
          <w:sz w:val="21"/>
          <w:szCs w:val="21"/>
          <w:color w:val="auto"/>
        </w:rPr>
      </w:pPr>
      <w:r>
        <w:rPr>
          <w:rFonts w:ascii="Arial" w:cs="Arial" w:eastAsia="Arial" w:hAnsi="Arial"/>
          <w:sz w:val="21"/>
          <w:szCs w:val="21"/>
          <w:b w:val="1"/>
          <w:bCs w:val="1"/>
          <w:i w:val="1"/>
          <w:iCs w:val="1"/>
          <w:color w:val="auto"/>
        </w:rPr>
        <w:t>Incentive Stock Options</w:t>
      </w:r>
      <w:r>
        <w:rPr>
          <w:rFonts w:ascii="Arial" w:cs="Arial" w:eastAsia="Arial" w:hAnsi="Arial"/>
          <w:sz w:val="21"/>
          <w:szCs w:val="21"/>
          <w:color w:val="auto"/>
        </w:rPr>
        <w:t>. The terms of any Incentive Stock Option granted under the Plan shall comply in all respects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80" w:lineRule="exact"/>
        <w:rPr>
          <w:rFonts w:ascii="Arial" w:cs="Arial" w:eastAsia="Arial" w:hAnsi="Arial"/>
          <w:sz w:val="21"/>
          <w:szCs w:val="21"/>
          <w:color w:val="auto"/>
        </w:rPr>
      </w:pPr>
    </w:p>
    <w:p>
      <w:pPr>
        <w:ind w:left="1460" w:hanging="351"/>
        <w:spacing w:after="0" w:line="247" w:lineRule="auto"/>
        <w:tabs>
          <w:tab w:leader="none" w:pos="14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78" w:lineRule="exact"/>
        <w:rPr>
          <w:rFonts w:ascii="Arial" w:cs="Arial" w:eastAsia="Arial" w:hAnsi="Arial"/>
          <w:sz w:val="21"/>
          <w:szCs w:val="21"/>
          <w:color w:val="auto"/>
        </w:rPr>
      </w:pPr>
    </w:p>
    <w:p>
      <w:pPr>
        <w:ind w:left="1460" w:right="140" w:hanging="351"/>
        <w:spacing w:after="0" w:line="282" w:lineRule="auto"/>
        <w:tabs>
          <w:tab w:leader="none" w:pos="14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48" w:lineRule="exact"/>
        <w:rPr>
          <w:sz w:val="20"/>
          <w:szCs w:val="20"/>
          <w:color w:val="auto"/>
        </w:rPr>
      </w:pPr>
    </w:p>
    <w:p>
      <w:pPr>
        <w:ind w:left="-40" w:right="260" w:firstLine="958"/>
        <w:spacing w:after="0" w:line="236" w:lineRule="auto"/>
        <w:tabs>
          <w:tab w:leader="none" w:pos="1798" w:val="left"/>
        </w:tabs>
        <w:numPr>
          <w:ilvl w:val="0"/>
          <w:numId w:val="61"/>
        </w:numPr>
        <w:rPr>
          <w:rFonts w:ascii="Arial" w:cs="Arial" w:eastAsia="Arial" w:hAnsi="Arial"/>
          <w:sz w:val="22"/>
          <w:szCs w:val="22"/>
          <w:color w:val="auto"/>
        </w:rPr>
      </w:pPr>
      <w:r>
        <w:rPr>
          <w:rFonts w:ascii="Arial" w:cs="Arial" w:eastAsia="Arial" w:hAnsi="Arial"/>
          <w:sz w:val="22"/>
          <w:szCs w:val="22"/>
          <w:b w:val="1"/>
          <w:bCs w:val="1"/>
          <w:i w:val="1"/>
          <w:iCs w:val="1"/>
          <w:color w:val="auto"/>
        </w:rPr>
        <w:t>Stock Appreciation Rights</w:t>
      </w:r>
      <w:r>
        <w:rPr>
          <w:rFonts w:ascii="Arial" w:cs="Arial" w:eastAsia="Arial" w:hAnsi="Arial"/>
          <w:sz w:val="22"/>
          <w:szCs w:val="22"/>
          <w:color w:val="auto"/>
        </w:rPr>
        <w:t>. The Committee may grant Stock Appreciation Rights to any Eligible Person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conjunction with all or part 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550" w:right="259" w:bottom="1440" w:gutter="0" w:footer="0" w:header="0"/>
        </w:sectPr>
      </w:pPr>
    </w:p>
    <w:bookmarkStart w:id="62" w:name="page63"/>
    <w:bookmarkEnd w:id="62"/>
    <w:p>
      <w:pPr>
        <w:ind w:right="180" w:firstLine="2290"/>
        <w:spacing w:after="0" w:line="276" w:lineRule="auto"/>
        <w:tabs>
          <w:tab w:leader="none" w:pos="3135" w:val="left"/>
        </w:tabs>
        <w:numPr>
          <w:ilvl w:val="1"/>
          <w:numId w:val="62"/>
        </w:numPr>
        <w:rPr>
          <w:rFonts w:ascii="Arial" w:cs="Arial" w:eastAsia="Arial" w:hAnsi="Arial"/>
          <w:sz w:val="19"/>
          <w:szCs w:val="19"/>
          <w:color w:val="auto"/>
        </w:rPr>
      </w:pPr>
      <w:r>
        <w:rPr>
          <w:rFonts w:ascii="Arial" w:cs="Arial" w:eastAsia="Arial" w:hAnsi="Arial"/>
          <w:sz w:val="19"/>
          <w:szCs w:val="19"/>
          <w:b w:val="1"/>
          <w:bCs w:val="1"/>
          <w:i w:val="1"/>
          <w:iCs w:val="1"/>
          <w:color w:val="auto"/>
        </w:rPr>
        <w:t>Right to Payment</w:t>
      </w:r>
      <w:r>
        <w:rPr>
          <w:rFonts w:ascii="Arial" w:cs="Arial" w:eastAsia="Arial" w:hAnsi="Arial"/>
          <w:sz w:val="19"/>
          <w:szCs w:val="19"/>
          <w:color w:val="auto"/>
        </w:rPr>
        <w:t>. A Stock Appreciation Right shall confer on the Participant to whom it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granted a right to receive, upon exercise thereof, the excess of (A) the Fair Market Value of one Share on the date of exercise over</w:t>
      </w:r>
    </w:p>
    <w:p>
      <w:pPr>
        <w:spacing w:after="0" w:line="1" w:lineRule="exact"/>
        <w:rPr>
          <w:rFonts w:ascii="Arial" w:cs="Arial" w:eastAsia="Arial" w:hAnsi="Arial"/>
          <w:sz w:val="19"/>
          <w:szCs w:val="19"/>
          <w:color w:val="auto"/>
        </w:rPr>
      </w:pPr>
    </w:p>
    <w:p>
      <w:pPr>
        <w:ind w:right="120" w:firstLine="8"/>
        <w:spacing w:after="0" w:line="271" w:lineRule="auto"/>
        <w:tabs>
          <w:tab w:leader="none" w:pos="34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exercise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exercise price of such Stock Appreciation Right or (ii) Stock Appreciation Rights with an exercise price per Share that is less than the exercise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180" w:firstLine="2290"/>
        <w:spacing w:after="0" w:line="246" w:lineRule="auto"/>
        <w:tabs>
          <w:tab w:leader="none" w:pos="3195" w:val="left"/>
        </w:tabs>
        <w:numPr>
          <w:ilvl w:val="1"/>
          <w:numId w:val="63"/>
        </w:numPr>
        <w:rPr>
          <w:rFonts w:ascii="Arial" w:cs="Arial" w:eastAsia="Arial" w:hAnsi="Arial"/>
          <w:sz w:val="21"/>
          <w:szCs w:val="21"/>
          <w:color w:val="auto"/>
        </w:rPr>
      </w:pPr>
      <w:r>
        <w:rPr>
          <w:rFonts w:ascii="Arial" w:cs="Arial" w:eastAsia="Arial" w:hAnsi="Arial"/>
          <w:sz w:val="21"/>
          <w:szCs w:val="21"/>
          <w:b w:val="1"/>
          <w:bCs w:val="1"/>
          <w:i w:val="1"/>
          <w:iCs w:val="1"/>
          <w:color w:val="auto"/>
        </w:rPr>
        <w:t>Other Terms</w:t>
      </w:r>
      <w:r>
        <w:rPr>
          <w:rFonts w:ascii="Arial" w:cs="Arial" w:eastAsia="Arial" w:hAnsi="Arial"/>
          <w:sz w:val="21"/>
          <w:szCs w:val="21"/>
          <w:color w:val="auto"/>
        </w:rPr>
        <w:t>. Subject to the maximum term of any Stock Appreciation Right set forth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Section 7(b),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0" w:lineRule="exact"/>
        <w:rPr>
          <w:rFonts w:ascii="Arial" w:cs="Arial" w:eastAsia="Arial" w:hAnsi="Arial"/>
          <w:sz w:val="21"/>
          <w:szCs w:val="21"/>
          <w:color w:val="auto"/>
        </w:rPr>
      </w:pPr>
    </w:p>
    <w:p>
      <w:pPr>
        <w:ind w:firstLine="2290"/>
        <w:spacing w:after="0" w:line="273" w:lineRule="auto"/>
        <w:tabs>
          <w:tab w:leader="none" w:pos="325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color w:val="auto"/>
        </w:rPr>
        <w:t>Tandem Stock Appreciation Rights</w:t>
      </w:r>
      <w:r>
        <w:rPr>
          <w:rFonts w:ascii="Arial" w:cs="Arial" w:eastAsia="Arial" w:hAnsi="Arial"/>
          <w:sz w:val="19"/>
          <w:szCs w:val="19"/>
          <w:color w:val="auto"/>
        </w:rPr>
        <w:t>. Any Tandem Stock Appreciation Right may be granted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the same time as the related 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62" w:lineRule="exact"/>
        <w:rPr>
          <w:sz w:val="20"/>
          <w:szCs w:val="20"/>
          <w:color w:val="auto"/>
        </w:rPr>
      </w:pPr>
    </w:p>
    <w:p>
      <w:pPr>
        <w:ind w:right="60" w:firstLine="769"/>
        <w:spacing w:after="0" w:line="251" w:lineRule="auto"/>
        <w:tabs>
          <w:tab w:leader="none" w:pos="1661" w:val="left"/>
        </w:tabs>
        <w:numPr>
          <w:ilvl w:val="0"/>
          <w:numId w:val="64"/>
        </w:numPr>
        <w:rPr>
          <w:rFonts w:ascii="Arial" w:cs="Arial" w:eastAsia="Arial" w:hAnsi="Arial"/>
          <w:sz w:val="22"/>
          <w:szCs w:val="22"/>
          <w:color w:val="auto"/>
        </w:rPr>
      </w:pPr>
      <w:r>
        <w:rPr>
          <w:rFonts w:ascii="Arial" w:cs="Arial" w:eastAsia="Arial" w:hAnsi="Arial"/>
          <w:sz w:val="22"/>
          <w:szCs w:val="22"/>
          <w:b w:val="1"/>
          <w:bCs w:val="1"/>
          <w:i w:val="1"/>
          <w:iCs w:val="1"/>
          <w:color w:val="auto"/>
        </w:rPr>
        <w:t>Restricted Stock Awards</w:t>
      </w:r>
      <w:r>
        <w:rPr>
          <w:rFonts w:ascii="Arial" w:cs="Arial" w:eastAsia="Arial" w:hAnsi="Arial"/>
          <w:sz w:val="22"/>
          <w:szCs w:val="22"/>
          <w:color w:val="auto"/>
        </w:rPr>
        <w:t>. The Committee is authorized to grant Restricted Stock Awards to any Eligible Person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the following terms and conditions:</w:t>
      </w:r>
    </w:p>
    <w:p>
      <w:pPr>
        <w:spacing w:after="0" w:line="173" w:lineRule="exact"/>
        <w:rPr>
          <w:sz w:val="20"/>
          <w:szCs w:val="20"/>
          <w:color w:val="auto"/>
        </w:rPr>
      </w:pPr>
    </w:p>
    <w:p>
      <w:pPr>
        <w:ind w:left="1140" w:right="140" w:hanging="371"/>
        <w:spacing w:after="0" w:line="275" w:lineRule="auto"/>
        <w:tabs>
          <w:tab w:leader="none" w:pos="1140" w:val="left"/>
        </w:tabs>
        <w:numPr>
          <w:ilvl w:val="0"/>
          <w:numId w:val="65"/>
        </w:numPr>
        <w:rPr>
          <w:rFonts w:ascii="Arial" w:cs="Arial" w:eastAsia="Arial" w:hAnsi="Arial"/>
          <w:sz w:val="19"/>
          <w:szCs w:val="19"/>
          <w:color w:val="auto"/>
        </w:rPr>
      </w:pPr>
      <w:r>
        <w:rPr>
          <w:rFonts w:ascii="Arial" w:cs="Arial" w:eastAsia="Arial" w:hAnsi="Arial"/>
          <w:sz w:val="19"/>
          <w:szCs w:val="19"/>
          <w:b w:val="1"/>
          <w:bCs w:val="1"/>
          <w:i w:val="1"/>
          <w:iCs w:val="1"/>
          <w:color w:val="auto"/>
        </w:rPr>
        <w:t>Grant and Restrictions</w:t>
      </w:r>
      <w:r>
        <w:rPr>
          <w:rFonts w:ascii="Arial" w:cs="Arial" w:eastAsia="Arial" w:hAnsi="Arial"/>
          <w:sz w:val="19"/>
          <w:szCs w:val="19"/>
          <w:color w:val="auto"/>
        </w:rPr>
        <w:t>. Restricted Stock Awards shall be subject to such restrictions on transferability, risk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3" w:name="page64"/>
    <w:bookmarkEnd w:id="63"/>
    <w:p>
      <w:pPr>
        <w:ind w:left="1120" w:right="380"/>
        <w:spacing w:after="0" w:line="249" w:lineRule="auto"/>
        <w:rPr>
          <w:sz w:val="20"/>
          <w:szCs w:val="20"/>
          <w:color w:val="auto"/>
        </w:rPr>
      </w:pPr>
      <w:r>
        <w:rPr>
          <w:rFonts w:ascii="Arial" w:cs="Arial" w:eastAsia="Arial" w:hAnsi="Arial"/>
          <w:sz w:val="21"/>
          <w:szCs w:val="21"/>
          <w:color w:val="auto"/>
        </w:rPr>
        <w:t>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79" w:lineRule="exact"/>
        <w:rPr>
          <w:sz w:val="20"/>
          <w:szCs w:val="20"/>
          <w:color w:val="auto"/>
        </w:rPr>
      </w:pPr>
    </w:p>
    <w:p>
      <w:pPr>
        <w:ind w:left="1120" w:hanging="371"/>
        <w:spacing w:after="0" w:line="248" w:lineRule="auto"/>
        <w:tabs>
          <w:tab w:leader="none" w:pos="1120" w:val="left"/>
        </w:tabs>
        <w:numPr>
          <w:ilvl w:val="0"/>
          <w:numId w:val="66"/>
        </w:numPr>
        <w:rPr>
          <w:rFonts w:ascii="Arial" w:cs="Arial" w:eastAsia="Arial" w:hAnsi="Arial"/>
          <w:sz w:val="21"/>
          <w:szCs w:val="21"/>
          <w:color w:val="auto"/>
        </w:rPr>
      </w:pPr>
      <w:r>
        <w:rPr>
          <w:rFonts w:ascii="Arial" w:cs="Arial" w:eastAsia="Arial" w:hAnsi="Arial"/>
          <w:sz w:val="21"/>
          <w:szCs w:val="21"/>
          <w:b w:val="1"/>
          <w:bCs w:val="1"/>
          <w:i w:val="1"/>
          <w:iCs w:val="1"/>
          <w:color w:val="auto"/>
        </w:rPr>
        <w:t>Forfeiture</w:t>
      </w:r>
      <w:r>
        <w:rPr>
          <w:rFonts w:ascii="Arial" w:cs="Arial" w:eastAsia="Arial" w:hAnsi="Arial"/>
          <w:sz w:val="21"/>
          <w:szCs w:val="21"/>
          <w:color w:val="auto"/>
        </w:rPr>
        <w:t>. Except as otherwise determined by the Committee, upon termination of a Participant's Continuous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Service during the 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77" w:lineRule="exact"/>
        <w:rPr>
          <w:rFonts w:ascii="Arial" w:cs="Arial" w:eastAsia="Arial" w:hAnsi="Arial"/>
          <w:sz w:val="21"/>
          <w:szCs w:val="21"/>
          <w:color w:val="auto"/>
        </w:rPr>
      </w:pPr>
    </w:p>
    <w:p>
      <w:pPr>
        <w:ind w:left="1120" w:right="240" w:hanging="371"/>
        <w:spacing w:after="0" w:line="282" w:lineRule="auto"/>
        <w:tabs>
          <w:tab w:leader="none" w:pos="1120" w:val="left"/>
        </w:tabs>
        <w:numPr>
          <w:ilvl w:val="0"/>
          <w:numId w:val="66"/>
        </w:numPr>
        <w:rPr>
          <w:rFonts w:ascii="Arial" w:cs="Arial" w:eastAsia="Arial" w:hAnsi="Arial"/>
          <w:sz w:val="19"/>
          <w:szCs w:val="19"/>
          <w:color w:val="auto"/>
        </w:rPr>
      </w:pPr>
      <w:r>
        <w:rPr>
          <w:rFonts w:ascii="Arial" w:cs="Arial" w:eastAsia="Arial" w:hAnsi="Arial"/>
          <w:sz w:val="19"/>
          <w:szCs w:val="19"/>
          <w:b w:val="1"/>
          <w:bCs w:val="1"/>
          <w:i w:val="1"/>
          <w:iCs w:val="1"/>
          <w:color w:val="auto"/>
        </w:rPr>
        <w:t>Certificates for Stock</w:t>
      </w:r>
      <w:r>
        <w:rPr>
          <w:rFonts w:ascii="Arial" w:cs="Arial" w:eastAsia="Arial" w:hAnsi="Arial"/>
          <w:sz w:val="19"/>
          <w:szCs w:val="19"/>
          <w:color w:val="auto"/>
        </w:rPr>
        <w:t>. Restricted Stock granted under the Plan may be evidenced in such manner as the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47" w:lineRule="exact"/>
        <w:rPr>
          <w:rFonts w:ascii="Arial" w:cs="Arial" w:eastAsia="Arial" w:hAnsi="Arial"/>
          <w:sz w:val="19"/>
          <w:szCs w:val="19"/>
          <w:color w:val="auto"/>
        </w:rPr>
      </w:pPr>
    </w:p>
    <w:p>
      <w:pPr>
        <w:ind w:left="1120" w:right="20" w:hanging="371"/>
        <w:spacing w:after="0" w:line="279" w:lineRule="auto"/>
        <w:tabs>
          <w:tab w:leader="none" w:pos="1120" w:val="left"/>
        </w:tabs>
        <w:numPr>
          <w:ilvl w:val="0"/>
          <w:numId w:val="66"/>
        </w:numPr>
        <w:rPr>
          <w:rFonts w:ascii="Arial" w:cs="Arial" w:eastAsia="Arial" w:hAnsi="Arial"/>
          <w:sz w:val="19"/>
          <w:szCs w:val="19"/>
          <w:color w:val="auto"/>
        </w:rPr>
      </w:pPr>
      <w:r>
        <w:rPr>
          <w:rFonts w:ascii="Arial" w:cs="Arial" w:eastAsia="Arial" w:hAnsi="Arial"/>
          <w:sz w:val="19"/>
          <w:szCs w:val="19"/>
          <w:b w:val="1"/>
          <w:bCs w:val="1"/>
          <w:i w:val="1"/>
          <w:iCs w:val="1"/>
          <w:color w:val="auto"/>
        </w:rPr>
        <w:t>Dividends and Splits</w:t>
      </w:r>
      <w:r>
        <w:rPr>
          <w:rFonts w:ascii="Arial" w:cs="Arial" w:eastAsia="Arial" w:hAnsi="Arial"/>
          <w:sz w:val="19"/>
          <w:szCs w:val="19"/>
          <w:color w:val="auto"/>
        </w:rPr>
        <w:t>. As a condition to the grant of a Restricted Stock Award, the Committee may require or permit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 to 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51" w:lineRule="exact"/>
        <w:rPr>
          <w:sz w:val="20"/>
          <w:szCs w:val="20"/>
          <w:color w:val="auto"/>
        </w:rPr>
      </w:pPr>
    </w:p>
    <w:p>
      <w:pPr>
        <w:ind w:left="-20" w:right="120" w:firstLine="769"/>
        <w:spacing w:after="0" w:line="251" w:lineRule="auto"/>
        <w:tabs>
          <w:tab w:leader="none" w:pos="1629" w:val="left"/>
        </w:tabs>
        <w:numPr>
          <w:ilvl w:val="0"/>
          <w:numId w:val="67"/>
        </w:numPr>
        <w:rPr>
          <w:rFonts w:ascii="Arial" w:cs="Arial" w:eastAsia="Arial" w:hAnsi="Arial"/>
          <w:sz w:val="22"/>
          <w:szCs w:val="22"/>
          <w:color w:val="auto"/>
        </w:rPr>
      </w:pPr>
      <w:r>
        <w:rPr>
          <w:rFonts w:ascii="Arial" w:cs="Arial" w:eastAsia="Arial" w:hAnsi="Arial"/>
          <w:sz w:val="22"/>
          <w:szCs w:val="22"/>
          <w:b w:val="1"/>
          <w:bCs w:val="1"/>
          <w:i w:val="1"/>
          <w:iCs w:val="1"/>
          <w:color w:val="auto"/>
        </w:rPr>
        <w:t>Deferred Stock Award</w:t>
      </w:r>
      <w:r>
        <w:rPr>
          <w:rFonts w:ascii="Arial" w:cs="Arial" w:eastAsia="Arial" w:hAnsi="Arial"/>
          <w:sz w:val="22"/>
          <w:szCs w:val="22"/>
          <w:color w:val="auto"/>
        </w:rPr>
        <w:t>. The Committee is authorized to grant Deferred Stock Awards to any Eligible Person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following terms and conditions:</w:t>
      </w:r>
    </w:p>
    <w:p>
      <w:pPr>
        <w:spacing w:after="0" w:line="173" w:lineRule="exact"/>
        <w:rPr>
          <w:sz w:val="20"/>
          <w:szCs w:val="20"/>
          <w:color w:val="auto"/>
        </w:rPr>
      </w:pPr>
    </w:p>
    <w:p>
      <w:pPr>
        <w:ind w:left="1120" w:right="140" w:hanging="371"/>
        <w:spacing w:after="0" w:line="273" w:lineRule="auto"/>
        <w:tabs>
          <w:tab w:leader="none" w:pos="1120" w:val="left"/>
        </w:tabs>
        <w:numPr>
          <w:ilvl w:val="0"/>
          <w:numId w:val="68"/>
        </w:numPr>
        <w:rPr>
          <w:rFonts w:ascii="Arial" w:cs="Arial" w:eastAsia="Arial" w:hAnsi="Arial"/>
          <w:sz w:val="19"/>
          <w:szCs w:val="19"/>
          <w:color w:val="auto"/>
        </w:rPr>
      </w:pPr>
      <w:r>
        <w:rPr>
          <w:rFonts w:ascii="Arial" w:cs="Arial" w:eastAsia="Arial" w:hAnsi="Arial"/>
          <w:sz w:val="19"/>
          <w:szCs w:val="19"/>
          <w:b w:val="1"/>
          <w:bCs w:val="1"/>
          <w:i w:val="1"/>
          <w:iCs w:val="1"/>
          <w:color w:val="auto"/>
        </w:rPr>
        <w:t>Award and Restrictions</w:t>
      </w:r>
      <w:r>
        <w:rPr>
          <w:rFonts w:ascii="Arial" w:cs="Arial" w:eastAsia="Arial" w:hAnsi="Arial"/>
          <w:sz w:val="19"/>
          <w:szCs w:val="19"/>
          <w:color w:val="auto"/>
        </w:rPr>
        <w:t>. Satisfaction of a Deferred Stock Award shall occur upon expiration of the deferral period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specified for such 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0" w:right="259" w:bottom="1440" w:gutter="0" w:footer="0" w:header="0"/>
        </w:sectPr>
      </w:pPr>
    </w:p>
    <w:bookmarkStart w:id="64" w:name="page65"/>
    <w:bookmarkEnd w:id="64"/>
    <w:p>
      <w:pPr>
        <w:ind w:left="1140" w:right="20" w:hanging="371"/>
        <w:spacing w:after="0" w:line="246" w:lineRule="auto"/>
        <w:tabs>
          <w:tab w:leader="none" w:pos="1140" w:val="left"/>
        </w:tabs>
        <w:numPr>
          <w:ilvl w:val="0"/>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Forfeiture</w:t>
      </w:r>
      <w:r>
        <w:rPr>
          <w:rFonts w:ascii="Arial" w:cs="Arial" w:eastAsia="Arial" w:hAnsi="Arial"/>
          <w:sz w:val="21"/>
          <w:szCs w:val="21"/>
          <w:color w:val="auto"/>
        </w:rPr>
        <w:t>. Except as otherwise determined by the Committee, upon termination of a Participant's Continuous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Service during the 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80" w:lineRule="exact"/>
        <w:rPr>
          <w:rFonts w:ascii="Arial" w:cs="Arial" w:eastAsia="Arial" w:hAnsi="Arial"/>
          <w:sz w:val="21"/>
          <w:szCs w:val="21"/>
          <w:color w:val="auto"/>
        </w:rPr>
      </w:pPr>
    </w:p>
    <w:p>
      <w:pPr>
        <w:ind w:left="1140" w:right="20" w:hanging="371"/>
        <w:spacing w:after="0" w:line="248" w:lineRule="auto"/>
        <w:tabs>
          <w:tab w:leader="none" w:pos="1140" w:val="left"/>
        </w:tabs>
        <w:numPr>
          <w:ilvl w:val="0"/>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Dividend Equivalents</w:t>
      </w:r>
      <w:r>
        <w:rPr>
          <w:rFonts w:ascii="Arial" w:cs="Arial" w:eastAsia="Arial" w:hAnsi="Arial"/>
          <w:sz w:val="21"/>
          <w:szCs w:val="21"/>
          <w:color w:val="auto"/>
        </w:rPr>
        <w:t>. Unless otherwise determined by the Committee at date of grant, any Dividend Equivalents that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are 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77" w:lineRule="exact"/>
        <w:rPr>
          <w:rFonts w:ascii="Arial" w:cs="Arial" w:eastAsia="Arial" w:hAnsi="Arial"/>
          <w:sz w:val="21"/>
          <w:szCs w:val="21"/>
          <w:color w:val="auto"/>
        </w:rPr>
      </w:pPr>
    </w:p>
    <w:p>
      <w:pPr>
        <w:ind w:right="60" w:firstLine="958"/>
        <w:spacing w:after="0" w:line="279" w:lineRule="auto"/>
        <w:tabs>
          <w:tab w:leader="none" w:pos="1815" w:val="left"/>
        </w:tabs>
        <w:numPr>
          <w:ilvl w:val="1"/>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Bonus Stock and Awards in Lieu of Obligations. </w:t>
      </w:r>
      <w:r>
        <w:rPr>
          <w:rFonts w:ascii="Arial" w:cs="Arial" w:eastAsia="Arial" w:hAnsi="Arial"/>
          <w:sz w:val="19"/>
          <w:szCs w:val="19"/>
          <w:color w:val="auto"/>
        </w:rPr>
        <w:t>The Committee is authorized to grant Shares to any Eligible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0" w:lineRule="exact"/>
        <w:rPr>
          <w:rFonts w:ascii="Arial" w:cs="Arial" w:eastAsia="Arial" w:hAnsi="Arial"/>
          <w:sz w:val="19"/>
          <w:szCs w:val="19"/>
          <w:color w:val="auto"/>
        </w:rPr>
      </w:pPr>
    </w:p>
    <w:p>
      <w:pPr>
        <w:ind w:right="60" w:firstLine="958"/>
        <w:spacing w:after="0" w:line="245" w:lineRule="auto"/>
        <w:tabs>
          <w:tab w:leader="none" w:pos="1851" w:val="left"/>
        </w:tabs>
        <w:numPr>
          <w:ilvl w:val="1"/>
          <w:numId w:val="69"/>
        </w:numPr>
        <w:rPr>
          <w:rFonts w:ascii="Arial" w:cs="Arial" w:eastAsia="Arial" w:hAnsi="Arial"/>
          <w:sz w:val="21"/>
          <w:szCs w:val="21"/>
          <w:color w:val="auto"/>
        </w:rPr>
      </w:pPr>
      <w:r>
        <w:rPr>
          <w:rFonts w:ascii="Arial" w:cs="Arial" w:eastAsia="Arial" w:hAnsi="Arial"/>
          <w:sz w:val="21"/>
          <w:szCs w:val="21"/>
          <w:b w:val="1"/>
          <w:bCs w:val="1"/>
          <w:i w:val="1"/>
          <w:iCs w:val="1"/>
          <w:color w:val="auto"/>
        </w:rPr>
        <w:t>Dividend Equivalents</w:t>
      </w:r>
      <w:r>
        <w:rPr>
          <w:rFonts w:ascii="Arial" w:cs="Arial" w:eastAsia="Arial" w:hAnsi="Arial"/>
          <w:sz w:val="21"/>
          <w:szCs w:val="21"/>
          <w:color w:val="auto"/>
        </w:rPr>
        <w:t>. The Committee is authorized to grant Dividend Equivalents to any Eligible Person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85" w:lineRule="exact"/>
        <w:rPr>
          <w:rFonts w:ascii="Arial" w:cs="Arial" w:eastAsia="Arial" w:hAnsi="Arial"/>
          <w:sz w:val="21"/>
          <w:szCs w:val="21"/>
          <w:color w:val="auto"/>
        </w:rPr>
      </w:pPr>
    </w:p>
    <w:p>
      <w:pPr>
        <w:ind w:right="80" w:firstLine="958"/>
        <w:spacing w:after="0" w:line="270" w:lineRule="auto"/>
        <w:tabs>
          <w:tab w:leader="none" w:pos="1851" w:val="left"/>
        </w:tabs>
        <w:numPr>
          <w:ilvl w:val="1"/>
          <w:numId w:val="69"/>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Awards</w:t>
      </w:r>
      <w:r>
        <w:rPr>
          <w:rFonts w:ascii="Arial" w:cs="Arial" w:eastAsia="Arial" w:hAnsi="Arial"/>
          <w:sz w:val="19"/>
          <w:szCs w:val="19"/>
          <w:color w:val="auto"/>
        </w:rPr>
        <w:t>. The Committee is authorized to grant Performance Awards to any Eligible Person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payable in cash, Shares, or other 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w:t>
      </w:r>
    </w:p>
    <w:p>
      <w:pPr>
        <w:spacing w:after="0" w:line="1"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1"/>
          <w:szCs w:val="21"/>
          <w:color w:val="auto"/>
        </w:rPr>
        <w:t>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5" w:name="page66"/>
    <w:bookmarkEnd w:id="65"/>
    <w:p>
      <w:pPr>
        <w:ind w:left="-20" w:right="40" w:firstLine="958"/>
        <w:spacing w:after="0" w:line="273" w:lineRule="auto"/>
        <w:tabs>
          <w:tab w:leader="none" w:pos="1783"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Other Stock-Based Awards</w:t>
      </w:r>
      <w:r>
        <w:rPr>
          <w:rFonts w:ascii="Arial" w:cs="Arial" w:eastAsia="Arial" w:hAnsi="Arial"/>
          <w:sz w:val="19"/>
          <w:szCs w:val="19"/>
          <w:color w:val="auto"/>
        </w:rPr>
        <w:t>. The Committee is authorized, subject to limitations under applicable law, to grant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56" w:lineRule="exact"/>
        <w:rPr>
          <w:sz w:val="20"/>
          <w:szCs w:val="20"/>
          <w:color w:val="auto"/>
        </w:rPr>
      </w:pPr>
    </w:p>
    <w:p>
      <w:pPr>
        <w:ind w:left="740"/>
        <w:spacing w:after="0"/>
        <w:tabs>
          <w:tab w:leader="none" w:pos="218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2"/>
          <w:szCs w:val="22"/>
          <w:b w:val="1"/>
          <w:bCs w:val="1"/>
          <w:i w:val="1"/>
          <w:iCs w:val="1"/>
          <w:color w:val="auto"/>
        </w:rPr>
        <w:t>Certain Provisions Applicable to Awards</w:t>
      </w:r>
      <w:r>
        <w:rPr>
          <w:rFonts w:ascii="Arial" w:cs="Arial" w:eastAsia="Arial" w:hAnsi="Arial"/>
          <w:sz w:val="22"/>
          <w:szCs w:val="22"/>
          <w:b w:val="1"/>
          <w:bCs w:val="1"/>
          <w:color w:val="auto"/>
        </w:rPr>
        <w:t>.</w:t>
      </w:r>
    </w:p>
    <w:p>
      <w:pPr>
        <w:spacing w:after="0" w:line="212" w:lineRule="exact"/>
        <w:rPr>
          <w:sz w:val="20"/>
          <w:szCs w:val="20"/>
          <w:color w:val="auto"/>
        </w:rPr>
      </w:pPr>
    </w:p>
    <w:p>
      <w:pPr>
        <w:ind w:left="-20" w:right="40" w:firstLine="958"/>
        <w:spacing w:after="0" w:line="272" w:lineRule="auto"/>
        <w:tabs>
          <w:tab w:leader="none" w:pos="1818" w:val="left"/>
        </w:tabs>
        <w:numPr>
          <w:ilvl w:val="0"/>
          <w:numId w:val="71"/>
        </w:numPr>
        <w:rPr>
          <w:rFonts w:ascii="Arial" w:cs="Arial" w:eastAsia="Arial" w:hAnsi="Arial"/>
          <w:sz w:val="19"/>
          <w:szCs w:val="19"/>
          <w:color w:val="auto"/>
        </w:rPr>
      </w:pPr>
      <w:r>
        <w:rPr>
          <w:rFonts w:ascii="Arial" w:cs="Arial" w:eastAsia="Arial" w:hAnsi="Arial"/>
          <w:sz w:val="19"/>
          <w:szCs w:val="19"/>
          <w:b w:val="1"/>
          <w:bCs w:val="1"/>
          <w:i w:val="1"/>
          <w:iCs w:val="1"/>
          <w:color w:val="auto"/>
        </w:rPr>
        <w:t>Stand-Alone, Additional, Tandem, and Substitute Awards</w:t>
      </w:r>
      <w:r>
        <w:rPr>
          <w:rFonts w:ascii="Arial" w:cs="Arial" w:eastAsia="Arial" w:hAnsi="Arial"/>
          <w:sz w:val="19"/>
          <w:szCs w:val="19"/>
          <w:color w:val="auto"/>
        </w:rPr>
        <w:t>. Awards granted under the Plan may,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61" w:lineRule="exact"/>
        <w:rPr>
          <w:rFonts w:ascii="Arial" w:cs="Arial" w:eastAsia="Arial" w:hAnsi="Arial"/>
          <w:sz w:val="19"/>
          <w:szCs w:val="19"/>
          <w:color w:val="auto"/>
        </w:rPr>
      </w:pPr>
    </w:p>
    <w:p>
      <w:pPr>
        <w:ind w:left="-20" w:right="20" w:firstLine="958"/>
        <w:spacing w:after="0" w:line="258" w:lineRule="auto"/>
        <w:tabs>
          <w:tab w:leader="none" w:pos="1831" w:val="left"/>
        </w:tabs>
        <w:numPr>
          <w:ilvl w:val="0"/>
          <w:numId w:val="71"/>
        </w:numPr>
        <w:rPr>
          <w:rFonts w:ascii="Arial" w:cs="Arial" w:eastAsia="Arial" w:hAnsi="Arial"/>
          <w:sz w:val="21"/>
          <w:szCs w:val="21"/>
          <w:color w:val="auto"/>
        </w:rPr>
      </w:pPr>
      <w:r>
        <w:rPr>
          <w:rFonts w:ascii="Arial" w:cs="Arial" w:eastAsia="Arial" w:hAnsi="Arial"/>
          <w:sz w:val="21"/>
          <w:szCs w:val="21"/>
          <w:b w:val="1"/>
          <w:bCs w:val="1"/>
          <w:i w:val="1"/>
          <w:iCs w:val="1"/>
          <w:color w:val="auto"/>
        </w:rPr>
        <w:t>Term of Awards</w:t>
      </w:r>
      <w:r>
        <w:rPr>
          <w:rFonts w:ascii="Arial" w:cs="Arial" w:eastAsia="Arial" w:hAnsi="Arial"/>
          <w:sz w:val="21"/>
          <w:szCs w:val="21"/>
          <w:color w:val="auto"/>
        </w:rPr>
        <w:t>. The term of each Award shall be for such period as may be determined by the Committee;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provided that in no event shall the term of any Option or Stock Appreciation Right exceed a period of ten years (or in the case of an Incentive Stock Option such shorter term as may be required under Section 422 of the Code).</w:t>
      </w:r>
    </w:p>
    <w:p>
      <w:pPr>
        <w:spacing w:after="0" w:line="166" w:lineRule="exact"/>
        <w:rPr>
          <w:rFonts w:ascii="Arial" w:cs="Arial" w:eastAsia="Arial" w:hAnsi="Arial"/>
          <w:sz w:val="21"/>
          <w:szCs w:val="21"/>
          <w:color w:val="auto"/>
        </w:rPr>
      </w:pPr>
    </w:p>
    <w:p>
      <w:pPr>
        <w:ind w:left="-20" w:firstLine="958"/>
        <w:spacing w:after="0" w:line="271" w:lineRule="auto"/>
        <w:tabs>
          <w:tab w:leader="none" w:pos="1818" w:val="left"/>
        </w:tabs>
        <w:numPr>
          <w:ilvl w:val="0"/>
          <w:numId w:val="71"/>
        </w:numPr>
        <w:rPr>
          <w:rFonts w:ascii="Arial" w:cs="Arial" w:eastAsia="Arial" w:hAnsi="Arial"/>
          <w:sz w:val="19"/>
          <w:szCs w:val="19"/>
          <w:color w:val="auto"/>
        </w:rPr>
      </w:pPr>
      <w:r>
        <w:rPr>
          <w:rFonts w:ascii="Arial" w:cs="Arial" w:eastAsia="Arial" w:hAnsi="Arial"/>
          <w:sz w:val="19"/>
          <w:szCs w:val="19"/>
          <w:b w:val="1"/>
          <w:bCs w:val="1"/>
          <w:i w:val="1"/>
          <w:iCs w:val="1"/>
          <w:color w:val="auto"/>
        </w:rPr>
        <w:t>Form and Timing of Payment Under Awards; Deferrals</w:t>
      </w:r>
      <w:r>
        <w:rPr>
          <w:rFonts w:ascii="Arial" w:cs="Arial" w:eastAsia="Arial" w:hAnsi="Arial"/>
          <w:sz w:val="19"/>
          <w:szCs w:val="19"/>
          <w:color w:val="auto"/>
        </w:rPr>
        <w:t>. Subject to the terms of the Plan and any applicable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0" w:right="259" w:bottom="1440" w:gutter="0" w:footer="0" w:header="0"/>
        </w:sectPr>
      </w:pPr>
    </w:p>
    <w:bookmarkStart w:id="66" w:name="page67"/>
    <w:bookmarkEnd w:id="66"/>
    <w:p>
      <w:pPr>
        <w:ind w:right="100" w:firstLine="958"/>
        <w:spacing w:after="0" w:line="279" w:lineRule="auto"/>
        <w:tabs>
          <w:tab w:leader="none" w:pos="1851" w:val="left"/>
        </w:tabs>
        <w:numPr>
          <w:ilvl w:val="0"/>
          <w:numId w:val="72"/>
        </w:numPr>
        <w:rPr>
          <w:rFonts w:ascii="Arial" w:cs="Arial" w:eastAsia="Arial" w:hAnsi="Arial"/>
          <w:sz w:val="19"/>
          <w:szCs w:val="19"/>
          <w:color w:val="auto"/>
        </w:rPr>
      </w:pPr>
      <w:r>
        <w:rPr>
          <w:rFonts w:ascii="Arial" w:cs="Arial" w:eastAsia="Arial" w:hAnsi="Arial"/>
          <w:sz w:val="19"/>
          <w:szCs w:val="19"/>
          <w:b w:val="1"/>
          <w:bCs w:val="1"/>
          <w:i w:val="1"/>
          <w:iCs w:val="1"/>
          <w:color w:val="auto"/>
        </w:rPr>
        <w:t>Exemptions from Section 16(b) Liability</w:t>
      </w:r>
      <w:r>
        <w:rPr>
          <w:rFonts w:ascii="Arial" w:cs="Arial" w:eastAsia="Arial" w:hAnsi="Arial"/>
          <w:sz w:val="19"/>
          <w:szCs w:val="19"/>
          <w:color w:val="auto"/>
        </w:rPr>
        <w:t>. It is the intent of the Company that the grant of any Awards to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0" w:lineRule="exact"/>
        <w:rPr>
          <w:rFonts w:ascii="Arial" w:cs="Arial" w:eastAsia="Arial" w:hAnsi="Arial"/>
          <w:sz w:val="19"/>
          <w:szCs w:val="19"/>
          <w:color w:val="auto"/>
        </w:rPr>
      </w:pPr>
    </w:p>
    <w:p>
      <w:pPr>
        <w:ind w:left="1840" w:hanging="882"/>
        <w:spacing w:after="0"/>
        <w:tabs>
          <w:tab w:leader="none" w:pos="1840" w:val="left"/>
        </w:tabs>
        <w:numPr>
          <w:ilvl w:val="0"/>
          <w:numId w:val="72"/>
        </w:numPr>
        <w:rPr>
          <w:rFonts w:ascii="Arial" w:cs="Arial" w:eastAsia="Arial" w:hAnsi="Arial"/>
          <w:sz w:val="22"/>
          <w:szCs w:val="22"/>
          <w:color w:val="auto"/>
        </w:rPr>
      </w:pPr>
      <w:r>
        <w:rPr>
          <w:rFonts w:ascii="Arial" w:cs="Arial" w:eastAsia="Arial" w:hAnsi="Arial"/>
          <w:sz w:val="22"/>
          <w:szCs w:val="22"/>
          <w:b w:val="1"/>
          <w:bCs w:val="1"/>
          <w:i w:val="1"/>
          <w:iCs w:val="1"/>
          <w:color w:val="auto"/>
        </w:rPr>
        <w:t>Code Section 409A</w:t>
      </w:r>
      <w:r>
        <w:rPr>
          <w:rFonts w:ascii="Arial" w:cs="Arial" w:eastAsia="Arial" w:hAnsi="Arial"/>
          <w:sz w:val="22"/>
          <w:szCs w:val="22"/>
          <w:color w:val="auto"/>
        </w:rPr>
        <w:t>.</w:t>
      </w:r>
    </w:p>
    <w:p>
      <w:pPr>
        <w:spacing w:after="0" w:line="206" w:lineRule="exact"/>
        <w:rPr>
          <w:sz w:val="20"/>
          <w:szCs w:val="20"/>
          <w:color w:val="auto"/>
        </w:rPr>
      </w:pPr>
    </w:p>
    <w:p>
      <w:pPr>
        <w:ind w:firstLine="761"/>
        <w:spacing w:after="0" w:line="251" w:lineRule="auto"/>
        <w:rPr>
          <w:sz w:val="20"/>
          <w:szCs w:val="20"/>
          <w:color w:val="auto"/>
        </w:rPr>
      </w:pPr>
      <w:r>
        <w:rPr>
          <w:rFonts w:ascii="Arial" w:cs="Arial" w:eastAsia="Arial" w:hAnsi="Arial"/>
          <w:sz w:val="22"/>
          <w:szCs w:val="22"/>
          <w:color w:val="auto"/>
        </w:rPr>
        <w:t>The following provisions shall apply to any Award that is or may potentially be subject to the requirements of Section 409A of the Code.</w:t>
      </w:r>
    </w:p>
    <w:p>
      <w:pPr>
        <w:spacing w:after="0" w:line="173" w:lineRule="exact"/>
        <w:rPr>
          <w:sz w:val="20"/>
          <w:szCs w:val="20"/>
          <w:color w:val="auto"/>
        </w:rPr>
      </w:pPr>
    </w:p>
    <w:p>
      <w:pPr>
        <w:jc w:val="both"/>
        <w:ind w:left="1140" w:hanging="371"/>
        <w:spacing w:after="0" w:line="234" w:lineRule="auto"/>
        <w:tabs>
          <w:tab w:leader="none" w:pos="11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Award Agreement for any Award that the Committee reasonably determines to be a “non-qualified deferred compensation plan” under Section 409A of the Code (a “Section 409A Plan”), and the provisions of the Plan applicable to that Award, shall be construed in a manner consistent with</w:t>
      </w:r>
      <w:r>
        <w:rPr>
          <w:rFonts w:ascii="Arial" w:cs="Arial" w:eastAsia="Arial" w:hAnsi="Arial"/>
          <w:sz w:val="22"/>
          <w:szCs w:val="22"/>
          <w:color w:val="auto"/>
          <w:strike w:val="1"/>
        </w:rPr>
        <w:t>,</w:t>
      </w:r>
      <w:r>
        <w:rPr>
          <w:rFonts w:ascii="Arial" w:cs="Arial" w:eastAsia="Arial" w:hAnsi="Arial"/>
          <w:sz w:val="22"/>
          <w:szCs w:val="22"/>
          <w:color w:val="auto"/>
        </w:rPr>
        <w:t xml:space="preserve">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91" w:lineRule="exact"/>
        <w:rPr>
          <w:rFonts w:ascii="Arial" w:cs="Arial" w:eastAsia="Arial" w:hAnsi="Arial"/>
          <w:sz w:val="22"/>
          <w:szCs w:val="22"/>
          <w:color w:val="auto"/>
        </w:rPr>
      </w:pPr>
    </w:p>
    <w:p>
      <w:pPr>
        <w:ind w:left="1140" w:right="1200" w:hanging="371"/>
        <w:spacing w:after="0" w:line="274" w:lineRule="auto"/>
        <w:tabs>
          <w:tab w:leader="none" w:pos="1140"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any Award constitutes a Section 409A Plan, then the Award shall be subject to the following additional requirements, if and to the extent required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-189865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-172720</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8" w:lineRule="exact"/>
        <w:rPr>
          <w:sz w:val="20"/>
          <w:szCs w:val="20"/>
          <w:color w:val="auto"/>
        </w:rPr>
      </w:pPr>
    </w:p>
    <w:p>
      <w:pPr>
        <w:ind w:left="1140" w:right="60" w:hanging="371"/>
        <w:spacing w:after="0" w:line="282" w:lineRule="auto"/>
        <w:tabs>
          <w:tab w:leader="none" w:pos="11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47" w:lineRule="exact"/>
        <w:rPr>
          <w:rFonts w:ascii="Arial" w:cs="Arial" w:eastAsia="Arial" w:hAnsi="Arial"/>
          <w:sz w:val="19"/>
          <w:szCs w:val="19"/>
          <w:color w:val="auto"/>
        </w:rPr>
      </w:pPr>
    </w:p>
    <w:p>
      <w:pPr>
        <w:ind w:left="1140" w:right="460" w:hanging="371"/>
        <w:spacing w:after="0" w:line="328" w:lineRule="auto"/>
        <w:tabs>
          <w:tab w:leader="none" w:pos="11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32" w:lineRule="exact"/>
        <w:rPr>
          <w:rFonts w:ascii="Arial" w:cs="Arial" w:eastAsia="Arial" w:hAnsi="Arial"/>
          <w:sz w:val="19"/>
          <w:szCs w:val="19"/>
          <w:color w:val="auto"/>
        </w:rPr>
      </w:pPr>
    </w:p>
    <w:p>
      <w:pPr>
        <w:ind w:left="1140" w:right="220" w:hanging="371"/>
        <w:spacing w:after="0" w:line="251" w:lineRule="auto"/>
        <w:tabs>
          <w:tab w:leader="none" w:pos="11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elections with respect to the deferral of such compensation or the time and form of distribution of such deferred compensation shall comply with the requirements of Section 409A(a)(4) of the Code; and</w:t>
      </w:r>
    </w:p>
    <w:p>
      <w:pPr>
        <w:spacing w:after="0" w:line="200" w:lineRule="exact"/>
        <w:rPr>
          <w:rFonts w:ascii="Arial" w:cs="Arial" w:eastAsia="Arial" w:hAnsi="Arial"/>
          <w:sz w:val="22"/>
          <w:szCs w:val="22"/>
          <w:color w:val="auto"/>
        </w:rPr>
      </w:pPr>
    </w:p>
    <w:p>
      <w:pPr>
        <w:ind w:left="1140" w:right="20" w:hanging="371"/>
        <w:spacing w:after="0"/>
        <w:tabs>
          <w:tab w:leader="none" w:pos="114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213"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94" w:lineRule="exact"/>
        <w:rPr>
          <w:sz w:val="20"/>
          <w:szCs w:val="20"/>
          <w:color w:val="auto"/>
        </w:rPr>
      </w:pPr>
    </w:p>
    <w:p>
      <w:pPr>
        <w:jc w:val="both"/>
        <w:ind w:left="1140" w:right="20" w:hanging="371"/>
        <w:spacing w:after="0"/>
        <w:tabs>
          <w:tab w:leader="none" w:pos="11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7" w:name="page68"/>
    <w:bookmarkEnd w:id="67"/>
    <w:p>
      <w:pPr>
        <w:jc w:val="both"/>
        <w:ind w:left="1140"/>
        <w:spacing w:after="0" w:line="238" w:lineRule="auto"/>
        <w:rPr>
          <w:sz w:val="20"/>
          <w:szCs w:val="20"/>
          <w:color w:val="auto"/>
        </w:rPr>
      </w:pPr>
      <w:r>
        <w:rPr>
          <w:rFonts w:ascii="Arial" w:cs="Arial" w:eastAsia="Arial" w:hAnsi="Arial"/>
          <w:sz w:val="22"/>
          <w:szCs w:val="22"/>
          <w:color w:val="auto"/>
        </w:rPr>
        <w:t>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85" w:lineRule="exact"/>
        <w:rPr>
          <w:sz w:val="20"/>
          <w:szCs w:val="20"/>
          <w:color w:val="auto"/>
        </w:rPr>
      </w:pPr>
    </w:p>
    <w:p>
      <w:pPr>
        <w:ind w:left="1580" w:hanging="811"/>
        <w:spacing w:after="0"/>
        <w:tabs>
          <w:tab w:leader="none" w:pos="1580" w:val="left"/>
        </w:tabs>
        <w:numPr>
          <w:ilvl w:val="1"/>
          <w:numId w:val="76"/>
        </w:numPr>
        <w:rPr>
          <w:rFonts w:ascii="Arial" w:cs="Arial" w:eastAsia="Arial" w:hAnsi="Arial"/>
          <w:sz w:val="22"/>
          <w:szCs w:val="22"/>
          <w:color w:val="auto"/>
        </w:rPr>
      </w:pPr>
      <w:r>
        <w:rPr>
          <w:rFonts w:ascii="Arial" w:cs="Arial" w:eastAsia="Arial" w:hAnsi="Arial"/>
          <w:sz w:val="22"/>
          <w:szCs w:val="22"/>
          <w:b w:val="1"/>
          <w:bCs w:val="1"/>
          <w:i w:val="1"/>
          <w:iCs w:val="1"/>
          <w:color w:val="auto"/>
        </w:rPr>
        <w:t>Code Section 162(m)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00" w:firstLine="958"/>
        <w:spacing w:after="0" w:line="297" w:lineRule="auto"/>
        <w:tabs>
          <w:tab w:leader="none" w:pos="1838" w:val="left"/>
        </w:tabs>
        <w:numPr>
          <w:ilvl w:val="2"/>
          <w:numId w:val="76"/>
        </w:numPr>
        <w:rPr>
          <w:rFonts w:ascii="Arial" w:cs="Arial" w:eastAsia="Arial" w:hAnsi="Arial"/>
          <w:sz w:val="19"/>
          <w:szCs w:val="19"/>
          <w:color w:val="auto"/>
        </w:rPr>
      </w:pPr>
      <w:r>
        <w:rPr>
          <w:rFonts w:ascii="Arial" w:cs="Arial" w:eastAsia="Arial" w:hAnsi="Arial"/>
          <w:sz w:val="19"/>
          <w:szCs w:val="19"/>
          <w:b w:val="1"/>
          <w:bCs w:val="1"/>
          <w:i w:val="1"/>
          <w:iCs w:val="1"/>
          <w:color w:val="auto"/>
        </w:rPr>
        <w:t>Covered Employees</w:t>
      </w:r>
      <w:r>
        <w:rPr>
          <w:rFonts w:ascii="Arial" w:cs="Arial" w:eastAsia="Arial" w:hAnsi="Arial"/>
          <w:sz w:val="19"/>
          <w:szCs w:val="19"/>
          <w:color w:val="auto"/>
        </w:rPr>
        <w:t>. The Committee, in its discretion, may determine at the time an Award is granted to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Eligible Person who is, or is likely to be, as of the end of the tax year in which the Company would claim a tax deduction in connection with such Award, a Covered Employee, that the provisions of this Section 8 shall be applicable to such Award.</w:t>
      </w:r>
    </w:p>
    <w:p>
      <w:pPr>
        <w:spacing w:after="0" w:line="134" w:lineRule="exact"/>
        <w:rPr>
          <w:rFonts w:ascii="Arial" w:cs="Arial" w:eastAsia="Arial" w:hAnsi="Arial"/>
          <w:sz w:val="19"/>
          <w:szCs w:val="19"/>
          <w:color w:val="auto"/>
        </w:rPr>
      </w:pPr>
    </w:p>
    <w:p>
      <w:pPr>
        <w:ind w:right="40" w:firstLine="958"/>
        <w:spacing w:after="0" w:line="268" w:lineRule="auto"/>
        <w:tabs>
          <w:tab w:leader="none" w:pos="1851" w:val="left"/>
        </w:tabs>
        <w:numPr>
          <w:ilvl w:val="2"/>
          <w:numId w:val="76"/>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If an Award is subject to this Section 8, then the lapsing of restrictions thereon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 event either not directly related to the operations of the Company or not within the reasonable control of the Company’s</w:t>
      </w:r>
    </w:p>
    <w:p>
      <w:pPr>
        <w:spacing w:after="0" w:line="24" w:lineRule="exact"/>
        <w:rPr>
          <w:rFonts w:ascii="Arial" w:cs="Arial" w:eastAsia="Arial" w:hAnsi="Arial"/>
          <w:sz w:val="19"/>
          <w:szCs w:val="19"/>
          <w:color w:val="auto"/>
        </w:rPr>
      </w:pPr>
    </w:p>
    <w:p>
      <w:pPr>
        <w:ind w:right="160"/>
        <w:spacing w:after="0" w:line="237" w:lineRule="auto"/>
        <w:rPr>
          <w:rFonts w:ascii="Arial" w:cs="Arial" w:eastAsia="Arial" w:hAnsi="Arial"/>
          <w:sz w:val="19"/>
          <w:szCs w:val="19"/>
          <w:color w:val="auto"/>
        </w:rPr>
      </w:pPr>
      <w:r>
        <w:rPr>
          <w:rFonts w:ascii="Arial" w:cs="Arial" w:eastAsia="Arial" w:hAnsi="Arial"/>
          <w:sz w:val="22"/>
          <w:szCs w:val="22"/>
          <w:color w:val="auto"/>
        </w:rPr>
        <w:t>management, (iii) a change in accounting standards required by generally accepted accounting principles, or (iv) any other item or event specified by the Committee at the time the goals are set.</w:t>
      </w:r>
    </w:p>
    <w:p>
      <w:pPr>
        <w:spacing w:after="0" w:line="184" w:lineRule="exact"/>
        <w:rPr>
          <w:rFonts w:ascii="Arial" w:cs="Arial" w:eastAsia="Arial" w:hAnsi="Arial"/>
          <w:sz w:val="19"/>
          <w:szCs w:val="19"/>
          <w:color w:val="auto"/>
        </w:rPr>
      </w:pPr>
    </w:p>
    <w:p>
      <w:pPr>
        <w:ind w:right="140" w:firstLine="958"/>
        <w:spacing w:after="0" w:line="249" w:lineRule="auto"/>
        <w:tabs>
          <w:tab w:leader="none" w:pos="1838" w:val="left"/>
        </w:tabs>
        <w:numPr>
          <w:ilvl w:val="2"/>
          <w:numId w:val="77"/>
        </w:numPr>
        <w:rPr>
          <w:rFonts w:ascii="Arial" w:cs="Arial" w:eastAsia="Arial" w:hAnsi="Arial"/>
          <w:sz w:val="21"/>
          <w:szCs w:val="21"/>
          <w:color w:val="auto"/>
        </w:rPr>
      </w:pPr>
      <w:r>
        <w:rPr>
          <w:rFonts w:ascii="Arial" w:cs="Arial" w:eastAsia="Arial" w:hAnsi="Arial"/>
          <w:sz w:val="21"/>
          <w:szCs w:val="21"/>
          <w:b w:val="1"/>
          <w:bCs w:val="1"/>
          <w:i w:val="1"/>
          <w:iCs w:val="1"/>
          <w:color w:val="auto"/>
        </w:rPr>
        <w:t>Performance Period; Timing For Establishing Performance Goals</w:t>
      </w:r>
      <w:r>
        <w:rPr>
          <w:rFonts w:ascii="Arial" w:cs="Arial" w:eastAsia="Arial" w:hAnsi="Arial"/>
          <w:sz w:val="21"/>
          <w:szCs w:val="21"/>
          <w:color w:val="auto"/>
        </w:rPr>
        <w:t>. Achievement of performance goals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 of such Performance 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178" w:lineRule="exact"/>
        <w:rPr>
          <w:rFonts w:ascii="Arial" w:cs="Arial" w:eastAsia="Arial" w:hAnsi="Arial"/>
          <w:sz w:val="21"/>
          <w:szCs w:val="21"/>
          <w:color w:val="auto"/>
        </w:rPr>
      </w:pPr>
    </w:p>
    <w:p>
      <w:pPr>
        <w:ind w:right="120" w:firstLine="958"/>
        <w:spacing w:after="0" w:line="249" w:lineRule="auto"/>
        <w:tabs>
          <w:tab w:leader="none" w:pos="1851" w:val="left"/>
        </w:tabs>
        <w:numPr>
          <w:ilvl w:val="2"/>
          <w:numId w:val="7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Adjustments. </w:t>
      </w:r>
      <w:r>
        <w:rPr>
          <w:rFonts w:ascii="Arial" w:cs="Arial" w:eastAsia="Arial" w:hAnsi="Arial"/>
          <w:sz w:val="21"/>
          <w:szCs w:val="21"/>
          <w:color w:val="auto"/>
        </w:rPr>
        <w:t>The Committee may, in its discretion, reduce the amount of a settlement otherwise to be made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connection with Awards 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8" w:name="page69"/>
    <w:bookmarkEnd w:id="68"/>
    <w:p>
      <w:pPr>
        <w:ind w:left="-40" w:right="120" w:firstLine="958"/>
        <w:spacing w:after="0" w:line="252" w:lineRule="auto"/>
        <w:tabs>
          <w:tab w:leader="none" w:pos="1798" w:val="left"/>
        </w:tabs>
        <w:numPr>
          <w:ilvl w:val="0"/>
          <w:numId w:val="78"/>
        </w:numPr>
        <w:rPr>
          <w:rFonts w:ascii="Arial" w:cs="Arial" w:eastAsia="Arial" w:hAnsi="Arial"/>
          <w:sz w:val="21"/>
          <w:szCs w:val="21"/>
          <w:color w:val="auto"/>
        </w:rPr>
      </w:pPr>
      <w:r>
        <w:rPr>
          <w:rFonts w:ascii="Arial" w:cs="Arial" w:eastAsia="Arial" w:hAnsi="Arial"/>
          <w:sz w:val="21"/>
          <w:szCs w:val="21"/>
          <w:b w:val="1"/>
          <w:bCs w:val="1"/>
          <w:i w:val="1"/>
          <w:iCs w:val="1"/>
          <w:color w:val="auto"/>
        </w:rPr>
        <w:t>Committee Certification</w:t>
      </w:r>
      <w:r>
        <w:rPr>
          <w:rFonts w:ascii="Arial" w:cs="Arial" w:eastAsia="Arial" w:hAnsi="Arial"/>
          <w:sz w:val="21"/>
          <w:szCs w:val="21"/>
          <w:color w:val="auto"/>
        </w:rPr>
        <w:t>. No Participant shall receive any payment under the Plan that is subject to this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Section 8 unless 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168" w:lineRule="exact"/>
        <w:rPr>
          <w:sz w:val="20"/>
          <w:szCs w:val="20"/>
          <w:color w:val="auto"/>
        </w:rPr>
      </w:pPr>
    </w:p>
    <w:p>
      <w:pPr>
        <w:ind w:left="720"/>
        <w:spacing w:after="0"/>
        <w:tabs>
          <w:tab w:leader="none" w:pos="216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b w:val="1"/>
          <w:bCs w:val="1"/>
          <w:i w:val="1"/>
          <w:iCs w:val="1"/>
          <w:color w:val="auto"/>
        </w:rPr>
        <w:t>Change in Control</w:t>
      </w:r>
      <w:r>
        <w:rPr>
          <w:rFonts w:ascii="Arial" w:cs="Arial" w:eastAsia="Arial" w:hAnsi="Arial"/>
          <w:sz w:val="22"/>
          <w:szCs w:val="22"/>
          <w:b w:val="1"/>
          <w:bCs w:val="1"/>
          <w:color w:val="auto"/>
        </w:rPr>
        <w:t>.</w:t>
      </w:r>
    </w:p>
    <w:p>
      <w:pPr>
        <w:spacing w:after="0" w:line="212" w:lineRule="exact"/>
        <w:rPr>
          <w:sz w:val="20"/>
          <w:szCs w:val="20"/>
          <w:color w:val="auto"/>
        </w:rPr>
      </w:pPr>
    </w:p>
    <w:p>
      <w:pPr>
        <w:ind w:left="-40" w:right="260" w:firstLine="958"/>
        <w:spacing w:after="0" w:line="328" w:lineRule="auto"/>
        <w:tabs>
          <w:tab w:leader="none" w:pos="1798" w:val="left"/>
        </w:tabs>
        <w:numPr>
          <w:ilvl w:val="1"/>
          <w:numId w:val="7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Effect of “Change in Control.” </w:t>
      </w:r>
      <w:r>
        <w:rPr>
          <w:rFonts w:ascii="Arial" w:cs="Arial" w:eastAsia="Arial" w:hAnsi="Arial"/>
          <w:sz w:val="19"/>
          <w:szCs w:val="19"/>
          <w:color w:val="auto"/>
        </w:rPr>
        <w:t>If and only to the extent provided in the Award Agreement, or to the extent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determined by the Committee, upon the occurrence of a “Change in Control,” as defined in Section 9(b):</w:t>
      </w:r>
    </w:p>
    <w:p>
      <w:pPr>
        <w:spacing w:after="0" w:line="105" w:lineRule="exact"/>
        <w:rPr>
          <w:rFonts w:ascii="Arial" w:cs="Arial" w:eastAsia="Arial" w:hAnsi="Arial"/>
          <w:sz w:val="19"/>
          <w:szCs w:val="19"/>
          <w:color w:val="auto"/>
        </w:rPr>
      </w:pPr>
    </w:p>
    <w:p>
      <w:pPr>
        <w:ind w:left="1880" w:right="40" w:firstLine="624"/>
        <w:spacing w:after="0"/>
        <w:tabs>
          <w:tab w:leader="none" w:pos="3276" w:val="left"/>
        </w:tabs>
        <w:numPr>
          <w:ilvl w:val="3"/>
          <w:numId w:val="79"/>
        </w:numPr>
        <w:rPr>
          <w:rFonts w:ascii="Arial" w:cs="Arial" w:eastAsia="Arial" w:hAnsi="Arial"/>
          <w:sz w:val="22"/>
          <w:szCs w:val="22"/>
          <w:color w:val="auto"/>
        </w:rPr>
      </w:pPr>
      <w:r>
        <w:rPr>
          <w:rFonts w:ascii="Arial" w:cs="Arial" w:eastAsia="Arial" w:hAnsi="Arial"/>
          <w:sz w:val="22"/>
          <w:szCs w:val="22"/>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86" w:lineRule="exact"/>
        <w:rPr>
          <w:rFonts w:ascii="Arial" w:cs="Arial" w:eastAsia="Arial" w:hAnsi="Arial"/>
          <w:sz w:val="22"/>
          <w:szCs w:val="22"/>
          <w:color w:val="auto"/>
        </w:rPr>
      </w:pPr>
    </w:p>
    <w:p>
      <w:pPr>
        <w:ind w:left="1880" w:right="140" w:firstLine="624"/>
        <w:spacing w:after="0" w:line="236" w:lineRule="auto"/>
        <w:tabs>
          <w:tab w:leader="none" w:pos="3336" w:val="left"/>
        </w:tabs>
        <w:numPr>
          <w:ilvl w:val="3"/>
          <w:numId w:val="79"/>
        </w:numPr>
        <w:rPr>
          <w:rFonts w:ascii="Arial" w:cs="Arial" w:eastAsia="Arial" w:hAnsi="Arial"/>
          <w:sz w:val="22"/>
          <w:szCs w:val="22"/>
          <w:color w:val="auto"/>
        </w:rPr>
      </w:pPr>
      <w:r>
        <w:rPr>
          <w:rFonts w:ascii="Arial" w:cs="Arial" w:eastAsia="Arial" w:hAnsi="Arial"/>
          <w:sz w:val="22"/>
          <w:szCs w:val="22"/>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87" w:lineRule="exact"/>
        <w:rPr>
          <w:rFonts w:ascii="Arial" w:cs="Arial" w:eastAsia="Arial" w:hAnsi="Arial"/>
          <w:sz w:val="22"/>
          <w:szCs w:val="22"/>
          <w:color w:val="auto"/>
        </w:rPr>
      </w:pPr>
    </w:p>
    <w:p>
      <w:pPr>
        <w:ind w:left="1880" w:right="40" w:firstLine="624"/>
        <w:spacing w:after="0"/>
        <w:tabs>
          <w:tab w:leader="none" w:pos="3396" w:val="left"/>
        </w:tabs>
        <w:numPr>
          <w:ilvl w:val="3"/>
          <w:numId w:val="79"/>
        </w:numPr>
        <w:rPr>
          <w:rFonts w:ascii="Arial" w:cs="Arial" w:eastAsia="Arial" w:hAnsi="Arial"/>
          <w:sz w:val="22"/>
          <w:szCs w:val="22"/>
          <w:color w:val="auto"/>
        </w:rPr>
      </w:pPr>
      <w:r>
        <w:rPr>
          <w:rFonts w:ascii="Arial" w:cs="Arial" w:eastAsia="Arial" w:hAnsi="Arial"/>
          <w:sz w:val="22"/>
          <w:szCs w:val="22"/>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86" w:lineRule="exact"/>
        <w:rPr>
          <w:rFonts w:ascii="Arial" w:cs="Arial" w:eastAsia="Arial" w:hAnsi="Arial"/>
          <w:sz w:val="22"/>
          <w:szCs w:val="22"/>
          <w:color w:val="auto"/>
        </w:rPr>
      </w:pPr>
    </w:p>
    <w:p>
      <w:pPr>
        <w:ind w:left="-40" w:firstLine="769"/>
        <w:spacing w:after="0" w:line="251" w:lineRule="auto"/>
        <w:tabs>
          <w:tab w:leader="none" w:pos="1621" w:val="left"/>
        </w:tabs>
        <w:numPr>
          <w:ilvl w:val="0"/>
          <w:numId w:val="8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Definition of “Change in Control”. </w:t>
      </w:r>
      <w:r>
        <w:rPr>
          <w:rFonts w:ascii="Arial" w:cs="Arial" w:eastAsia="Arial" w:hAnsi="Arial"/>
          <w:sz w:val="22"/>
          <w:szCs w:val="22"/>
          <w:color w:val="auto"/>
        </w:rPr>
        <w:t>Unless otherwise specified in an Award Agreement, a “Change in Control”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shall mean the occurrence of any of the following</w:t>
      </w:r>
      <w:r>
        <w:rPr>
          <w:rFonts w:ascii="Arial" w:cs="Arial" w:eastAsia="Arial" w:hAnsi="Arial"/>
          <w:sz w:val="22"/>
          <w:szCs w:val="22"/>
          <w:b w:val="1"/>
          <w:bCs w:val="1"/>
          <w:i w:val="1"/>
          <w:iCs w:val="1"/>
          <w:color w:val="auto"/>
        </w:rPr>
        <w:t>:</w:t>
      </w:r>
    </w:p>
    <w:p>
      <w:pPr>
        <w:spacing w:after="0" w:line="173" w:lineRule="exact"/>
        <w:rPr>
          <w:rFonts w:ascii="Arial" w:cs="Arial" w:eastAsia="Arial" w:hAnsi="Arial"/>
          <w:sz w:val="22"/>
          <w:szCs w:val="22"/>
          <w:b w:val="1"/>
          <w:bCs w:val="1"/>
          <w:i w:val="1"/>
          <w:iCs w:val="1"/>
          <w:color w:val="auto"/>
        </w:rPr>
      </w:pPr>
    </w:p>
    <w:p>
      <w:pPr>
        <w:ind w:left="2220" w:right="80" w:hanging="160"/>
        <w:spacing w:after="0" w:line="272" w:lineRule="auto"/>
        <w:tabs>
          <w:tab w:leader="none" w:pos="2220"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62" w:lineRule="exact"/>
        <w:rPr>
          <w:sz w:val="20"/>
          <w:szCs w:val="20"/>
          <w:color w:val="auto"/>
        </w:rPr>
      </w:pPr>
    </w:p>
    <w:p>
      <w:pPr>
        <w:ind w:left="2240" w:right="20" w:hanging="175"/>
        <w:spacing w:after="0" w:line="235" w:lineRule="auto"/>
        <w:rPr>
          <w:sz w:val="20"/>
          <w:szCs w:val="20"/>
          <w:color w:val="auto"/>
        </w:rPr>
      </w:pPr>
      <w:r>
        <w:rPr>
          <w:rFonts w:ascii="Arial" w:cs="Arial" w:eastAsia="Arial" w:hAnsi="Arial"/>
          <w:sz w:val="22"/>
          <w:szCs w:val="22"/>
          <w:color w:val="auto"/>
        </w:rPr>
        <w:t>ii.During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80" w:top="550" w:right="259" w:bottom="1440" w:gutter="0" w:footer="0" w:header="0"/>
        </w:sectPr>
      </w:pPr>
    </w:p>
    <w:bookmarkStart w:id="69" w:name="page70"/>
    <w:bookmarkEnd w:id="69"/>
    <w:p>
      <w:pPr>
        <w:ind w:left="2240"/>
        <w:spacing w:after="0" w:line="287" w:lineRule="auto"/>
        <w:rPr>
          <w:sz w:val="20"/>
          <w:szCs w:val="20"/>
          <w:color w:val="auto"/>
        </w:rPr>
      </w:pPr>
      <w:r>
        <w:rPr>
          <w:rFonts w:ascii="Arial" w:cs="Arial" w:eastAsia="Arial" w:hAnsi="Arial"/>
          <w:sz w:val="19"/>
          <w:szCs w:val="19"/>
          <w:color w:val="auto"/>
        </w:rPr>
        <w:t>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3" w:lineRule="exact"/>
        <w:rPr>
          <w:sz w:val="20"/>
          <w:szCs w:val="20"/>
          <w:color w:val="auto"/>
        </w:rPr>
      </w:pPr>
    </w:p>
    <w:p>
      <w:pPr>
        <w:ind w:left="2320" w:hanging="242"/>
        <w:spacing w:after="0" w:line="269" w:lineRule="auto"/>
        <w:rPr>
          <w:sz w:val="20"/>
          <w:szCs w:val="20"/>
          <w:color w:val="auto"/>
        </w:rPr>
      </w:pPr>
      <w:r>
        <w:rPr>
          <w:rFonts w:ascii="Arial" w:cs="Arial" w:eastAsia="Arial" w:hAnsi="Arial"/>
          <w:sz w:val="19"/>
          <w:szCs w:val="19"/>
          <w:color w:val="auto"/>
        </w:rPr>
        <w:t>iii.Consummation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5" w:lineRule="exact"/>
        <w:rPr>
          <w:sz w:val="20"/>
          <w:szCs w:val="20"/>
          <w:color w:val="auto"/>
        </w:rPr>
      </w:pPr>
    </w:p>
    <w:p>
      <w:pPr>
        <w:ind w:left="2080"/>
        <w:spacing w:after="0"/>
        <w:rPr>
          <w:sz w:val="20"/>
          <w:szCs w:val="20"/>
          <w:color w:val="auto"/>
        </w:rPr>
      </w:pPr>
      <w:r>
        <w:rPr>
          <w:rFonts w:ascii="Arial" w:cs="Arial" w:eastAsia="Arial" w:hAnsi="Arial"/>
          <w:sz w:val="19"/>
          <w:szCs w:val="19"/>
          <w:color w:val="auto"/>
        </w:rPr>
        <w:t>iv.Approval by the shareholders of the Company of a complete liquidation or dissolution of the Company.</w:t>
      </w:r>
    </w:p>
    <w:p>
      <w:pPr>
        <w:spacing w:after="0" w:line="235" w:lineRule="exact"/>
        <w:rPr>
          <w:sz w:val="20"/>
          <w:szCs w:val="20"/>
          <w:color w:val="auto"/>
        </w:rPr>
      </w:pPr>
    </w:p>
    <w:p>
      <w:pPr>
        <w:ind w:left="740"/>
        <w:spacing w:after="0"/>
        <w:tabs>
          <w:tab w:leader="none" w:pos="230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b w:val="1"/>
          <w:bCs w:val="1"/>
          <w:i w:val="1"/>
          <w:iCs w:val="1"/>
          <w:color w:val="auto"/>
        </w:rPr>
        <w:t>General Provisions</w:t>
      </w:r>
      <w:r>
        <w:rPr>
          <w:rFonts w:ascii="Arial" w:cs="Arial" w:eastAsia="Arial" w:hAnsi="Arial"/>
          <w:sz w:val="22"/>
          <w:szCs w:val="22"/>
          <w:b w:val="1"/>
          <w:bCs w:val="1"/>
          <w:color w:val="auto"/>
        </w:rPr>
        <w:t>.</w:t>
      </w:r>
    </w:p>
    <w:p>
      <w:pPr>
        <w:spacing w:after="0" w:line="212" w:lineRule="exact"/>
        <w:rPr>
          <w:sz w:val="20"/>
          <w:szCs w:val="20"/>
          <w:color w:val="auto"/>
        </w:rPr>
      </w:pPr>
    </w:p>
    <w:p>
      <w:pPr>
        <w:ind w:left="-20" w:right="100" w:firstLine="958"/>
        <w:spacing w:after="0" w:line="245" w:lineRule="auto"/>
        <w:tabs>
          <w:tab w:leader="none" w:pos="1818" w:val="left"/>
        </w:tabs>
        <w:numPr>
          <w:ilvl w:val="0"/>
          <w:numId w:val="81"/>
        </w:numPr>
        <w:rPr>
          <w:rFonts w:ascii="Arial" w:cs="Arial" w:eastAsia="Arial" w:hAnsi="Arial"/>
          <w:sz w:val="21"/>
          <w:szCs w:val="21"/>
          <w:color w:val="auto"/>
        </w:rPr>
      </w:pPr>
      <w:r>
        <w:rPr>
          <w:rFonts w:ascii="Arial" w:cs="Arial" w:eastAsia="Arial" w:hAnsi="Arial"/>
          <w:sz w:val="21"/>
          <w:szCs w:val="21"/>
          <w:b w:val="1"/>
          <w:bCs w:val="1"/>
          <w:i w:val="1"/>
          <w:iCs w:val="1"/>
          <w:color w:val="auto"/>
        </w:rPr>
        <w:t>Compliance With Legal and Other Requirements</w:t>
      </w:r>
      <w:r>
        <w:rPr>
          <w:rFonts w:ascii="Arial" w:cs="Arial" w:eastAsia="Arial" w:hAnsi="Arial"/>
          <w:sz w:val="21"/>
          <w:szCs w:val="21"/>
          <w:color w:val="auto"/>
        </w:rPr>
        <w:t>. The Company may, to the extent deemed necessary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0" w:right="259" w:bottom="1440" w:gutter="0" w:footer="0" w:header="0"/>
        </w:sectPr>
      </w:pPr>
    </w:p>
    <w:bookmarkStart w:id="70" w:name="page71"/>
    <w:bookmarkEnd w:id="70"/>
    <w:p>
      <w:pPr>
        <w:ind w:left="-20" w:firstLine="958"/>
        <w:spacing w:after="0" w:line="272" w:lineRule="auto"/>
        <w:tabs>
          <w:tab w:leader="none" w:pos="1831" w:val="left"/>
        </w:tabs>
        <w:numPr>
          <w:ilvl w:val="3"/>
          <w:numId w:val="82"/>
        </w:numPr>
        <w:rPr>
          <w:rFonts w:ascii="Arial" w:cs="Arial" w:eastAsia="Arial" w:hAnsi="Arial"/>
          <w:sz w:val="19"/>
          <w:szCs w:val="19"/>
          <w:color w:val="auto"/>
        </w:rPr>
      </w:pPr>
      <w:r>
        <w:rPr>
          <w:rFonts w:ascii="Arial" w:cs="Arial" w:eastAsia="Arial" w:hAnsi="Arial"/>
          <w:sz w:val="19"/>
          <w:szCs w:val="19"/>
          <w:b w:val="1"/>
          <w:bCs w:val="1"/>
          <w:i w:val="1"/>
          <w:iCs w:val="1"/>
          <w:color w:val="auto"/>
        </w:rPr>
        <w:t>Limits on Transferability; Beneficiaries</w:t>
      </w:r>
      <w:r>
        <w:rPr>
          <w:rFonts w:ascii="Arial" w:cs="Arial" w:eastAsia="Arial" w:hAnsi="Arial"/>
          <w:sz w:val="19"/>
          <w:szCs w:val="19"/>
          <w:color w:val="auto"/>
        </w:rPr>
        <w:t>. No Award or other right or interest granted under the Plan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61" w:lineRule="exact"/>
        <w:rPr>
          <w:rFonts w:ascii="Arial" w:cs="Arial" w:eastAsia="Arial" w:hAnsi="Arial"/>
          <w:sz w:val="19"/>
          <w:szCs w:val="19"/>
          <w:color w:val="auto"/>
        </w:rPr>
      </w:pPr>
    </w:p>
    <w:p>
      <w:pPr>
        <w:ind w:left="1820" w:hanging="882"/>
        <w:spacing w:after="0"/>
        <w:tabs>
          <w:tab w:leader="none" w:pos="1820" w:val="left"/>
        </w:tabs>
        <w:numPr>
          <w:ilvl w:val="3"/>
          <w:numId w:val="82"/>
        </w:numPr>
        <w:rPr>
          <w:rFonts w:ascii="Arial" w:cs="Arial" w:eastAsia="Arial" w:hAnsi="Arial"/>
          <w:sz w:val="22"/>
          <w:szCs w:val="22"/>
          <w:color w:val="auto"/>
        </w:rPr>
      </w:pPr>
      <w:r>
        <w:rPr>
          <w:rFonts w:ascii="Arial" w:cs="Arial" w:eastAsia="Arial" w:hAnsi="Arial"/>
          <w:sz w:val="22"/>
          <w:szCs w:val="22"/>
          <w:b w:val="1"/>
          <w:bCs w:val="1"/>
          <w:i w:val="1"/>
          <w:iCs w:val="1"/>
          <w:color w:val="auto"/>
        </w:rPr>
        <w:t>Adjustments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120" w:hanging="371"/>
        <w:spacing w:after="0" w:line="270" w:lineRule="auto"/>
        <w:tabs>
          <w:tab w:leader="none" w:pos="1120" w:val="left"/>
        </w:tabs>
        <w:numPr>
          <w:ilvl w:val="2"/>
          <w:numId w:val="83"/>
        </w:numPr>
        <w:rPr>
          <w:rFonts w:ascii="Arial" w:cs="Arial" w:eastAsia="Arial" w:hAnsi="Arial"/>
          <w:sz w:val="19"/>
          <w:szCs w:val="19"/>
          <w:color w:val="auto"/>
        </w:rPr>
      </w:pPr>
      <w:r>
        <w:rPr>
          <w:rFonts w:ascii="Arial" w:cs="Arial" w:eastAsia="Arial" w:hAnsi="Arial"/>
          <w:sz w:val="19"/>
          <w:szCs w:val="19"/>
          <w:b w:val="1"/>
          <w:bCs w:val="1"/>
          <w:i w:val="1"/>
          <w:iCs w:val="1"/>
          <w:color w:val="auto"/>
        </w:rPr>
        <w:t>Adjustments to Awards</w:t>
      </w:r>
      <w:r>
        <w:rPr>
          <w:rFonts w:ascii="Arial" w:cs="Arial" w:eastAsia="Arial" w:hAnsi="Arial"/>
          <w:sz w:val="19"/>
          <w:szCs w:val="19"/>
          <w:color w:val="auto"/>
        </w:rPr>
        <w:t>. In the event that any extraordinary dividend or other distribution (whether in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62" w:lineRule="exact"/>
        <w:rPr>
          <w:rFonts w:ascii="Arial" w:cs="Arial" w:eastAsia="Arial" w:hAnsi="Arial"/>
          <w:sz w:val="19"/>
          <w:szCs w:val="19"/>
          <w:color w:val="auto"/>
        </w:rPr>
      </w:pPr>
    </w:p>
    <w:p>
      <w:pPr>
        <w:ind w:left="1120" w:hanging="371"/>
        <w:spacing w:after="0"/>
        <w:tabs>
          <w:tab w:leader="none" w:pos="1120" w:val="left"/>
        </w:tabs>
        <w:numPr>
          <w:ilvl w:val="2"/>
          <w:numId w:val="8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Adjustments in Case of Certain Corporate Transactions.</w:t>
      </w:r>
    </w:p>
    <w:p>
      <w:pPr>
        <w:spacing w:after="0" w:line="206" w:lineRule="exact"/>
        <w:rPr>
          <w:rFonts w:ascii="Arial" w:cs="Arial" w:eastAsia="Arial" w:hAnsi="Arial"/>
          <w:sz w:val="22"/>
          <w:szCs w:val="22"/>
          <w:b w:val="1"/>
          <w:bCs w:val="1"/>
          <w:i w:val="1"/>
          <w:iCs w:val="1"/>
          <w:color w:val="auto"/>
        </w:rPr>
      </w:pPr>
    </w:p>
    <w:p>
      <w:pPr>
        <w:ind w:left="740" w:right="20" w:hanging="372"/>
        <w:spacing w:after="0" w:line="271" w:lineRule="auto"/>
        <w:tabs>
          <w:tab w:leader="none" w:pos="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 the event of any merger, consolidation or other reorganization in which the 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(1) the continuation of the outstanding Awards by the Company, if the Company is a surviving corporation,</w:t>
      </w:r>
    </w:p>
    <w:p>
      <w:pPr>
        <w:spacing w:after="0" w:line="3" w:lineRule="exact"/>
        <w:rPr>
          <w:rFonts w:ascii="Arial" w:cs="Arial" w:eastAsia="Arial" w:hAnsi="Arial"/>
          <w:sz w:val="19"/>
          <w:szCs w:val="19"/>
          <w:color w:val="auto"/>
        </w:rPr>
      </w:pPr>
    </w:p>
    <w:p>
      <w:pPr>
        <w:ind w:left="740" w:right="160" w:firstLine="6"/>
        <w:spacing w:after="0" w:line="237" w:lineRule="auto"/>
        <w:tabs>
          <w:tab w:leader="none" w:pos="1046"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assumption or substitution for, the outstanding Awards by the surviving corporation or its parent or subsidiary, (3) full exercisability or vesting and accelerated expiration of the outstanding Awards, or (4)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0" w:right="259" w:bottom="1440" w:gutter="0" w:footer="0" w:header="0"/>
        </w:sectPr>
      </w:pPr>
    </w:p>
    <w:bookmarkStart w:id="71" w:name="page72"/>
    <w:bookmarkEnd w:id="71"/>
    <w:p>
      <w:pPr>
        <w:ind w:left="380"/>
        <w:spacing w:after="0" w:line="274" w:lineRule="auto"/>
        <w:rPr>
          <w:sz w:val="20"/>
          <w:szCs w:val="20"/>
          <w:color w:val="auto"/>
        </w:rPr>
      </w:pPr>
      <w:r>
        <w:rPr>
          <w:rFonts w:ascii="Arial" w:cs="Arial" w:eastAsia="Arial" w:hAnsi="Arial"/>
          <w:sz w:val="19"/>
          <w:szCs w:val="19"/>
          <w:color w:val="auto"/>
        </w:rPr>
        <w:t>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59" w:lineRule="exact"/>
        <w:rPr>
          <w:sz w:val="20"/>
          <w:szCs w:val="20"/>
          <w:color w:val="auto"/>
        </w:rPr>
      </w:pPr>
    </w:p>
    <w:p>
      <w:pPr>
        <w:ind w:left="380" w:right="40" w:hanging="372"/>
        <w:spacing w:after="0" w:line="271" w:lineRule="auto"/>
        <w:tabs>
          <w:tab w:leader="none" w:pos="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purposes of this Section 10(c)(ii), an Option, Stock Appreciation Right, Restricted Stock Award, Deferred Stock Award or Other Stock-Based Award shall be considered assumed or substituted for if following the Change in Control the Award confers the right to purchase or receive, for each Share subject to the Option, Stock Appreciation Right, Restricted Stock Award, Deferred Stock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Stock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58" w:lineRule="exact"/>
        <w:rPr>
          <w:rFonts w:ascii="Arial" w:cs="Arial" w:eastAsia="Arial" w:hAnsi="Arial"/>
          <w:sz w:val="19"/>
          <w:szCs w:val="19"/>
          <w:color w:val="auto"/>
        </w:rPr>
      </w:pPr>
    </w:p>
    <w:p>
      <w:pPr>
        <w:ind w:left="760" w:hanging="371"/>
        <w:spacing w:after="0" w:line="271" w:lineRule="auto"/>
        <w:tabs>
          <w:tab w:leader="none" w:pos="760" w:val="left"/>
        </w:tabs>
        <w:numPr>
          <w:ilvl w:val="1"/>
          <w:numId w:val="85"/>
        </w:numPr>
        <w:rPr>
          <w:rFonts w:ascii="Arial" w:cs="Arial" w:eastAsia="Arial" w:hAnsi="Arial"/>
          <w:sz w:val="19"/>
          <w:szCs w:val="19"/>
          <w:color w:val="auto"/>
        </w:rPr>
      </w:pPr>
      <w:r>
        <w:rPr>
          <w:rFonts w:ascii="Arial" w:cs="Arial" w:eastAsia="Arial" w:hAnsi="Arial"/>
          <w:sz w:val="19"/>
          <w:szCs w:val="19"/>
          <w:b w:val="1"/>
          <w:bCs w:val="1"/>
          <w:i w:val="1"/>
          <w:iCs w:val="1"/>
          <w:color w:val="auto"/>
        </w:rPr>
        <w:t>Other Adjustments</w:t>
      </w:r>
      <w:r>
        <w:rPr>
          <w:rFonts w:ascii="Arial" w:cs="Arial" w:eastAsia="Arial" w:hAnsi="Arial"/>
          <w:sz w:val="19"/>
          <w:szCs w:val="19"/>
          <w:color w:val="auto"/>
        </w:rPr>
        <w:t>. The Committee (and the Board if and only to the extent such authority is not required to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620" w:top="550" w:right="259" w:bottom="1440" w:gutter="0" w:footer="0" w:header="0"/>
        </w:sectPr>
      </w:pPr>
    </w:p>
    <w:bookmarkStart w:id="72" w:name="page73"/>
    <w:bookmarkEnd w:id="72"/>
    <w:p>
      <w:pPr>
        <w:ind w:right="160" w:firstLine="958"/>
        <w:spacing w:after="0" w:line="246" w:lineRule="auto"/>
        <w:tabs>
          <w:tab w:leader="none" w:pos="1851" w:val="left"/>
        </w:tabs>
        <w:numPr>
          <w:ilvl w:val="1"/>
          <w:numId w:val="86"/>
        </w:numPr>
        <w:rPr>
          <w:rFonts w:ascii="Arial" w:cs="Arial" w:eastAsia="Arial" w:hAnsi="Arial"/>
          <w:sz w:val="21"/>
          <w:szCs w:val="21"/>
          <w:color w:val="auto"/>
        </w:rPr>
      </w:pPr>
      <w:r>
        <w:rPr>
          <w:rFonts w:ascii="Arial" w:cs="Arial" w:eastAsia="Arial" w:hAnsi="Arial"/>
          <w:sz w:val="21"/>
          <w:szCs w:val="21"/>
          <w:b w:val="1"/>
          <w:bCs w:val="1"/>
          <w:i w:val="1"/>
          <w:iCs w:val="1"/>
          <w:color w:val="auto"/>
        </w:rPr>
        <w:t>Taxes</w:t>
      </w:r>
      <w:r>
        <w:rPr>
          <w:rFonts w:ascii="Arial" w:cs="Arial" w:eastAsia="Arial" w:hAnsi="Arial"/>
          <w:sz w:val="21"/>
          <w:szCs w:val="21"/>
          <w:color w:val="auto"/>
        </w:rPr>
        <w:t>. The Company and any Related Entity are authorized to withhold from any Award granted,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w:t>
      </w:r>
    </w:p>
    <w:p>
      <w:pPr>
        <w:spacing w:after="0" w:line="180" w:lineRule="exact"/>
        <w:rPr>
          <w:rFonts w:ascii="Arial" w:cs="Arial" w:eastAsia="Arial" w:hAnsi="Arial"/>
          <w:sz w:val="21"/>
          <w:szCs w:val="21"/>
          <w:color w:val="auto"/>
        </w:rPr>
      </w:pPr>
    </w:p>
    <w:p>
      <w:pPr>
        <w:ind w:right="20" w:firstLine="966"/>
        <w:spacing w:after="0" w:line="244" w:lineRule="auto"/>
        <w:tabs>
          <w:tab w:leader="none" w:pos="1846" w:val="left"/>
        </w:tabs>
        <w:numPr>
          <w:ilvl w:val="1"/>
          <w:numId w:val="86"/>
        </w:numPr>
        <w:rPr>
          <w:rFonts w:ascii="Arial" w:cs="Arial" w:eastAsia="Arial" w:hAnsi="Arial"/>
          <w:sz w:val="21"/>
          <w:szCs w:val="21"/>
          <w:color w:val="auto"/>
        </w:rPr>
      </w:pPr>
      <w:r>
        <w:rPr>
          <w:rFonts w:ascii="Arial" w:cs="Arial" w:eastAsia="Arial" w:hAnsi="Arial"/>
          <w:sz w:val="21"/>
          <w:szCs w:val="21"/>
          <w:b w:val="1"/>
          <w:bCs w:val="1"/>
          <w:i w:val="1"/>
          <w:iCs w:val="1"/>
          <w:color w:val="auto"/>
        </w:rPr>
        <w:t>Changes to the Plan and Awards</w:t>
      </w:r>
      <w:r>
        <w:rPr>
          <w:rFonts w:ascii="Arial" w:cs="Arial" w:eastAsia="Arial" w:hAnsi="Arial"/>
          <w:sz w:val="21"/>
          <w:szCs w:val="21"/>
          <w:color w:val="auto"/>
        </w:rPr>
        <w:t>. The Board may amend, alter, suspend, discontinue or terminate the Plan,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87" w:lineRule="exact"/>
        <w:rPr>
          <w:rFonts w:ascii="Arial" w:cs="Arial" w:eastAsia="Arial" w:hAnsi="Arial"/>
          <w:sz w:val="21"/>
          <w:szCs w:val="21"/>
          <w:color w:val="auto"/>
        </w:rPr>
      </w:pPr>
    </w:p>
    <w:p>
      <w:pPr>
        <w:ind w:firstLine="966"/>
        <w:spacing w:after="0" w:line="270" w:lineRule="auto"/>
        <w:tabs>
          <w:tab w:leader="none" w:pos="1823" w:val="left"/>
        </w:tabs>
        <w:numPr>
          <w:ilvl w:val="1"/>
          <w:numId w:val="86"/>
        </w:numPr>
        <w:rPr>
          <w:rFonts w:ascii="Arial" w:cs="Arial" w:eastAsia="Arial" w:hAnsi="Arial"/>
          <w:sz w:val="19"/>
          <w:szCs w:val="19"/>
          <w:color w:val="auto"/>
        </w:rPr>
      </w:pPr>
      <w:r>
        <w:rPr>
          <w:rFonts w:ascii="Arial" w:cs="Arial" w:eastAsia="Arial" w:hAnsi="Arial"/>
          <w:sz w:val="19"/>
          <w:szCs w:val="19"/>
          <w:b w:val="1"/>
          <w:bCs w:val="1"/>
          <w:i w:val="1"/>
          <w:iCs w:val="1"/>
          <w:color w:val="auto"/>
        </w:rPr>
        <w:t>Limitation on Rights Conferred Under Plan</w:t>
      </w:r>
      <w:r>
        <w:rPr>
          <w:rFonts w:ascii="Arial" w:cs="Arial" w:eastAsia="Arial" w:hAnsi="Arial"/>
          <w:sz w:val="19"/>
          <w:szCs w:val="19"/>
          <w:color w:val="auto"/>
        </w:rPr>
        <w:t>. Neither the Plan nor any action taken hereunder or under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w:t>
      </w:r>
    </w:p>
    <w:p>
      <w:pPr>
        <w:spacing w:after="0" w:line="4" w:lineRule="exact"/>
        <w:rPr>
          <w:rFonts w:ascii="Arial" w:cs="Arial" w:eastAsia="Arial" w:hAnsi="Arial"/>
          <w:sz w:val="19"/>
          <w:szCs w:val="19"/>
          <w:color w:val="auto"/>
        </w:rPr>
      </w:pPr>
    </w:p>
    <w:p>
      <w:pPr>
        <w:ind w:right="40" w:firstLine="8"/>
        <w:spacing w:after="0" w:line="267" w:lineRule="auto"/>
        <w:tabs>
          <w:tab w:leader="none" w:pos="366"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w:t>
      </w:r>
    </w:p>
    <w:p>
      <w:pPr>
        <w:ind w:right="160"/>
        <w:spacing w:after="0" w:line="245" w:lineRule="auto"/>
        <w:rPr>
          <w:rFonts w:ascii="Arial" w:cs="Arial" w:eastAsia="Arial" w:hAnsi="Arial"/>
          <w:sz w:val="19"/>
          <w:szCs w:val="19"/>
          <w:color w:val="auto"/>
        </w:rPr>
      </w:pPr>
      <w:r>
        <w:rPr>
          <w:rFonts w:ascii="Arial" w:cs="Arial" w:eastAsia="Arial" w:hAnsi="Arial"/>
          <w:sz w:val="21"/>
          <w:szCs w:val="21"/>
          <w:color w:val="auto"/>
        </w:rPr>
        <w:t>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80" w:lineRule="exact"/>
        <w:rPr>
          <w:rFonts w:ascii="Arial" w:cs="Arial" w:eastAsia="Arial" w:hAnsi="Arial"/>
          <w:sz w:val="19"/>
          <w:szCs w:val="19"/>
          <w:color w:val="auto"/>
        </w:rPr>
      </w:pPr>
    </w:p>
    <w:p>
      <w:pPr>
        <w:ind w:firstLine="966"/>
        <w:spacing w:after="0" w:line="245" w:lineRule="auto"/>
        <w:tabs>
          <w:tab w:leader="none" w:pos="1859" w:val="left"/>
        </w:tabs>
        <w:numPr>
          <w:ilvl w:val="1"/>
          <w:numId w:val="87"/>
        </w:numPr>
        <w:rPr>
          <w:rFonts w:ascii="Arial" w:cs="Arial" w:eastAsia="Arial" w:hAnsi="Arial"/>
          <w:sz w:val="21"/>
          <w:szCs w:val="21"/>
          <w:color w:val="auto"/>
        </w:rPr>
      </w:pPr>
      <w:r>
        <w:rPr>
          <w:rFonts w:ascii="Arial" w:cs="Arial" w:eastAsia="Arial" w:hAnsi="Arial"/>
          <w:sz w:val="21"/>
          <w:szCs w:val="21"/>
          <w:b w:val="1"/>
          <w:bCs w:val="1"/>
          <w:i w:val="1"/>
          <w:iCs w:val="1"/>
          <w:color w:val="auto"/>
        </w:rPr>
        <w:t>Unfunded Status of Awards; Creation of Trusts</w:t>
      </w:r>
      <w:r>
        <w:rPr>
          <w:rFonts w:ascii="Arial" w:cs="Arial" w:eastAsia="Arial" w:hAnsi="Arial"/>
          <w:sz w:val="21"/>
          <w:szCs w:val="21"/>
          <w:color w:val="auto"/>
        </w:rPr>
        <w:t>. The Plan is intended to constitute an “unfunded” plan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incentive and deferred 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73" w:name="page74"/>
    <w:bookmarkEnd w:id="73"/>
    <w:p>
      <w:pPr>
        <w:ind w:right="20" w:firstLine="958"/>
        <w:spacing w:after="0" w:line="238" w:lineRule="auto"/>
        <w:tabs>
          <w:tab w:leader="none" w:pos="1851" w:val="left"/>
        </w:tabs>
        <w:numPr>
          <w:ilvl w:val="0"/>
          <w:numId w:val="88"/>
        </w:numPr>
        <w:rPr>
          <w:rFonts w:ascii="Arial" w:cs="Arial" w:eastAsia="Arial" w:hAnsi="Arial"/>
          <w:sz w:val="22"/>
          <w:szCs w:val="22"/>
          <w:color w:val="auto"/>
        </w:rPr>
      </w:pPr>
      <w:r>
        <w:rPr>
          <w:rFonts w:ascii="Arial" w:cs="Arial" w:eastAsia="Arial" w:hAnsi="Arial"/>
          <w:sz w:val="22"/>
          <w:szCs w:val="22"/>
          <w:b w:val="1"/>
          <w:bCs w:val="1"/>
          <w:i w:val="1"/>
          <w:iCs w:val="1"/>
          <w:color w:val="auto"/>
        </w:rPr>
        <w:t>Nonexclusivity of the Plan</w:t>
      </w:r>
      <w:r>
        <w:rPr>
          <w:rFonts w:ascii="Arial" w:cs="Arial" w:eastAsia="Arial" w:hAnsi="Arial"/>
          <w:sz w:val="22"/>
          <w:szCs w:val="22"/>
          <w:color w:val="auto"/>
        </w:rPr>
        <w:t>. Neither the adoption of the Plan by the Board nor its submission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shareholders of the 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85" w:lineRule="exact"/>
        <w:rPr>
          <w:rFonts w:ascii="Arial" w:cs="Arial" w:eastAsia="Arial" w:hAnsi="Arial"/>
          <w:sz w:val="22"/>
          <w:szCs w:val="22"/>
          <w:color w:val="auto"/>
        </w:rPr>
      </w:pPr>
    </w:p>
    <w:p>
      <w:pPr>
        <w:ind w:right="60" w:firstLine="958"/>
        <w:spacing w:after="0" w:line="282" w:lineRule="auto"/>
        <w:tabs>
          <w:tab w:leader="none" w:pos="1803" w:val="left"/>
        </w:tabs>
        <w:numPr>
          <w:ilvl w:val="0"/>
          <w:numId w:val="88"/>
        </w:numPr>
        <w:rPr>
          <w:rFonts w:ascii="Arial" w:cs="Arial" w:eastAsia="Arial" w:hAnsi="Arial"/>
          <w:sz w:val="19"/>
          <w:szCs w:val="19"/>
          <w:color w:val="auto"/>
        </w:rPr>
      </w:pPr>
      <w:r>
        <w:rPr>
          <w:rFonts w:ascii="Arial" w:cs="Arial" w:eastAsia="Arial" w:hAnsi="Arial"/>
          <w:sz w:val="19"/>
          <w:szCs w:val="19"/>
          <w:b w:val="1"/>
          <w:bCs w:val="1"/>
          <w:i w:val="1"/>
          <w:iCs w:val="1"/>
          <w:color w:val="auto"/>
        </w:rPr>
        <w:t>Payments in the Event of Forfeitures; Fractional Shares</w:t>
      </w:r>
      <w:r>
        <w:rPr>
          <w:rFonts w:ascii="Arial" w:cs="Arial" w:eastAsia="Arial" w:hAnsi="Arial"/>
          <w:sz w:val="19"/>
          <w:szCs w:val="19"/>
          <w:color w:val="auto"/>
        </w:rPr>
        <w:t>. Unless otherwise determined by the Committee,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47" w:lineRule="exact"/>
        <w:rPr>
          <w:rFonts w:ascii="Arial" w:cs="Arial" w:eastAsia="Arial" w:hAnsi="Arial"/>
          <w:sz w:val="19"/>
          <w:szCs w:val="19"/>
          <w:color w:val="auto"/>
        </w:rPr>
      </w:pPr>
    </w:p>
    <w:p>
      <w:pPr>
        <w:ind w:right="320" w:firstLine="958"/>
        <w:spacing w:after="0"/>
        <w:tabs>
          <w:tab w:leader="none" w:pos="1803" w:val="left"/>
        </w:tabs>
        <w:numPr>
          <w:ilvl w:val="0"/>
          <w:numId w:val="88"/>
        </w:numPr>
        <w:rPr>
          <w:rFonts w:ascii="Arial" w:cs="Arial" w:eastAsia="Arial" w:hAnsi="Arial"/>
          <w:sz w:val="22"/>
          <w:szCs w:val="22"/>
          <w:color w:val="auto"/>
        </w:rPr>
      </w:pPr>
      <w:r>
        <w:rPr>
          <w:rFonts w:ascii="Arial" w:cs="Arial" w:eastAsia="Arial" w:hAnsi="Arial"/>
          <w:sz w:val="22"/>
          <w:szCs w:val="22"/>
          <w:b w:val="1"/>
          <w:bCs w:val="1"/>
          <w:i w:val="1"/>
          <w:iCs w:val="1"/>
          <w:color w:val="auto"/>
        </w:rPr>
        <w:t>Governing Law</w:t>
      </w:r>
      <w:r>
        <w:rPr>
          <w:rFonts w:ascii="Arial" w:cs="Arial" w:eastAsia="Arial" w:hAnsi="Arial"/>
          <w:sz w:val="22"/>
          <w:szCs w:val="22"/>
          <w:color w:val="auto"/>
        </w:rPr>
        <w:t>. The validity, construction and effect of the Plan, any rules and regulations under the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any Award Agreement shall be determined in accordance with the laws of the State of Delaware without giving effect to principles of conflict of laws, and applicable federal law.</w:t>
      </w:r>
    </w:p>
    <w:p>
      <w:pPr>
        <w:spacing w:after="0" w:line="186" w:lineRule="exact"/>
        <w:rPr>
          <w:rFonts w:ascii="Arial" w:cs="Arial" w:eastAsia="Arial" w:hAnsi="Arial"/>
          <w:sz w:val="22"/>
          <w:szCs w:val="22"/>
          <w:color w:val="auto"/>
        </w:rPr>
      </w:pPr>
    </w:p>
    <w:p>
      <w:pPr>
        <w:ind w:right="180" w:firstLine="958"/>
        <w:spacing w:after="0" w:line="238" w:lineRule="auto"/>
        <w:tabs>
          <w:tab w:leader="none" w:pos="1851" w:val="left"/>
        </w:tabs>
        <w:numPr>
          <w:ilvl w:val="0"/>
          <w:numId w:val="88"/>
        </w:numPr>
        <w:rPr>
          <w:rFonts w:ascii="Arial" w:cs="Arial" w:eastAsia="Arial" w:hAnsi="Arial"/>
          <w:sz w:val="22"/>
          <w:szCs w:val="22"/>
          <w:color w:val="auto"/>
        </w:rPr>
      </w:pPr>
      <w:r>
        <w:rPr>
          <w:rFonts w:ascii="Arial" w:cs="Arial" w:eastAsia="Arial" w:hAnsi="Arial"/>
          <w:sz w:val="22"/>
          <w:szCs w:val="22"/>
          <w:b w:val="1"/>
          <w:bCs w:val="1"/>
          <w:i w:val="1"/>
          <w:iCs w:val="1"/>
          <w:color w:val="auto"/>
        </w:rPr>
        <w:t>Non-U.S. Laws</w:t>
      </w:r>
      <w:r>
        <w:rPr>
          <w:rFonts w:ascii="Arial" w:cs="Arial" w:eastAsia="Arial" w:hAnsi="Arial"/>
          <w:sz w:val="22"/>
          <w:szCs w:val="22"/>
          <w:color w:val="auto"/>
        </w:rPr>
        <w:t>. The Committee shall have the authority to adopt such modifications, procedures,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85" w:lineRule="exact"/>
        <w:rPr>
          <w:rFonts w:ascii="Arial" w:cs="Arial" w:eastAsia="Arial" w:hAnsi="Arial"/>
          <w:sz w:val="22"/>
          <w:szCs w:val="22"/>
          <w:color w:val="auto"/>
        </w:rPr>
      </w:pPr>
    </w:p>
    <w:p>
      <w:pPr>
        <w:ind w:firstLine="958"/>
        <w:spacing w:after="0" w:line="274" w:lineRule="auto"/>
        <w:tabs>
          <w:tab w:leader="none" w:pos="1803" w:val="left"/>
        </w:tabs>
        <w:numPr>
          <w:ilvl w:val="0"/>
          <w:numId w:val="88"/>
        </w:numPr>
        <w:rPr>
          <w:rFonts w:ascii="Arial" w:cs="Arial" w:eastAsia="Arial" w:hAnsi="Arial"/>
          <w:sz w:val="19"/>
          <w:szCs w:val="19"/>
          <w:color w:val="auto"/>
        </w:rPr>
      </w:pPr>
      <w:r>
        <w:rPr>
          <w:rFonts w:ascii="Arial" w:cs="Arial" w:eastAsia="Arial" w:hAnsi="Arial"/>
          <w:sz w:val="19"/>
          <w:szCs w:val="19"/>
          <w:b w:val="1"/>
          <w:bCs w:val="1"/>
          <w:i w:val="1"/>
          <w:iCs w:val="1"/>
          <w:color w:val="auto"/>
        </w:rPr>
        <w:t>Plan Effective Date and Shareholder Approval; Termination of Plan</w:t>
      </w:r>
      <w:r>
        <w:rPr>
          <w:rFonts w:ascii="Arial" w:cs="Arial" w:eastAsia="Arial" w:hAnsi="Arial"/>
          <w:sz w:val="19"/>
          <w:szCs w:val="19"/>
          <w:color w:val="auto"/>
        </w:rPr>
        <w:t>. The Plan shall become effective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4" w:name="page75"/>
    <w:bookmarkEnd w:id="74"/>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Notice of 2015 Annual Meeting of</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Thursday, August 13, 2015</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9:00 A.M. EDT</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490220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5" w:name="page76"/>
    <w:bookmarkEnd w:id="75"/>
    <w:p>
      <w:pPr>
        <w:jc w:val="center"/>
        <w:ind w:right="-57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579"/>
        <w:spacing w:after="0"/>
        <w:rPr>
          <w:sz w:val="20"/>
          <w:szCs w:val="20"/>
          <w:color w:val="auto"/>
        </w:rPr>
      </w:pPr>
      <w:r>
        <w:rPr>
          <w:rFonts w:ascii="Arial" w:cs="Arial" w:eastAsia="Arial" w:hAnsi="Arial"/>
          <w:sz w:val="22"/>
          <w:szCs w:val="22"/>
          <w:color w:val="auto"/>
        </w:rPr>
        <w:t>DESTINATION XL GROUP, INC.</w:t>
      </w:r>
    </w:p>
    <w:p>
      <w:pPr>
        <w:ind w:left="5080"/>
        <w:spacing w:after="0"/>
        <w:rPr>
          <w:sz w:val="20"/>
          <w:szCs w:val="20"/>
          <w:color w:val="auto"/>
        </w:rPr>
      </w:pPr>
      <w:r>
        <w:rPr>
          <w:rFonts w:ascii="Arial" w:cs="Arial" w:eastAsia="Arial" w:hAnsi="Arial"/>
          <w:sz w:val="18"/>
          <w:szCs w:val="18"/>
          <w:b w:val="1"/>
          <w:bCs w:val="1"/>
          <w:color w:val="auto"/>
        </w:rPr>
        <w:t>August 13, 2015</w:t>
      </w:r>
    </w:p>
    <w:p>
      <w:pPr>
        <w:spacing w:after="0" w:line="147" w:lineRule="exact"/>
        <w:rPr>
          <w:sz w:val="20"/>
          <w:szCs w:val="20"/>
          <w:color w:val="auto"/>
        </w:rPr>
      </w:pPr>
    </w:p>
    <w:p>
      <w:pPr>
        <w:jc w:val="center"/>
        <w:ind w:right="-579"/>
        <w:spacing w:after="0"/>
        <w:rPr>
          <w:sz w:val="20"/>
          <w:szCs w:val="20"/>
          <w:color w:val="auto"/>
        </w:rPr>
      </w:pPr>
      <w:r>
        <w:rPr>
          <w:rFonts w:ascii="Arial" w:cs="Arial" w:eastAsia="Arial" w:hAnsi="Arial"/>
          <w:sz w:val="9"/>
          <w:szCs w:val="9"/>
          <w:b w:val="1"/>
          <w:bCs w:val="1"/>
          <w:color w:val="auto"/>
        </w:rPr>
        <w:t>GO GREEN</w:t>
      </w:r>
    </w:p>
    <w:p>
      <w:pPr>
        <w:jc w:val="center"/>
        <w:ind w:right="-579"/>
        <w:spacing w:after="0" w:line="221" w:lineRule="auto"/>
        <w:rPr>
          <w:sz w:val="20"/>
          <w:szCs w:val="20"/>
          <w:color w:val="auto"/>
        </w:rPr>
      </w:pPr>
      <w:r>
        <w:rPr>
          <w:rFonts w:ascii="Arial" w:cs="Arial" w:eastAsia="Arial" w:hAnsi="Arial"/>
          <w:sz w:val="9"/>
          <w:szCs w:val="9"/>
          <w:color w:val="auto"/>
        </w:rPr>
        <w:t>e-consent makes it easy to go paperless. With e-consent, you can quickly access your proxy material, statements and other eligible documents online, while reducing costs, clutter and paper</w:t>
      </w:r>
    </w:p>
    <w:p>
      <w:pPr>
        <w:jc w:val="center"/>
        <w:ind w:right="-579"/>
        <w:spacing w:after="0"/>
        <w:rPr>
          <w:sz w:val="20"/>
          <w:szCs w:val="20"/>
          <w:color w:val="auto"/>
        </w:rPr>
      </w:pPr>
      <w:r>
        <w:rPr>
          <w:rFonts w:ascii="Arial" w:cs="Arial" w:eastAsia="Arial" w:hAnsi="Arial"/>
          <w:sz w:val="9"/>
          <w:szCs w:val="9"/>
          <w:color w:val="auto"/>
        </w:rPr>
        <w:t xml:space="preserve">waste. Enroll today via </w:t>
      </w:r>
      <w:r>
        <w:rPr>
          <w:rFonts w:ascii="Arial" w:cs="Arial" w:eastAsia="Arial" w:hAnsi="Arial"/>
          <w:sz w:val="9"/>
          <w:szCs w:val="9"/>
          <w:u w:val="single" w:color="auto"/>
          <w:color w:val="auto"/>
        </w:rPr>
        <w:t>www.amstock.com</w:t>
      </w:r>
      <w:r>
        <w:rPr>
          <w:rFonts w:ascii="Arial" w:cs="Arial" w:eastAsia="Arial" w:hAnsi="Arial"/>
          <w:sz w:val="9"/>
          <w:szCs w:val="9"/>
          <w:color w:val="auto"/>
        </w:rPr>
        <w:t xml:space="preserve"> to enjoy online access.</w:t>
      </w:r>
    </w:p>
    <w:p>
      <w:pPr>
        <w:spacing w:after="0" w:line="129" w:lineRule="exact"/>
        <w:rPr>
          <w:sz w:val="20"/>
          <w:szCs w:val="20"/>
          <w:color w:val="auto"/>
        </w:rPr>
      </w:pPr>
    </w:p>
    <w:p>
      <w:pPr>
        <w:jc w:val="center"/>
        <w:ind w:right="-579"/>
        <w:spacing w:after="0"/>
        <w:rPr>
          <w:sz w:val="20"/>
          <w:szCs w:val="20"/>
          <w:color w:val="auto"/>
        </w:rPr>
      </w:pPr>
      <w:r>
        <w:rPr>
          <w:rFonts w:ascii="Arial" w:cs="Arial" w:eastAsia="Arial" w:hAnsi="Arial"/>
          <w:sz w:val="16"/>
          <w:szCs w:val="16"/>
          <w:u w:val="single" w:color="auto"/>
          <w:color w:val="auto"/>
        </w:rPr>
        <w:t>Important Notice Regarding Internet Availability of Proxy Materials for the Annual Meeting of Stockholders to be Held on August 13, 2015</w:t>
      </w:r>
      <w:r>
        <w:rPr>
          <w:rFonts w:ascii="Arial" w:cs="Arial" w:eastAsia="Arial" w:hAnsi="Arial"/>
          <w:sz w:val="16"/>
          <w:szCs w:val="16"/>
          <w:color w:val="auto"/>
        </w:rPr>
        <w:t>:</w:t>
      </w:r>
    </w:p>
    <w:p>
      <w:pPr>
        <w:spacing w:after="0" w:line="22"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 xml:space="preserve">The Proxy Statement and 2015 Annual Report to Stockholders are available at </w:t>
      </w:r>
      <w:r>
        <w:rPr>
          <w:rFonts w:ascii="Arial" w:cs="Arial" w:eastAsia="Arial" w:hAnsi="Arial"/>
          <w:sz w:val="16"/>
          <w:szCs w:val="16"/>
          <w:u w:val="single" w:color="auto"/>
          <w:color w:val="auto"/>
        </w:rPr>
        <w:t>http://investor.destinationxl.com/proxymaterials.cfm</w:t>
      </w:r>
    </w:p>
    <w:p>
      <w:pPr>
        <w:spacing w:after="0" w:line="154"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auto"/>
        </w:rPr>
        <w:t>PLEASE SIGN, DATE AND MAIL</w:t>
      </w:r>
    </w:p>
    <w:p>
      <w:pPr>
        <w:jc w:val="center"/>
        <w:ind w:right="-57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579"/>
        <w:spacing w:after="0" w:line="233" w:lineRule="auto"/>
        <w:rPr>
          <w:sz w:val="20"/>
          <w:szCs w:val="20"/>
          <w:color w:val="auto"/>
        </w:rPr>
      </w:pPr>
      <w:r>
        <w:rPr>
          <w:rFonts w:ascii="Arial" w:cs="Arial" w:eastAsia="Arial" w:hAnsi="Arial"/>
          <w:sz w:val="14"/>
          <w:szCs w:val="14"/>
          <w:color w:val="auto"/>
        </w:rPr>
        <w:t>PROVIDED AS SOON AS POSSIBLE.</w:t>
      </w:r>
    </w:p>
    <w:p>
      <w:pPr>
        <w:ind w:left="4420"/>
        <w:spacing w:after="0"/>
        <w:rPr>
          <w:sz w:val="20"/>
          <w:szCs w:val="20"/>
          <w:color w:val="auto"/>
        </w:rPr>
      </w:pPr>
      <w:r>
        <w:rPr>
          <w:rFonts w:ascii="Arial" w:cs="Arial" w:eastAsia="Arial" w:hAnsi="Arial"/>
          <w:sz w:val="9"/>
          <w:szCs w:val="9"/>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250430" cy="2273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27330"/>
                    </a:xfrm>
                    <a:prstGeom prst="rect">
                      <a:avLst/>
                    </a:prstGeom>
                    <a:noFill/>
                  </pic:spPr>
                </pic:pic>
              </a:graphicData>
            </a:graphic>
          </wp:anchor>
        </w:drawing>
      </w:r>
    </w:p>
    <w:p>
      <w:pPr>
        <w:spacing w:after="0" w:line="276" w:lineRule="exact"/>
        <w:rPr>
          <w:sz w:val="20"/>
          <w:szCs w:val="20"/>
          <w:color w:val="auto"/>
        </w:rPr>
      </w:pPr>
    </w:p>
    <w:p>
      <w:pPr>
        <w:jc w:val="center"/>
        <w:ind w:right="-579"/>
        <w:spacing w:after="0"/>
        <w:rPr>
          <w:sz w:val="20"/>
          <w:szCs w:val="20"/>
          <w:color w:val="auto"/>
        </w:rPr>
      </w:pPr>
      <w:r>
        <w:rPr>
          <w:rFonts w:ascii="Arial" w:cs="Arial" w:eastAsia="Arial" w:hAnsi="Arial"/>
          <w:sz w:val="13"/>
          <w:szCs w:val="13"/>
          <w:b w:val="1"/>
          <w:bCs w:val="1"/>
          <w:color w:val="auto"/>
        </w:rPr>
        <w:t>THE BOARD OF DIRECTORS RECOMMENDS A VOTE “FOR” THE ELECTION OF DIRECTORS AND “FOR” PROPOSALS 2, 3 AND 4.</w:t>
      </w:r>
    </w:p>
    <w:p>
      <w:pPr>
        <w:spacing w:after="0" w:line="8" w:lineRule="exact"/>
        <w:rPr>
          <w:sz w:val="20"/>
          <w:szCs w:val="20"/>
          <w:color w:val="auto"/>
        </w:rPr>
      </w:pPr>
    </w:p>
    <w:p>
      <w:pPr>
        <w:jc w:val="center"/>
        <w:ind w:right="-599"/>
        <w:spacing w:after="0" w:line="150"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MAKE YOUR VOTE IN BLUE OR BLACK INK AS SHOWN HERE </w:t>
      </w:r>
      <w:r>
        <w:rPr>
          <w:rFonts w:ascii="MS PGothic" w:cs="MS PGothic" w:eastAsia="MS PGothic" w:hAnsi="MS PGothic"/>
          <w:sz w:val="13"/>
          <w:szCs w:val="13"/>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938010" cy="5291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38010" cy="5291455"/>
                    </a:xfrm>
                    <a:prstGeom prst="rect">
                      <a:avLst/>
                    </a:prstGeom>
                    <a:noFill/>
                  </pic:spPr>
                </pic:pic>
              </a:graphicData>
            </a:graphic>
          </wp:anchor>
        </w:drawing>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00" w:type="dxa"/>
            <w:vAlign w:val="bottom"/>
          </w:tcPr>
          <w:p>
            <w:pPr>
              <w:jc w:val="right"/>
              <w:ind w:right="608"/>
              <w:spacing w:after="0"/>
              <w:rPr>
                <w:sz w:val="20"/>
                <w:szCs w:val="20"/>
                <w:color w:val="auto"/>
              </w:rPr>
            </w:pPr>
            <w:r>
              <w:rPr>
                <w:rFonts w:ascii="Arial" w:cs="Arial" w:eastAsia="Arial" w:hAnsi="Arial"/>
                <w:sz w:val="14"/>
                <w:szCs w:val="14"/>
                <w:color w:val="auto"/>
                <w:w w:val="85"/>
              </w:rPr>
              <w:t>1.</w:t>
            </w:r>
          </w:p>
        </w:tc>
        <w:tc>
          <w:tcPr>
            <w:tcW w:w="7300" w:type="dxa"/>
            <w:vAlign w:val="bottom"/>
          </w:tcPr>
          <w:p>
            <w:pPr>
              <w:ind w:left="70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ALL NOMINEES</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NAMED BELOW.</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3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Nominees: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73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Seymour Holtzman</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David A. Levin</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Alan S. Bernikow</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Jesse Choper</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John E. Kyees</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Willem Mesdag</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Ward K. Mooney</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George T. Porter, Jr.</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Mitchell S. Presser</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7300" w:type="dxa"/>
            <w:vAlign w:val="bottom"/>
          </w:tcPr>
          <w:p>
            <w:pPr>
              <w:ind w:left="700"/>
              <w:spacing w:after="0"/>
              <w:rPr>
                <w:sz w:val="20"/>
                <w:szCs w:val="20"/>
                <w:color w:val="auto"/>
              </w:rPr>
            </w:pPr>
            <w:r>
              <w:rPr>
                <w:rFonts w:ascii="Arial" w:cs="Arial" w:eastAsia="Arial" w:hAnsi="Arial"/>
                <w:sz w:val="14"/>
                <w:szCs w:val="14"/>
                <w:color w:val="auto"/>
              </w:rPr>
              <w:t>Ivy Ross</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66"/>
        </w:trPr>
        <w:tc>
          <w:tcPr>
            <w:tcW w:w="800" w:type="dxa"/>
            <w:vAlign w:val="bottom"/>
          </w:tcPr>
          <w:p>
            <w:pPr>
              <w:jc w:val="right"/>
              <w:ind w:right="608"/>
              <w:spacing w:after="0"/>
              <w:rPr>
                <w:sz w:val="20"/>
                <w:szCs w:val="20"/>
                <w:color w:val="auto"/>
              </w:rPr>
            </w:pPr>
            <w:r>
              <w:rPr>
                <w:rFonts w:ascii="Arial" w:cs="Arial" w:eastAsia="Arial" w:hAnsi="Arial"/>
                <w:sz w:val="14"/>
                <w:szCs w:val="14"/>
                <w:color w:val="auto"/>
                <w:w w:val="85"/>
              </w:rPr>
              <w:t>2.</w:t>
            </w:r>
          </w:p>
        </w:tc>
        <w:tc>
          <w:tcPr>
            <w:tcW w:w="7300" w:type="dxa"/>
            <w:vAlign w:val="bottom"/>
          </w:tcPr>
          <w:p>
            <w:pPr>
              <w:ind w:left="700"/>
              <w:spacing w:after="0"/>
              <w:rPr>
                <w:sz w:val="20"/>
                <w:szCs w:val="20"/>
                <w:color w:val="auto"/>
              </w:rPr>
            </w:pPr>
            <w:r>
              <w:rPr>
                <w:rFonts w:ascii="Arial" w:cs="Arial" w:eastAsia="Arial" w:hAnsi="Arial"/>
                <w:sz w:val="14"/>
                <w:szCs w:val="14"/>
                <w:b w:val="1"/>
                <w:bCs w:val="1"/>
                <w:color w:val="auto"/>
                <w:w w:val="96"/>
              </w:rPr>
              <w:t>To reapprove the performance measures under the 2006 Incentive Compensation Plan for purposes of</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7300" w:type="dxa"/>
            <w:vAlign w:val="bottom"/>
          </w:tcPr>
          <w:p>
            <w:pPr>
              <w:ind w:left="700"/>
              <w:spacing w:after="0" w:line="155" w:lineRule="exact"/>
              <w:rPr>
                <w:sz w:val="20"/>
                <w:szCs w:val="20"/>
                <w:color w:val="auto"/>
              </w:rPr>
            </w:pPr>
            <w:r>
              <w:rPr>
                <w:rFonts w:ascii="Arial" w:cs="Arial" w:eastAsia="Arial" w:hAnsi="Arial"/>
                <w:sz w:val="14"/>
                <w:szCs w:val="14"/>
                <w:b w:val="1"/>
                <w:bCs w:val="1"/>
                <w:color w:val="auto"/>
                <w:w w:val="99"/>
              </w:rPr>
              <w:t xml:space="preserve">Section 162(m) of the Internal Revenue Code. </w:t>
            </w:r>
            <w:r>
              <w:rPr>
                <w:rFonts w:ascii="Arial" w:cs="Arial" w:eastAsia="Arial" w:hAnsi="Arial"/>
                <w:sz w:val="14"/>
                <w:szCs w:val="14"/>
                <w:color w:val="auto"/>
                <w:w w:val="99"/>
              </w:rPr>
              <w:t>THE BOARD OF DIRECTORS RECOMMENDS A VOTE</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20"/>
        <w:spacing w:after="0"/>
        <w:rPr>
          <w:sz w:val="20"/>
          <w:szCs w:val="20"/>
          <w:color w:val="auto"/>
        </w:rPr>
      </w:pPr>
      <w:r>
        <w:rPr>
          <w:rFonts w:ascii="Arial" w:cs="Arial" w:eastAsia="Arial" w:hAnsi="Arial"/>
          <w:sz w:val="14"/>
          <w:szCs w:val="14"/>
          <w:color w:val="auto"/>
        </w:rPr>
        <w:t>“FOR” PROPOSAL 2.</w:t>
      </w:r>
    </w:p>
    <w:p>
      <w:pPr>
        <w:sectPr>
          <w:pgSz w:w="11900" w:h="16838" w:orient="portrait"/>
          <w:cols w:equalWidth="0" w:num="1">
            <w:col w:w="10800"/>
          </w:cols>
          <w:pgMar w:left="260" w:top="405" w:right="839" w:bottom="1440" w:gutter="0" w:footer="0" w:header="0"/>
        </w:sectPr>
      </w:pP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00" w:type="dxa"/>
            <w:vAlign w:val="bottom"/>
          </w:tcPr>
          <w:p>
            <w:pPr>
              <w:jc w:val="right"/>
              <w:ind w:right="608"/>
              <w:spacing w:after="0"/>
              <w:rPr>
                <w:sz w:val="20"/>
                <w:szCs w:val="20"/>
                <w:color w:val="auto"/>
              </w:rPr>
            </w:pPr>
            <w:r>
              <w:rPr>
                <w:rFonts w:ascii="Arial" w:cs="Arial" w:eastAsia="Arial" w:hAnsi="Arial"/>
                <w:sz w:val="14"/>
                <w:szCs w:val="14"/>
                <w:color w:val="auto"/>
                <w:w w:val="85"/>
              </w:rPr>
              <w:t>3.</w:t>
            </w:r>
          </w:p>
        </w:tc>
        <w:tc>
          <w:tcPr>
            <w:tcW w:w="7240" w:type="dxa"/>
            <w:vAlign w:val="bottom"/>
          </w:tcPr>
          <w:p>
            <w:pPr>
              <w:ind w:left="700"/>
              <w:spacing w:after="0"/>
              <w:rPr>
                <w:sz w:val="20"/>
                <w:szCs w:val="20"/>
                <w:color w:val="auto"/>
              </w:rPr>
            </w:pPr>
            <w:r>
              <w:rPr>
                <w:rFonts w:ascii="Arial" w:cs="Arial" w:eastAsia="Arial" w:hAnsi="Arial"/>
                <w:sz w:val="14"/>
                <w:szCs w:val="14"/>
                <w:b w:val="1"/>
                <w:bCs w:val="1"/>
                <w:color w:val="auto"/>
                <w:w w:val="94"/>
              </w:rPr>
              <w:t xml:space="preserve">To approve, on an advisory basis, named executive officer compensation. </w:t>
            </w:r>
            <w:r>
              <w:rPr>
                <w:rFonts w:ascii="Arial" w:cs="Arial" w:eastAsia="Arial" w:hAnsi="Arial"/>
                <w:sz w:val="14"/>
                <w:szCs w:val="14"/>
                <w:color w:val="auto"/>
                <w:w w:val="94"/>
              </w:rPr>
              <w:t>THE BOARD OF DIRECTORS</w:t>
            </w:r>
          </w:p>
        </w:tc>
      </w:tr>
      <w:tr>
        <w:trPr>
          <w:trHeight w:val="182"/>
        </w:trPr>
        <w:tc>
          <w:tcPr>
            <w:tcW w:w="800" w:type="dxa"/>
            <w:vAlign w:val="bottom"/>
          </w:tcPr>
          <w:p>
            <w:pPr>
              <w:spacing w:after="0"/>
              <w:rPr>
                <w:sz w:val="15"/>
                <w:szCs w:val="15"/>
                <w:color w:val="auto"/>
              </w:rPr>
            </w:pPr>
          </w:p>
        </w:tc>
        <w:tc>
          <w:tcPr>
            <w:tcW w:w="7240" w:type="dxa"/>
            <w:vAlign w:val="bottom"/>
          </w:tcPr>
          <w:p>
            <w:pPr>
              <w:ind w:left="700"/>
              <w:spacing w:after="0"/>
              <w:rPr>
                <w:sz w:val="20"/>
                <w:szCs w:val="20"/>
                <w:color w:val="auto"/>
              </w:rPr>
            </w:pPr>
            <w:r>
              <w:rPr>
                <w:rFonts w:ascii="Arial" w:cs="Arial" w:eastAsia="Arial" w:hAnsi="Arial"/>
                <w:sz w:val="14"/>
                <w:szCs w:val="14"/>
                <w:color w:val="auto"/>
              </w:rPr>
              <w:t>RECOMMENDS A VOTE “FOR” PROPOSAL 3.</w:t>
            </w:r>
          </w:p>
        </w:tc>
      </w:tr>
      <w:tr>
        <w:trPr>
          <w:trHeight w:val="259"/>
        </w:trPr>
        <w:tc>
          <w:tcPr>
            <w:tcW w:w="800" w:type="dxa"/>
            <w:vAlign w:val="bottom"/>
          </w:tcPr>
          <w:p>
            <w:pPr>
              <w:jc w:val="right"/>
              <w:ind w:right="608"/>
              <w:spacing w:after="0"/>
              <w:rPr>
                <w:sz w:val="20"/>
                <w:szCs w:val="20"/>
                <w:color w:val="auto"/>
              </w:rPr>
            </w:pPr>
            <w:r>
              <w:rPr>
                <w:rFonts w:ascii="Arial" w:cs="Arial" w:eastAsia="Arial" w:hAnsi="Arial"/>
                <w:sz w:val="14"/>
                <w:szCs w:val="14"/>
                <w:color w:val="auto"/>
                <w:w w:val="85"/>
              </w:rPr>
              <w:t>4.</w:t>
            </w:r>
          </w:p>
        </w:tc>
        <w:tc>
          <w:tcPr>
            <w:tcW w:w="7240" w:type="dxa"/>
            <w:vAlign w:val="bottom"/>
          </w:tcPr>
          <w:p>
            <w:pPr>
              <w:ind w:left="700"/>
              <w:spacing w:after="0"/>
              <w:rPr>
                <w:sz w:val="20"/>
                <w:szCs w:val="20"/>
                <w:color w:val="auto"/>
              </w:rPr>
            </w:pPr>
            <w:r>
              <w:rPr>
                <w:rFonts w:ascii="Arial" w:cs="Arial" w:eastAsia="Arial" w:hAnsi="Arial"/>
                <w:sz w:val="14"/>
                <w:szCs w:val="14"/>
                <w:b w:val="1"/>
                <w:bCs w:val="1"/>
                <w:color w:val="auto"/>
                <w:w w:val="93"/>
              </w:rPr>
              <w:t>To ratify the appointment of KPMG LLP as the Company’s independent registered public accounting firm</w:t>
            </w:r>
          </w:p>
        </w:tc>
      </w:tr>
      <w:tr>
        <w:trPr>
          <w:trHeight w:val="153"/>
        </w:trPr>
        <w:tc>
          <w:tcPr>
            <w:tcW w:w="800" w:type="dxa"/>
            <w:vAlign w:val="bottom"/>
          </w:tcPr>
          <w:p>
            <w:pPr>
              <w:spacing w:after="0"/>
              <w:rPr>
                <w:sz w:val="13"/>
                <w:szCs w:val="13"/>
                <w:color w:val="auto"/>
              </w:rPr>
            </w:pPr>
          </w:p>
        </w:tc>
        <w:tc>
          <w:tcPr>
            <w:tcW w:w="7240" w:type="dxa"/>
            <w:vAlign w:val="bottom"/>
          </w:tcPr>
          <w:p>
            <w:pPr>
              <w:ind w:left="700"/>
              <w:spacing w:after="0" w:line="153" w:lineRule="exact"/>
              <w:rPr>
                <w:sz w:val="20"/>
                <w:szCs w:val="20"/>
                <w:color w:val="auto"/>
              </w:rPr>
            </w:pPr>
            <w:r>
              <w:rPr>
                <w:rFonts w:ascii="Arial" w:cs="Arial" w:eastAsia="Arial" w:hAnsi="Arial"/>
                <w:sz w:val="14"/>
                <w:szCs w:val="14"/>
                <w:b w:val="1"/>
                <w:bCs w:val="1"/>
                <w:color w:val="auto"/>
                <w:w w:val="98"/>
              </w:rPr>
              <w:t xml:space="preserve">for fiscal year ending January 30, 2016. </w:t>
            </w:r>
            <w:r>
              <w:rPr>
                <w:rFonts w:ascii="Arial" w:cs="Arial" w:eastAsia="Arial" w:hAnsi="Arial"/>
                <w:sz w:val="14"/>
                <w:szCs w:val="14"/>
                <w:color w:val="auto"/>
                <w:w w:val="98"/>
              </w:rPr>
              <w:t>THE BOARD OF DIRECTORS RECOMMENDS A VOTE “FOR”</w:t>
            </w:r>
          </w:p>
        </w:tc>
      </w:tr>
      <w:tr>
        <w:trPr>
          <w:trHeight w:val="182"/>
        </w:trPr>
        <w:tc>
          <w:tcPr>
            <w:tcW w:w="800" w:type="dxa"/>
            <w:vAlign w:val="bottom"/>
          </w:tcPr>
          <w:p>
            <w:pPr>
              <w:spacing w:after="0"/>
              <w:rPr>
                <w:sz w:val="15"/>
                <w:szCs w:val="15"/>
                <w:color w:val="auto"/>
              </w:rPr>
            </w:pPr>
          </w:p>
        </w:tc>
        <w:tc>
          <w:tcPr>
            <w:tcW w:w="7240" w:type="dxa"/>
            <w:vAlign w:val="bottom"/>
          </w:tcPr>
          <w:p>
            <w:pPr>
              <w:ind w:left="700"/>
              <w:spacing w:after="0"/>
              <w:rPr>
                <w:sz w:val="20"/>
                <w:szCs w:val="20"/>
                <w:color w:val="auto"/>
              </w:rPr>
            </w:pPr>
            <w:r>
              <w:rPr>
                <w:rFonts w:ascii="Arial" w:cs="Arial" w:eastAsia="Arial" w:hAnsi="Arial"/>
                <w:sz w:val="14"/>
                <w:szCs w:val="14"/>
                <w:color w:val="auto"/>
              </w:rPr>
              <w:t>PROPOSAL 4.</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41" w:lineRule="exact"/>
        <w:tabs>
          <w:tab w:leader="none" w:pos="760" w:val="left"/>
          <w:tab w:leader="none" w:pos="16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06" w:lineRule="exact"/>
        <w:rPr>
          <w:sz w:val="20"/>
          <w:szCs w:val="20"/>
          <w:color w:val="auto"/>
        </w:rPr>
      </w:pPr>
    </w:p>
    <w:p>
      <w:pPr>
        <w:spacing w:after="0" w:line="141" w:lineRule="exact"/>
        <w:tabs>
          <w:tab w:leader="none" w:pos="760" w:val="left"/>
          <w:tab w:leader="none" w:pos="16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441" w:lineRule="exact"/>
        <w:rPr>
          <w:sz w:val="20"/>
          <w:szCs w:val="20"/>
          <w:color w:val="auto"/>
        </w:rPr>
      </w:pPr>
    </w:p>
    <w:p>
      <w:pPr>
        <w:sectPr>
          <w:pgSz w:w="11900" w:h="16838" w:orient="portrait"/>
          <w:cols w:equalWidth="0" w:num="2">
            <w:col w:w="8360" w:space="360"/>
            <w:col w:w="2080"/>
          </w:cols>
          <w:pgMar w:left="260" w:top="405" w:right="839" w:bottom="1440" w:gutter="0" w:footer="0" w:header="0"/>
          <w:type w:val="continuous"/>
        </w:sectPr>
      </w:pPr>
    </w:p>
    <w:p>
      <w:pPr>
        <w:ind w:right="160"/>
        <w:spacing w:after="0" w:line="234"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AND “FOR” EACH OFTHE OTHER PROPOSALS. RECEIPT IS HEREBY ACKNOWLEDGED OF THE NOTICE OF ANNUAL MEETING AND PROXY STATEMENT OF DESTINATION XL GROUP, INC. DATED JULY 2, 2015.</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MARK “X” HERE IS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7" w:lineRule="exact"/>
        <w:rPr>
          <w:sz w:val="20"/>
          <w:szCs w:val="20"/>
          <w:color w:val="auto"/>
        </w:rPr>
      </w:pPr>
    </w:p>
    <w:p>
      <w:pPr>
        <w:sectPr>
          <w:pgSz w:w="11900" w:h="16838" w:orient="portrait"/>
          <w:cols w:equalWidth="0" w:num="2">
            <w:col w:w="8300" w:space="420"/>
            <w:col w:w="2080"/>
          </w:cols>
          <w:pgMar w:left="260" w:top="405" w:right="839" w:bottom="1440" w:gutter="0" w:footer="0" w:header="0"/>
          <w:type w:val="continuous"/>
        </w:sectPr>
      </w:pPr>
    </w:p>
    <w:p>
      <w:pPr>
        <w:jc w:val="both"/>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lease sign in partnership name by authorized person.</w:t>
      </w:r>
    </w:p>
    <w:p>
      <w:pPr>
        <w:spacing w:after="0" w:line="291" w:lineRule="exact"/>
        <w:rPr>
          <w:sz w:val="20"/>
          <w:szCs w:val="20"/>
          <w:color w:val="auto"/>
        </w:rPr>
      </w:pPr>
    </w:p>
    <w:p>
      <w:pPr>
        <w:ind w:left="260"/>
        <w:spacing w:after="0"/>
        <w:tabs>
          <w:tab w:leader="none" w:pos="3340" w:val="left"/>
          <w:tab w:leader="none" w:pos="5500" w:val="left"/>
          <w:tab w:leader="none" w:pos="95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60" w:top="405" w:right="8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46620" cy="2693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Annual Meeting Of Stockholders To Be Held On August 13, 2015</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stockholder of Destination XL Group, Inc. (the “Company”), hereby appoints Seymour Holtzman and David A. Levin, and each of them,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13, 2015,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00"/>
      </w:cols>
      <w:pgMar w:left="26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2)"/>
      <w:numFmt w:val="decimal"/>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4"/>
    </w:lvl>
  </w:abstractNum>
  <w:abstractNum w:abstractNumId="6">
    <w:nsid w:val="38437FDB"/>
    <w:multiLevelType w:val="hybridMultilevel"/>
    <w:lvl w:ilvl="0">
      <w:lvlJc w:val="left"/>
      <w:lvlText w:val="*"/>
      <w:numFmt w:val="bullet"/>
      <w:start w:val="1"/>
    </w:lvl>
    <w:lvl w:ilvl="1">
      <w:lvlJc w:val="left"/>
      <w:lvlText w:val="(%2)"/>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amp;"/>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1"/>
    </w:lvl>
    <w:lvl w:ilvl="1">
      <w:lvlJc w:val="left"/>
      <w:lvlText w:val="%2."/>
      <w:numFmt w:val="lowerLetter"/>
      <w:start w:val="1"/>
    </w:lvl>
  </w:abstractNum>
  <w:abstractNum w:abstractNumId="14">
    <w:nsid w:val="79A1DEAA"/>
    <w:multiLevelType w:val="hybridMultilevel"/>
    <w:lvl w:ilvl="0">
      <w:lvlJc w:val="left"/>
      <w:lvlText w:val="(%1)"/>
      <w:numFmt w:val="lowerRoman"/>
      <w:start w:val="3"/>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2"/>
    </w:lvl>
  </w:abstractNum>
  <w:abstractNum w:abstractNumId="17">
    <w:nsid w:val="70C6A529"/>
    <w:multiLevelType w:val="hybridMultilevel"/>
    <w:lvl w:ilvl="0">
      <w:lvlJc w:val="left"/>
      <w:lvlText w:val="Ø"/>
      <w:numFmt w:val="bullet"/>
      <w:start w:val="1"/>
    </w:lvl>
  </w:abstractNum>
  <w:abstractNum w:abstractNumId="18">
    <w:nsid w:val="520EEDD1"/>
    <w:multiLevelType w:val="hybridMultilevel"/>
    <w:lvl w:ilvl="0">
      <w:lvlJc w:val="left"/>
      <w:lvlText w:val="Ø"/>
      <w:numFmt w:val="bullet"/>
      <w:start w:val="1"/>
    </w:lvl>
  </w:abstractNum>
  <w:abstractNum w:abstractNumId="19">
    <w:nsid w:val="374A3FE6"/>
    <w:multiLevelType w:val="hybridMultilevel"/>
    <w:lvl w:ilvl="0">
      <w:lvlJc w:val="left"/>
      <w:lvlText w:val="Ø"/>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lvl w:ilvl="1">
      <w:lvlJc w:val="left"/>
      <w:lvlText w:val="§"/>
      <w:numFmt w:val="bullet"/>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
      <w:numFmt w:val="bullet"/>
      <w:start w:val="1"/>
    </w:lvl>
    <w:lvl w:ilvl="1">
      <w:lvlJc w:val="left"/>
      <w:lvlText w:val="(%2)"/>
      <w:numFmt w:val="decimal"/>
      <w:start w:val="4"/>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lvl w:ilvl="1">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3"/>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2"/>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2"/>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lvl w:ilvl="1">
      <w:lvlJc w:val="left"/>
      <w:lvlText w:val="(%2)"/>
      <w:numFmt w:val="lowerLetter"/>
      <w:start w:val="1"/>
    </w:lvl>
  </w:abstractNum>
  <w:abstractNum w:abstractNumId="48">
    <w:nsid w:val="100F8FCA"/>
    <w:multiLevelType w:val="hybridMultilevel"/>
    <w:lvl w:ilvl="0">
      <w:lvlJc w:val="left"/>
      <w:lvlText w:val="(%1)"/>
      <w:numFmt w:val="lowerLetter"/>
      <w:start w:val="7"/>
    </w:lvl>
  </w:abstractNum>
  <w:abstractNum w:abstractNumId="49">
    <w:nsid w:val="6590700B"/>
    <w:multiLevelType w:val="hybridMultilevel"/>
    <w:lvl w:ilvl="0">
      <w:lvlJc w:val="left"/>
      <w:lvlText w:val="(%1)"/>
      <w:numFmt w:val="lowerLetter"/>
      <w:start w:val="19"/>
    </w:lvl>
  </w:abstractNum>
  <w:abstractNum w:abstractNumId="50">
    <w:nsid w:val="15014ACB"/>
    <w:multiLevelType w:val="hybridMultilevel"/>
    <w:lvl w:ilvl="0">
      <w:lvlJc w:val="left"/>
      <w:lvlText w:val="(%1)"/>
      <w:numFmt w:val="lowerLetter"/>
      <w:start w:val="27"/>
    </w:lvl>
  </w:abstractNum>
  <w:abstractNum w:abstractNumId="51">
    <w:nsid w:val="5F5E7FD0"/>
    <w:multiLevelType w:val="hybridMultilevel"/>
    <w:lvl w:ilvl="0">
      <w:lvlJc w:val="left"/>
      <w:lvlText w:val="(%1)"/>
      <w:numFmt w:val="lowerLetter"/>
      <w:start w:val="28"/>
    </w:lvl>
  </w:abstractNum>
  <w:abstractNum w:abstractNumId="52">
    <w:nsid w:val="98A3148"/>
    <w:multiLevelType w:val="hybridMultilevel"/>
    <w:lvl w:ilvl="0">
      <w:lvlJc w:val="left"/>
      <w:lvlText w:val="%1"/>
      <w:numFmt w:val="decimal"/>
      <w:start w:val="1"/>
    </w:lvl>
    <w:lvl w:ilvl="1">
      <w:lvlJc w:val="left"/>
      <w:lvlText w:val="(%2)"/>
      <w:numFmt w:val="lowerLetter"/>
      <w:start w:val="42"/>
    </w:lvl>
  </w:abstractNum>
  <w:abstractNum w:abstractNumId="53">
    <w:nsid w:val="799D0247"/>
    <w:multiLevelType w:val="hybridMultilevel"/>
    <w:lvl w:ilvl="0">
      <w:lvlJc w:val="left"/>
      <w:lvlText w:val="%1."/>
      <w:numFmt w:val="decimal"/>
      <w:start w:val="3"/>
    </w:lvl>
    <w:lvl w:ilvl="1">
      <w:lvlJc w:val="left"/>
      <w:lvlText w:val="(%2)"/>
      <w:numFmt w:val="lowerLetter"/>
      <w:start w:val="1"/>
    </w:lvl>
  </w:abstractNum>
  <w:abstractNum w:abstractNumId="54">
    <w:nsid w:val="6B947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5">
    <w:nsid w:val="42C296BD"/>
    <w:multiLevelType w:val="hybridMultilevel"/>
    <w:lvl w:ilvl="0">
      <w:lvlJc w:val="left"/>
      <w:lvlText w:val="%1"/>
      <w:numFmt w:val="lowerLetter"/>
      <w:start w:val="1"/>
    </w:lvl>
    <w:lvl w:ilvl="1">
      <w:lvlJc w:val="left"/>
      <w:lvlText w:val="%2."/>
      <w:numFmt w:val="lowerRoman"/>
      <w:start w:val="4"/>
    </w:lvl>
  </w:abstractNum>
  <w:abstractNum w:abstractNumId="56">
    <w:nsid w:val="168E121F"/>
    <w:multiLevelType w:val="hybridMultilevel"/>
    <w:lvl w:ilvl="0">
      <w:lvlJc w:val="left"/>
      <w:lvlText w:val="(%1)"/>
      <w:numFmt w:val="lowerLetter"/>
      <w:start w:val="4"/>
    </w:lvl>
    <w:lvl w:ilvl="1">
      <w:lvlJc w:val="left"/>
      <w:lvlText w:val="%2"/>
      <w:numFmt w:val="lowerRoman"/>
      <w:start w:val="1"/>
    </w:lvl>
  </w:abstractNum>
  <w:abstractNum w:abstractNumId="57">
    <w:nsid w:val="1EBA5D23"/>
    <w:multiLevelType w:val="hybridMultilevel"/>
    <w:lvl w:ilvl="0">
      <w:lvlJc w:val="left"/>
      <w:lvlText w:val="%1"/>
      <w:numFmt w:val="lowerRoman"/>
      <w:start w:val="1"/>
    </w:lvl>
    <w:lvl w:ilvl="1">
      <w:lvlJc w:val="left"/>
      <w:lvlText w:val="(%2)"/>
      <w:numFmt w:val="lowerLetter"/>
      <w:start w:val="1"/>
    </w:lvl>
  </w:abstractNum>
  <w:abstractNum w:abstractNumId="58">
    <w:nsid w:val="661E3F1E"/>
    <w:multiLevelType w:val="hybridMultilevel"/>
    <w:lvl w:ilvl="0">
      <w:lvlJc w:val="left"/>
      <w:lvlText w:val="%1."/>
      <w:numFmt w:val="lowerRoman"/>
      <w:start w:val="1"/>
    </w:lvl>
    <w:lvl w:ilvl="1">
      <w:lvlJc w:val="left"/>
      <w:lvlText w:val="%2"/>
      <w:numFmt w:val="lowerLetter"/>
      <w:start w:val="1"/>
    </w:lvl>
  </w:abstractNum>
  <w:abstractNum w:abstractNumId="59">
    <w:nsid w:val="5DC79EA8"/>
    <w:multiLevelType w:val="hybridMultilevel"/>
    <w:lvl w:ilvl="0">
      <w:lvlJc w:val="left"/>
      <w:lvlText w:val="%1."/>
      <w:numFmt w:val="lowerRoman"/>
      <w:start w:val="2"/>
    </w:lvl>
    <w:lvl w:ilvl="1">
      <w:lvlJc w:val="left"/>
      <w:lvlText w:val="(%2)"/>
      <w:numFmt w:val="upperLetter"/>
      <w:start w:val="1"/>
    </w:lvl>
  </w:abstractNum>
  <w:abstractNum w:abstractNumId="60">
    <w:nsid w:val="540A471C"/>
    <w:multiLevelType w:val="hybridMultilevel"/>
    <w:lvl w:ilvl="0">
      <w:lvlJc w:val="left"/>
      <w:lvlText w:val="(%1)"/>
      <w:numFmt w:val="lowerLetter"/>
      <w:start w:val="3"/>
    </w:lvl>
  </w:abstractNum>
  <w:abstractNum w:abstractNumId="61">
    <w:nsid w:val="7BD3EE7B"/>
    <w:multiLevelType w:val="hybridMultilevel"/>
    <w:lvl w:ilvl="0">
      <w:lvlJc w:val="left"/>
      <w:lvlText w:val="%1"/>
      <w:numFmt w:val="upperLetter"/>
      <w:start w:val="1"/>
    </w:lvl>
    <w:lvl w:ilvl="1">
      <w:lvlJc w:val="left"/>
      <w:lvlText w:val="(%2)"/>
      <w:numFmt w:val="lowerRoman"/>
      <w:start w:val="1"/>
    </w:lvl>
  </w:abstractNum>
  <w:abstractNum w:abstractNumId="62">
    <w:nsid w:val="51D9C564"/>
    <w:multiLevelType w:val="hybridMultilevel"/>
    <w:lvl w:ilvl="0">
      <w:lvlJc w:val="left"/>
      <w:lvlText w:val="(%1)"/>
      <w:numFmt w:val="upperLetter"/>
      <w:start w:val="2"/>
    </w:lvl>
    <w:lvl w:ilvl="1">
      <w:lvlJc w:val="left"/>
      <w:lvlText w:val="(%2)"/>
      <w:numFmt w:val="lowerRoman"/>
      <w:start w:val="2"/>
    </w:lvl>
  </w:abstractNum>
  <w:abstractNum w:abstractNumId="63">
    <w:nsid w:val="613EFDC5"/>
    <w:multiLevelType w:val="hybridMultilevel"/>
    <w:lvl w:ilvl="0">
      <w:lvlJc w:val="left"/>
      <w:lvlText w:val="(%1)"/>
      <w:numFmt w:val="lowerLetter"/>
      <w:start w:val="4"/>
    </w:lvl>
  </w:abstractNum>
  <w:abstractNum w:abstractNumId="64">
    <w:nsid w:val="BF72B14"/>
    <w:multiLevelType w:val="hybridMultilevel"/>
    <w:lvl w:ilvl="0">
      <w:lvlJc w:val="left"/>
      <w:lvlText w:val="%1."/>
      <w:numFmt w:val="lowerRoman"/>
      <w:start w:val="1"/>
    </w:lvl>
  </w:abstractNum>
  <w:abstractNum w:abstractNumId="65">
    <w:nsid w:val="11447B73"/>
    <w:multiLevelType w:val="hybridMultilevel"/>
    <w:lvl w:ilvl="0">
      <w:lvlJc w:val="left"/>
      <w:lvlText w:val="%1."/>
      <w:numFmt w:val="lowerRoman"/>
      <w:start w:val="2"/>
    </w:lvl>
  </w:abstractNum>
  <w:abstractNum w:abstractNumId="66">
    <w:nsid w:val="42963E5A"/>
    <w:multiLevelType w:val="hybridMultilevel"/>
    <w:lvl w:ilvl="0">
      <w:lvlJc w:val="left"/>
      <w:lvlText w:val="(%1)"/>
      <w:numFmt w:val="lowerLetter"/>
      <w:start w:val="5"/>
    </w:lvl>
  </w:abstractNum>
  <w:abstractNum w:abstractNumId="67">
    <w:nsid w:val="A0382C5"/>
    <w:multiLevelType w:val="hybridMultilevel"/>
    <w:lvl w:ilvl="0">
      <w:lvlJc w:val="left"/>
      <w:lvlText w:val="%1."/>
      <w:numFmt w:val="lowerRoman"/>
      <w:start w:val="1"/>
    </w:lvl>
  </w:abstractNum>
  <w:abstractNum w:abstractNumId="68">
    <w:nsid w:val="8F2B15E"/>
    <w:multiLevelType w:val="hybridMultilevel"/>
    <w:lvl w:ilvl="0">
      <w:lvlJc w:val="left"/>
      <w:lvlText w:val="%1."/>
      <w:numFmt w:val="lowerRoman"/>
      <w:start w:val="2"/>
    </w:lvl>
    <w:lvl w:ilvl="1">
      <w:lvlJc w:val="left"/>
      <w:lvlText w:val="(%2)"/>
      <w:numFmt w:val="lowerLetter"/>
      <w:start w:val="6"/>
    </w:lvl>
  </w:abstractNum>
  <w:abstractNum w:abstractNumId="69">
    <w:nsid w:val="1A32234B"/>
    <w:multiLevelType w:val="hybridMultilevel"/>
    <w:lvl w:ilvl="0">
      <w:lvlJc w:val="left"/>
      <w:lvlText w:val="(%1)"/>
      <w:numFmt w:val="lowerRoman"/>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4"/>
    </w:lvl>
  </w:abstractNum>
  <w:abstractNum w:abstractNumId="72">
    <w:nsid w:val="4962813B"/>
    <w:multiLevelType w:val="hybridMultilevel"/>
    <w:lvl w:ilvl="0">
      <w:lvlJc w:val="left"/>
      <w:lvlText w:val="%1."/>
      <w:numFmt w:val="lowerRoman"/>
      <w:start w:val="1"/>
    </w:lvl>
  </w:abstractNum>
  <w:abstractNum w:abstractNumId="73">
    <w:nsid w:val="60B6DF70"/>
    <w:multiLevelType w:val="hybridMultilevel"/>
    <w:lvl w:ilvl="0">
      <w:lvlJc w:val="left"/>
      <w:lvlText w:val="(%1)"/>
      <w:numFmt w:val="upperLetter"/>
      <w:start w:val="1"/>
    </w:lvl>
  </w:abstractNum>
  <w:abstractNum w:abstractNumId="74">
    <w:nsid w:val="6A5EE64"/>
    <w:multiLevelType w:val="hybridMultilevel"/>
    <w:lvl w:ilvl="0">
      <w:lvlJc w:val="left"/>
      <w:lvlText w:val="%1."/>
      <w:numFmt w:val="lowerRoman"/>
      <w:start w:val="3"/>
    </w:lvl>
  </w:abstractNum>
  <w:abstractNum w:abstractNumId="75">
    <w:nsid w:val="14330624"/>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6">
    <w:nsid w:val="7FFFCA1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77">
    <w:nsid w:val="1A27709E"/>
    <w:multiLevelType w:val="hybridMultilevel"/>
    <w:lvl w:ilvl="0">
      <w:lvlJc w:val="left"/>
      <w:lvlText w:val="(%1)"/>
      <w:numFmt w:val="lowerLetter"/>
      <w:start w:val="5"/>
    </w:lvl>
  </w:abstractNum>
  <w:abstractNum w:abstractNumId="78">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9">
    <w:nsid w:val="100F59D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Letter"/>
      <w:start w:val="2"/>
    </w:lvl>
  </w:abstractNum>
  <w:abstractNum w:abstractNumId="82">
    <w:nsid w:val="6F6DD9A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83">
    <w:nsid w:val="94211F2"/>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lvl w:ilvl="3">
      <w:lvlJc w:val="left"/>
      <w:lvlText w:val="%4"/>
      <w:numFmt w:val="lowerLetter"/>
      <w:start w:val="1"/>
    </w:lvl>
  </w:abstractNum>
  <w:abstractNum w:abstractNumId="84">
    <w:nsid w:val="885E1B"/>
    <w:multiLevelType w:val="hybridMultilevel"/>
    <w:lvl w:ilvl="0">
      <w:lvlJc w:val="left"/>
      <w:lvlText w:val="(%1)"/>
      <w:numFmt w:val="upperLetter"/>
      <w:start w:val="2"/>
    </w:lvl>
    <w:lvl w:ilvl="1">
      <w:lvlJc w:val="left"/>
      <w:lvlText w:val="%2."/>
      <w:numFmt w:val="lowerRoman"/>
      <w:start w:val="3"/>
    </w:lvl>
  </w:abstractNum>
  <w:abstractNum w:abstractNumId="85">
    <w:nsid w:val="76272110"/>
    <w:multiLevelType w:val="hybridMultilevel"/>
    <w:lvl w:ilvl="0">
      <w:lvlJc w:val="left"/>
      <w:lvlText w:val="%1"/>
      <w:numFmt w:val="lowerRoman"/>
      <w:start w:val="1"/>
    </w:lvl>
    <w:lvl w:ilvl="1">
      <w:lvlJc w:val="left"/>
      <w:lvlText w:val="(%2)"/>
      <w:numFmt w:val="lowerLetter"/>
      <w:start w:val="4"/>
    </w:lvl>
  </w:abstractNum>
  <w:abstractNum w:abstractNumId="86">
    <w:nsid w:val="4C04A8AF"/>
    <w:multiLevelType w:val="hybridMultilevel"/>
    <w:lvl w:ilvl="0">
      <w:lvlJc w:val="left"/>
      <w:lvlText w:val="(%1)"/>
      <w:numFmt w:val="lowerRoman"/>
      <w:start w:val="4"/>
    </w:lvl>
    <w:lvl w:ilvl="1">
      <w:lvlJc w:val="left"/>
      <w:lvlText w:val="(%2)"/>
      <w:numFmt w:val="lowerLetter"/>
      <w:start w:val="7"/>
    </w:lvl>
  </w:abstractNum>
  <w:abstractNum w:abstractNumId="87">
    <w:nsid w:val="1716703B"/>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2019-12-06T02:15:23Z</dcterms:created>
  <dcterms:modified xsi:type="dcterms:W3CDTF">2019-12-06T02:15:23Z</dcterms:modified>
</cp:coreProperties>
</file>