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80" w:right="4740" w:firstLine="202"/>
        <w:spacing w:after="0" w:line="471" w:lineRule="auto"/>
        <w:tabs>
          <w:tab w:leader="none" w:pos="5149"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w:t>
      </w:r>
      <w:r>
        <w:rPr>
          <w:rFonts w:ascii="Times New Roman" w:cs="Times New Roman" w:eastAsia="Times New Roman" w:hAnsi="Times New Roman"/>
          <w:sz w:val="11"/>
          <w:szCs w:val="11"/>
          <w:color w:val="auto"/>
        </w:rPr>
        <w:t>1</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Destination XL Group,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25065K104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Kenneth Mantel, Esq.</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(212) 451-2300</w:t>
      </w:r>
    </w:p>
    <w:p>
      <w:pPr>
        <w:jc w:val="center"/>
        <w:ind w:right="-1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June 26, 2024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firstLine="8"/>
        <w:spacing w:after="0" w:line="232" w:lineRule="auto"/>
        <w:tabs>
          <w:tab w:leader="none" w:pos="648"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Fund 1 Investments,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5,732,261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 HC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auto"/>
        </w:rPr>
        <w:t>Security and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statement relates to the Common Stock, par value $0.01 per share (the “Shares”), of Destination XL Group, Inc., a Delaware corporation (the “Issuer”). The address of the principal executive offices of the Issuer is 555 Turnpike Street, Canton, Massachusetts 02021.</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Fund 1 Investments, LLC (“Fund 1 Investments” or the “Reporting Person”), with respect to the Shares beneficially owned by it. The Shares reported herein are held for the benefit of private investment vehicles, including Pleasant Lake Onshore Feeder Fund, LP (“Pleasant Lake Feeder Fund” and collectively with the private investment vehicles, the “Funds”), for which Pleasant Lake Partners LLC (“PLP”) serves as investment adviser. Fund 1 Investments serves as managing member of PLP, and Jonathan Lennon serves as managing member of Fund 1 Investments.</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Fund 1 Investments is 100 Carr 115, Unit 1900, Rincon, Puerto Rico 00677.</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Fund 1 Investments is serving as managing member of PLP.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convicted in a criminal proceeding (excluding traffic violations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misdemeanors).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1 Investments is organized under the laws of the State of Delaware.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Shares beneficially owned by the Reporting Person were purchased with working capital of the Funds (which may, at any given time, include margin loans made by brokerage firms in the ordinary course of business) in open market purchases. The aggregate purchase price of the 5,732,261 Shares beneficially owned by the Reporting Person is approximately $25,022,825, including brokerage commissions.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 purchased the Shares based on the Reporting Person’s belief that the Shares, when purchased, were undervalued and represented an attractive investment opportunity. Depending upon overall market conditions, other investment opportunities available to the Reporting Person, and the availability of Shares at prices that would make the purchase or sale of Shares desirable, the Reporting Person may endeavor to increase or decrease its position in the Issuer through, among other things, the purchase or sale of Shares on the open market or in private transactions or otherwise, on such terms and at such times as the Reporting Person may deem advisable.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Reporting Person intends to engage in discussions with the Issuer’s board of directors (the “Board”) and management team regarding operational and strategic opportunities for the Issuer to enhance stockholder value.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Issuer’s Restated Certificate of Incorporation (the “Charter”), the Board has authorized the Reporting Person and its affiliates to acquire Percentage Stock Ownership in the Corporation Securities of up to 9.9% of the outstanding Corporation Securities (each such term as defined in the Charter), subject to certain terms and conditions.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Reporting Person does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 intends to review its investment in the Issuer on a continuing basis. Depending on various factors including, without limitation, the Issuer’s financial position, results and strategic direction, actions taken by the Issuer’s management team and the Board, price levels of the Shares, conditions in the securities markets, general economic and industry conditions, and other investment opportunities available to the Reporting Person, the Reporting Person may in the future take such actions with respect to its investment in the Issuer as it deems appropriate including, without limitation, engaging in additional communications with management and the Board, engaging in discussions with the Issuer, stockholders of the Issuer or other third parties about the Issuer and the Reporting Person’s investment, including potential business combinations or dispositions involving the Issuer or certain of its businesses or assets, including transactions in which the Reporting Person may seek to participate and potentially engage in, making recommendations or proposals to the Issuer concerning changes to the capitalization, ownership structure, Board structure (including Board composition), or suggestions for improving the Issuer’s financial and/or operational performance, purchasing additional Shares, selling some or all of its Shares, engaging in short selling of or any hedging or similar transaction with respect to the Shares, including swaps and other derivative transactions, or changing its intention with respect to any and all matters referred to in Item 4.</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beneficially owned by the Reporting Person is based upon 58,228,053 Shares outstanding as of May 17, 2024, which is the total number of Shares outstanding as reported in the Issuer’s Annual Report on Form 10-K/A filed with the Securities and Exchange Commission on June 3, 2024.</w:t>
      </w:r>
    </w:p>
    <w:p>
      <w:pPr>
        <w:spacing w:after="0" w:line="176" w:lineRule="exact"/>
        <w:rPr>
          <w:sz w:val="20"/>
          <w:szCs w:val="20"/>
          <w:color w:val="auto"/>
        </w:rPr>
      </w:pPr>
    </w:p>
    <w:p>
      <w:pPr>
        <w:ind w:left="1300" w:right="4160" w:hanging="644"/>
        <w:spacing w:after="0" w:line="50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Fund 1 Investments beneficially owned 5,732,261 Shares. Percentage: Approximately 9.8%</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5,732,261</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5,732,261</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transactions in the Shares by Fund 1 Investments on behalf of the Funds during the past sixty days 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are incorporated herein by reference.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have the right to receive, or the power to direct the receipt of dividends from, or the proceeds from the sale of, the reported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0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 has entered into certain cash-settled swap agreements with an unaffiliated third-party financial institution (the “Cash-Settled Swaps”). Collectively, the Cash-Settled Swaps held by the Reporting Person represent economic exposure to an aggregate of 4,444,011 notional Shares, representing approximately 7.6% of the outstanding Shares. The Cash-Settled Swaps provide the Reporting person with economic results that are comparable to the economic results of ownership, but do not provide it with the power to vote or direct the voting, or dispose of or direct the disposition, of the Shares that are subject to the Cash-Settled Swaps.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between the Reporting Person and any other person, with respect to the securities of the Issuer.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2024</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FUND 1 INVESTMENTS,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Benjamin C. Cable</w:t>
            </w:r>
          </w:p>
        </w:tc>
      </w:tr>
      <w:tr>
        <w:trPr>
          <w:trHeight w:val="191"/>
        </w:trPr>
        <w:tc>
          <w:tcPr>
            <w:tcW w:w="6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Benjamin C. Cable</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Days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4"/>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100" w:type="dxa"/>
            <w:vAlign w:val="bottom"/>
          </w:tcPr>
          <w:p>
            <w:pPr>
              <w:spacing w:after="0"/>
              <w:rPr>
                <w:sz w:val="16"/>
                <w:szCs w:val="16"/>
                <w:color w:val="auto"/>
              </w:rPr>
            </w:pPr>
          </w:p>
        </w:tc>
        <w:tc>
          <w:tcPr>
            <w:tcW w:w="2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3700" w:type="dxa"/>
            <w:vAlign w:val="bottom"/>
            <w:gridSpan w:val="8"/>
          </w:tcPr>
          <w:p>
            <w:pPr>
              <w:jc w:val="center"/>
              <w:ind w:right="114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660" w:type="dxa"/>
            <w:vAlign w:val="bottom"/>
            <w:gridSpan w:val="4"/>
          </w:tcPr>
          <w:p>
            <w:pPr>
              <w:jc w:val="center"/>
              <w:ind w:right="88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940" w:type="dxa"/>
            <w:vAlign w:val="bottom"/>
            <w:gridSpan w:val="3"/>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00" w:type="dxa"/>
            <w:vAlign w:val="bottom"/>
            <w:gridSpan w:val="11"/>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FUND 1 INVESTMENTS, LLC</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40" w:type="dxa"/>
            <w:vAlign w:val="bottom"/>
            <w:tcBorders>
              <w:top w:val="single" w:sz="8" w:color="auto"/>
            </w:tcBorders>
            <w:gridSpan w:val="6"/>
          </w:tcPr>
          <w:p>
            <w:pPr>
              <w:jc w:val="center"/>
              <w:ind w:left="11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w w:val="99"/>
              </w:rPr>
              <w:t>(On Behalf of the Funds)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(225,000)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3.1502</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05/03/2024</w:t>
            </w:r>
          </w:p>
        </w:tc>
        <w:tc>
          <w:tcPr>
            <w:tcW w:w="90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(2,687)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3.7524</w:t>
            </w:r>
          </w:p>
        </w:tc>
        <w:tc>
          <w:tcPr>
            <w:tcW w:w="960" w:type="dxa"/>
            <w:vAlign w:val="bottom"/>
          </w:tcPr>
          <w:p>
            <w:pPr>
              <w:spacing w:after="0"/>
              <w:rPr>
                <w:sz w:val="18"/>
                <w:szCs w:val="18"/>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05/28/2024</w:t>
            </w:r>
          </w:p>
        </w:tc>
        <w:tc>
          <w:tcPr>
            <w:tcW w:w="90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8,458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3.2796</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05/30/2024</w:t>
            </w:r>
          </w:p>
        </w:tc>
        <w:tc>
          <w:tcPr>
            <w:tcW w:w="90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7"/>
              </w:rPr>
              <w:t>(33,800)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3.2812</w:t>
            </w:r>
          </w:p>
        </w:tc>
        <w:tc>
          <w:tcPr>
            <w:tcW w:w="960" w:type="dxa"/>
            <w:vAlign w:val="bottom"/>
          </w:tcPr>
          <w:p>
            <w:pPr>
              <w:spacing w:after="0"/>
              <w:rPr>
                <w:sz w:val="18"/>
                <w:szCs w:val="18"/>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05/30/2024</w:t>
            </w:r>
          </w:p>
        </w:tc>
        <w:tc>
          <w:tcPr>
            <w:tcW w:w="90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2,000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3.3009</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05/31/2024</w:t>
            </w:r>
          </w:p>
        </w:tc>
        <w:tc>
          <w:tcPr>
            <w:tcW w:w="90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3.5790</w:t>
            </w:r>
          </w:p>
        </w:tc>
        <w:tc>
          <w:tcPr>
            <w:tcW w:w="960" w:type="dxa"/>
            <w:vAlign w:val="bottom"/>
          </w:tcPr>
          <w:p>
            <w:pPr>
              <w:spacing w:after="0"/>
              <w:rPr>
                <w:sz w:val="18"/>
                <w:szCs w:val="18"/>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06/03/2024</w:t>
            </w:r>
          </w:p>
        </w:tc>
        <w:tc>
          <w:tcPr>
            <w:tcW w:w="90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3,000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3.5862</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06/10/2024</w:t>
            </w:r>
          </w:p>
        </w:tc>
        <w:tc>
          <w:tcPr>
            <w:tcW w:w="90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3.6047</w:t>
            </w:r>
          </w:p>
        </w:tc>
        <w:tc>
          <w:tcPr>
            <w:tcW w:w="960" w:type="dxa"/>
            <w:vAlign w:val="bottom"/>
          </w:tcPr>
          <w:p>
            <w:pPr>
              <w:spacing w:after="0"/>
              <w:rPr>
                <w:sz w:val="18"/>
                <w:szCs w:val="18"/>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06/11/2024</w:t>
            </w:r>
          </w:p>
        </w:tc>
        <w:tc>
          <w:tcPr>
            <w:tcW w:w="90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3.5770</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06/12/2024</w:t>
            </w:r>
          </w:p>
        </w:tc>
        <w:tc>
          <w:tcPr>
            <w:tcW w:w="90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9,000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3.5606</w:t>
            </w:r>
          </w:p>
        </w:tc>
        <w:tc>
          <w:tcPr>
            <w:tcW w:w="960" w:type="dxa"/>
            <w:vAlign w:val="bottom"/>
          </w:tcPr>
          <w:p>
            <w:pPr>
              <w:spacing w:after="0"/>
              <w:rPr>
                <w:sz w:val="18"/>
                <w:szCs w:val="18"/>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06/13/2024</w:t>
            </w:r>
          </w:p>
        </w:tc>
        <w:tc>
          <w:tcPr>
            <w:tcW w:w="90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2,000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3.5424</w:t>
            </w:r>
          </w:p>
        </w:tc>
        <w:tc>
          <w:tcPr>
            <w:tcW w:w="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06/14/2024</w:t>
            </w:r>
          </w:p>
        </w:tc>
        <w:tc>
          <w:tcPr>
            <w:tcW w:w="900" w:type="dxa"/>
            <w:vAlign w:val="bottom"/>
            <w:shd w:val="clear" w:color="auto" w:fill="CCEEFF"/>
          </w:tcPr>
          <w:p>
            <w:pPr>
              <w:spacing w:after="0"/>
              <w:rPr>
                <w:sz w:val="18"/>
                <w:szCs w:val="18"/>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3.4987</w:t>
            </w:r>
          </w:p>
        </w:tc>
        <w:tc>
          <w:tcPr>
            <w:tcW w:w="960" w:type="dxa"/>
            <w:vAlign w:val="bottom"/>
          </w:tcPr>
          <w:p>
            <w:pPr>
              <w:spacing w:after="0"/>
              <w:rPr>
                <w:sz w:val="20"/>
                <w:szCs w:val="20"/>
                <w:color w:val="auto"/>
              </w:rPr>
            </w:pPr>
          </w:p>
        </w:tc>
        <w:tc>
          <w:tcPr>
            <w:tcW w:w="20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06/17/2024</w:t>
            </w: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2024-06-26T19:48:53Z</dcterms:created>
  <dcterms:modified xsi:type="dcterms:W3CDTF">2024-06-26T19:48:53Z</dcterms:modified>
</cp:coreProperties>
</file>