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67805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78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Molloy Robert 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8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3,364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309,219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3,846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313,065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4,757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317,822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11,596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329,418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8,801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0.51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320,617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3,364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3,846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3,846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4,757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4,757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9,514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11,596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11,596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34,788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-3069590</wp:posOffset>
            </wp:positionV>
            <wp:extent cx="29210" cy="3074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07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RSU, as defined in the Company's 2016 Incentive Compensation Plan, represents a contingent right to receive one share of DXLG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2022-2024 Long-Term Inventive Plan awared to the Reporting Person on April 9, 2022.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2023-2025 Long-Term Inventive Plan awared to the Reporting Person on May 1, 2023. The remaining RSUs vest and become exercisable on April 1, 2027.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2024-2026 Long-Term Inventive Plan awared to the Reporting Person on April 1, 2024. The remaining RSUs vest and become exercisable on April 1, 2027 and April 1, 2028.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2025-2027 Long-Term Inventive Plan awared to the Reporting Person on April 1, 2025. The remaining RSUs vest and become exercisable on April 1, 2027, April 1, 2028 and April 1, 2029.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Robert S. Molloy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04/03/2026</w:t>
            </w:r>
          </w:p>
        </w:tc>
      </w:tr>
      <w:tr>
        <w:trPr>
          <w:trHeight w:val="227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31242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2026-04-03T11:59:40Z</dcterms:created>
  <dcterms:modified xsi:type="dcterms:W3CDTF">2026-04-03T11:59:40Z</dcterms:modified>
</cp:coreProperties>
</file>