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22, 2010</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64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8"/>
              </w:rPr>
              <w:t>Delaware</w:t>
            </w:r>
          </w:p>
        </w:tc>
        <w:tc>
          <w:tcPr>
            <w:tcW w:w="118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440" w:type="dxa"/>
            <w:vAlign w:val="bottom"/>
            <w:gridSpan w:val="3"/>
          </w:tcPr>
          <w:p>
            <w:pPr>
              <w:jc w:val="center"/>
              <w:ind w:right="39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8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40" w:type="dxa"/>
            <w:vAlign w:val="bottom"/>
            <w:gridSpan w:val="3"/>
          </w:tcPr>
          <w:p>
            <w:pPr>
              <w:jc w:val="center"/>
              <w:ind w:right="3920"/>
              <w:spacing w:after="0"/>
              <w:rPr>
                <w:sz w:val="20"/>
                <w:szCs w:val="20"/>
                <w:color w:val="auto"/>
              </w:rPr>
            </w:pPr>
            <w:r>
              <w:rPr>
                <w:rFonts w:ascii="Arial" w:cs="Arial" w:eastAsia="Arial" w:hAnsi="Arial"/>
                <w:sz w:val="14"/>
                <w:szCs w:val="14"/>
                <w:b w:val="1"/>
                <w:bCs w:val="1"/>
                <w:color w:val="auto"/>
                <w:w w:val="88"/>
              </w:rPr>
              <w:t>incorporation or organization)</w:t>
            </w:r>
          </w:p>
        </w:tc>
        <w:tc>
          <w:tcPr>
            <w:tcW w:w="1180" w:type="dxa"/>
            <w:vAlign w:val="bottom"/>
          </w:tcPr>
          <w:p>
            <w:pPr>
              <w:jc w:val="center"/>
              <w:ind w:left="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44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90"/>
              </w:rPr>
              <w:t>555 Turnpike Street, Canton, MA</w:t>
            </w:r>
          </w:p>
        </w:tc>
        <w:tc>
          <w:tcPr>
            <w:tcW w:w="118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6440" w:type="dxa"/>
            <w:vAlign w:val="bottom"/>
            <w:gridSpan w:val="3"/>
          </w:tcPr>
          <w:p>
            <w:pPr>
              <w:jc w:val="center"/>
              <w:ind w:right="39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180" w:type="dxa"/>
            <w:vAlign w:val="bottom"/>
          </w:tcPr>
          <w:p>
            <w:pPr>
              <w:jc w:val="center"/>
              <w:ind w:left="4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6440" w:type="dxa"/>
            <w:vAlign w:val="bottom"/>
            <w:gridSpan w:val="3"/>
          </w:tcPr>
          <w:p>
            <w:pPr>
              <w:jc w:val="center"/>
              <w:ind w:left="1702"/>
              <w:spacing w:after="0"/>
              <w:rPr>
                <w:sz w:val="20"/>
                <w:szCs w:val="20"/>
                <w:color w:val="auto"/>
              </w:rPr>
            </w:pPr>
            <w:r>
              <w:rPr>
                <w:rFonts w:ascii="Arial" w:cs="Arial" w:eastAsia="Arial" w:hAnsi="Arial"/>
                <w:sz w:val="18"/>
                <w:szCs w:val="18"/>
                <w:b w:val="1"/>
                <w:bCs w:val="1"/>
                <w:color w:val="auto"/>
                <w:w w:val="97"/>
              </w:rPr>
              <w:t>CASUAL MALE RETAIL GROUP, INC.</w:t>
            </w:r>
          </w:p>
        </w:tc>
        <w:tc>
          <w:tcPr>
            <w:tcW w:w="118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7"/>
              </w:rPr>
              <w:t>AMENDED AND RESTATED</w:t>
            </w:r>
          </w:p>
        </w:tc>
        <w:tc>
          <w:tcPr>
            <w:tcW w:w="1180" w:type="dxa"/>
            <w:vAlign w:val="bottom"/>
          </w:tcPr>
          <w:p>
            <w:pPr>
              <w:spacing w:after="0"/>
              <w:rPr>
                <w:sz w:val="18"/>
                <w:szCs w:val="18"/>
                <w:color w:val="auto"/>
              </w:rPr>
            </w:pPr>
          </w:p>
        </w:tc>
      </w:tr>
      <w:tr>
        <w:trPr>
          <w:trHeight w:val="218"/>
        </w:trPr>
        <w:tc>
          <w:tcPr>
            <w:tcW w:w="6440" w:type="dxa"/>
            <w:vAlign w:val="bottom"/>
            <w:gridSpan w:val="3"/>
          </w:tcPr>
          <w:p>
            <w:pPr>
              <w:jc w:val="center"/>
              <w:ind w:left="1722"/>
              <w:spacing w:after="0"/>
              <w:rPr>
                <w:sz w:val="20"/>
                <w:szCs w:val="20"/>
                <w:color w:val="auto"/>
              </w:rPr>
            </w:pPr>
            <w:r>
              <w:rPr>
                <w:rFonts w:ascii="Arial" w:cs="Arial" w:eastAsia="Arial" w:hAnsi="Arial"/>
                <w:sz w:val="18"/>
                <w:szCs w:val="18"/>
                <w:b w:val="1"/>
                <w:bCs w:val="1"/>
                <w:color w:val="auto"/>
                <w:w w:val="98"/>
              </w:rPr>
              <w:t>NON-EMPLOYEE DIRECTOR COMPENSATION PLAN</w:t>
            </w:r>
          </w:p>
        </w:tc>
        <w:tc>
          <w:tcPr>
            <w:tcW w:w="118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(Full title of the plan)</w:t>
            </w:r>
          </w:p>
        </w:tc>
        <w:tc>
          <w:tcPr>
            <w:tcW w:w="1180" w:type="dxa"/>
            <w:vAlign w:val="bottom"/>
          </w:tcPr>
          <w:p>
            <w:pPr>
              <w:spacing w:after="0"/>
              <w:rPr>
                <w:sz w:val="15"/>
                <w:szCs w:val="15"/>
                <w:color w:val="auto"/>
              </w:rPr>
            </w:pPr>
          </w:p>
        </w:tc>
      </w:tr>
      <w:tr>
        <w:trPr>
          <w:trHeight w:val="163"/>
        </w:trPr>
        <w:tc>
          <w:tcPr>
            <w:tcW w:w="29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6"/>
        </w:trPr>
        <w:tc>
          <w:tcPr>
            <w:tcW w:w="2920" w:type="dxa"/>
            <w:vAlign w:val="bottom"/>
          </w:tcPr>
          <w:p>
            <w:pPr>
              <w:spacing w:after="0"/>
              <w:rPr>
                <w:sz w:val="24"/>
                <w:szCs w:val="24"/>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Dennis R. Hernreich</w:t>
            </w:r>
          </w:p>
        </w:tc>
        <w:tc>
          <w:tcPr>
            <w:tcW w:w="118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1"/>
              </w:rPr>
              <w:t>Chief Financial Officer</w:t>
            </w:r>
          </w:p>
        </w:tc>
        <w:tc>
          <w:tcPr>
            <w:tcW w:w="11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0"/>
              </w:rPr>
              <w:t>Casual Male Retail Group, Inc.</w:t>
            </w:r>
          </w:p>
        </w:tc>
        <w:tc>
          <w:tcPr>
            <w:tcW w:w="11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555 Turnpike Street</w:t>
            </w:r>
          </w:p>
        </w:tc>
        <w:tc>
          <w:tcPr>
            <w:tcW w:w="1180" w:type="dxa"/>
            <w:vAlign w:val="bottom"/>
          </w:tcPr>
          <w:p>
            <w:pPr>
              <w:spacing w:after="0"/>
              <w:rPr>
                <w:sz w:val="18"/>
                <w:szCs w:val="18"/>
                <w:color w:val="auto"/>
              </w:rPr>
            </w:pPr>
          </w:p>
        </w:tc>
      </w:tr>
      <w:tr>
        <w:trPr>
          <w:trHeight w:val="218"/>
        </w:trPr>
        <w:tc>
          <w:tcPr>
            <w:tcW w:w="2920" w:type="dxa"/>
            <w:vAlign w:val="bottom"/>
          </w:tcPr>
          <w:p>
            <w:pPr>
              <w:spacing w:after="0"/>
              <w:rPr>
                <w:sz w:val="18"/>
                <w:szCs w:val="18"/>
                <w:color w:val="auto"/>
              </w:rPr>
            </w:pPr>
          </w:p>
        </w:tc>
        <w:tc>
          <w:tcPr>
            <w:tcW w:w="35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6"/>
              </w:rPr>
              <w:t>Canton, Massachusetts 02021</w:t>
            </w:r>
          </w:p>
        </w:tc>
        <w:tc>
          <w:tcPr>
            <w:tcW w:w="118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35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180" w:type="dxa"/>
            <w:vAlign w:val="bottom"/>
          </w:tcPr>
          <w:p>
            <w:pPr>
              <w:spacing w:after="0"/>
              <w:rPr>
                <w:sz w:val="15"/>
                <w:szCs w:val="15"/>
                <w:color w:val="auto"/>
              </w:rPr>
            </w:pPr>
          </w:p>
        </w:tc>
      </w:tr>
      <w:tr>
        <w:trPr>
          <w:trHeight w:val="352"/>
        </w:trPr>
        <w:tc>
          <w:tcPr>
            <w:tcW w:w="2920" w:type="dxa"/>
            <w:vAlign w:val="bottom"/>
          </w:tcPr>
          <w:p>
            <w:pPr>
              <w:spacing w:after="0"/>
              <w:rPr>
                <w:sz w:val="24"/>
                <w:szCs w:val="24"/>
                <w:color w:val="auto"/>
              </w:rPr>
            </w:pPr>
          </w:p>
        </w:tc>
        <w:tc>
          <w:tcPr>
            <w:tcW w:w="35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8"/>
              </w:rPr>
              <w:t>(781) 828–9300</w:t>
            </w:r>
          </w:p>
        </w:tc>
        <w:tc>
          <w:tcPr>
            <w:tcW w:w="1180" w:type="dxa"/>
            <w:vAlign w:val="bottom"/>
          </w:tcPr>
          <w:p>
            <w:pPr>
              <w:spacing w:after="0"/>
              <w:rPr>
                <w:sz w:val="24"/>
                <w:szCs w:val="24"/>
                <w:color w:val="auto"/>
              </w:rPr>
            </w:pPr>
          </w:p>
        </w:tc>
      </w:tr>
      <w:tr>
        <w:trPr>
          <w:trHeight w:val="174"/>
        </w:trPr>
        <w:tc>
          <w:tcPr>
            <w:tcW w:w="6440" w:type="dxa"/>
            <w:vAlign w:val="bottom"/>
            <w:gridSpan w:val="3"/>
          </w:tcPr>
          <w:p>
            <w:pPr>
              <w:jc w:val="center"/>
              <w:ind w:left="172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11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spacing w:after="0"/>
              <w:rPr>
                <w:sz w:val="18"/>
                <w:szCs w:val="18"/>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gridSpan w:val="5"/>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3"/>
                <w:szCs w:val="23"/>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6"/>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70"/>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500" w:type="dxa"/>
            <w:vAlign w:val="bottom"/>
            <w:gridSpan w:val="5"/>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8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3"/>
              <w:spacing w:after="0" w:line="117"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9"/>
              <w:spacing w:after="0" w:line="149" w:lineRule="exact"/>
              <w:rPr>
                <w:sz w:val="20"/>
                <w:szCs w:val="20"/>
                <w:color w:val="auto"/>
              </w:rPr>
            </w:pPr>
            <w:r>
              <w:rPr>
                <w:rFonts w:ascii="Arial" w:cs="Arial" w:eastAsia="Arial" w:hAnsi="Arial"/>
                <w:sz w:val="14"/>
                <w:szCs w:val="14"/>
                <w:b w:val="1"/>
                <w:bCs w:val="1"/>
                <w:color w:val="auto"/>
                <w:w w:val="88"/>
              </w:rPr>
              <w:t>offering</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32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88"/>
              </w:rPr>
              <w:t>Amount of</w:t>
            </w:r>
          </w:p>
        </w:tc>
        <w:tc>
          <w:tcPr>
            <w:tcW w:w="2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74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w w:val="97"/>
              </w:rPr>
              <w:t>Title of securities to be registered</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7"/>
              </w:rPr>
              <w:t>price per share (2)</w:t>
            </w:r>
          </w:p>
        </w:tc>
        <w:tc>
          <w:tcPr>
            <w:tcW w:w="160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89"/>
              </w:rPr>
              <w:t>price</w:t>
            </w:r>
          </w:p>
        </w:tc>
        <w:tc>
          <w:tcPr>
            <w:tcW w:w="132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w w:val="86"/>
              </w:rPr>
              <w:t>registration fee</w:t>
            </w:r>
          </w:p>
        </w:tc>
        <w:tc>
          <w:tcPr>
            <w:tcW w:w="24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$0.01 par value per share</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500,000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8"/>
                <w:szCs w:val="18"/>
                <w:color w:val="auto"/>
                <w:w w:val="88"/>
              </w:rPr>
              <w:t>$4.76</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88"/>
              </w:rPr>
              <w:t>$2,380,000</w:t>
            </w:r>
          </w:p>
        </w:tc>
        <w:tc>
          <w:tcPr>
            <w:tcW w:w="1320" w:type="dxa"/>
            <w:vAlign w:val="bottom"/>
            <w:tcBorders>
              <w:bottom w:val="single" w:sz="8" w:color="auto"/>
            </w:tcBorders>
          </w:tcPr>
          <w:p>
            <w:pPr>
              <w:jc w:val="center"/>
              <w:ind w:left="246"/>
              <w:spacing w:after="0"/>
              <w:rPr>
                <w:sz w:val="20"/>
                <w:szCs w:val="20"/>
                <w:color w:val="auto"/>
              </w:rPr>
            </w:pPr>
            <w:r>
              <w:rPr>
                <w:rFonts w:ascii="Arial" w:cs="Arial" w:eastAsia="Arial" w:hAnsi="Arial"/>
                <w:sz w:val="18"/>
                <w:szCs w:val="18"/>
                <w:color w:val="auto"/>
                <w:w w:val="86"/>
              </w:rPr>
              <w:t>$169.70</w:t>
            </w:r>
          </w:p>
        </w:tc>
        <w:tc>
          <w:tcPr>
            <w:tcW w:w="2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8" w:lineRule="exact"/>
        <w:rPr>
          <w:sz w:val="24"/>
          <w:szCs w:val="24"/>
          <w:color w:val="auto"/>
        </w:rPr>
      </w:pPr>
    </w:p>
    <w:p>
      <w:pPr>
        <w:ind w:left="460" w:right="2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(this “Registration Statement”) covers 500,000 shares of the Registrant’s common stock which may be offered or sold from time to time pursuant to the Registrant’s Amended and Restated Non-Employee Director Compensation Plan.</w:t>
      </w:r>
    </w:p>
    <w:p>
      <w:pPr>
        <w:ind w:left="460" w:right="10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and 457(h) of the Securities Act of 1933, as amended. The price per share and aggregate offering price are calculated on the basis of the average of the high and low prices of the Registrant’s Common Stock on the Nasdaq Global Select Market on November 15, 2010, in accordance with Rule 457(c)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as amended, for the fiscal year ended January 30,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83"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8–A/A, filed on August 28, 2009, and all amendments and reports updating such description.</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 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 of the Delaware General Corporation Law, as amended,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Item 512(a) of Regulation S–K</w:t>
      </w:r>
      <w:r>
        <w:rPr>
          <w:rFonts w:ascii="Arial" w:cs="Arial" w:eastAsia="Arial" w:hAnsi="Arial"/>
          <w:sz w:val="18"/>
          <w:szCs w:val="18"/>
          <w:color w:val="auto"/>
        </w:rPr>
        <w:t>. The undersigned Registrant hereby undertakes:</w:t>
      </w:r>
    </w:p>
    <w:p>
      <w:pPr>
        <w:spacing w:after="0" w:line="9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60" w:firstLine="4"/>
        <w:spacing w:after="0" w:line="357" w:lineRule="auto"/>
        <w:tabs>
          <w:tab w:leader="none" w:pos="719" w:val="left"/>
        </w:tabs>
        <w:numPr>
          <w:ilvl w:val="1"/>
          <w:numId w:val="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ind w:left="460" w:right="420" w:firstLine="4"/>
        <w:spacing w:after="0" w:line="268" w:lineRule="auto"/>
        <w:tabs>
          <w:tab w:leader="none" w:pos="7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and (ii)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periodic reports filed with or furnished to the Commission by the Registrant pursuant to Section 13 or Section 15(d) of the Exchange Act that are incorporated by reference in the Registration Statement.</w:t>
      </w:r>
    </w:p>
    <w:p>
      <w:pPr>
        <w:spacing w:after="0" w:line="140" w:lineRule="exact"/>
        <w:rPr>
          <w:sz w:val="20"/>
          <w:szCs w:val="20"/>
          <w:color w:val="auto"/>
        </w:rPr>
      </w:pPr>
    </w:p>
    <w:p>
      <w:pPr>
        <w:jc w:val="both"/>
        <w:ind w:right="440" w:firstLine="8"/>
        <w:spacing w:after="0" w:line="370" w:lineRule="auto"/>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62" w:lineRule="exact"/>
        <w:rPr>
          <w:rFonts w:ascii="Arial" w:cs="Arial" w:eastAsia="Arial" w:hAnsi="Arial"/>
          <w:sz w:val="15"/>
          <w:szCs w:val="15"/>
          <w:color w:val="auto"/>
        </w:rPr>
      </w:pPr>
    </w:p>
    <w:p>
      <w:pPr>
        <w:ind w:right="400"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320" w:firstLine="8"/>
        <w:spacing w:after="0" w:line="256"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 Act,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ind w:left="-8" w:firstLine="8"/>
        <w:spacing w:after="0" w:line="289" w:lineRule="auto"/>
        <w:tabs>
          <w:tab w:leader="none" w:pos="168"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512(h) of Regulation S–K</w:t>
      </w:r>
      <w:r>
        <w:rPr>
          <w:rFonts w:ascii="Arial" w:cs="Arial" w:eastAsia="Arial" w:hAnsi="Arial"/>
          <w:sz w:val="16"/>
          <w:szCs w:val="16"/>
          <w:color w:val="auto"/>
        </w:rPr>
        <w:t>. Insofar as indemnification for liabilities arising under the Securities Act may be permitted to directors, officers and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12"/>
          </w:cols>
          <w:pgMar w:left="248" w:top="28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this 22nd day of November,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Dennis R. Hernreich</w:t>
      </w:r>
    </w:p>
    <w:p>
      <w:pPr>
        <w:jc w:val="center"/>
        <w:ind w:left="7260"/>
        <w:spacing w:after="0" w:line="223" w:lineRule="auto"/>
        <w:rPr>
          <w:sz w:val="20"/>
          <w:szCs w:val="20"/>
          <w:color w:val="auto"/>
        </w:rPr>
      </w:pPr>
      <w:r>
        <w:rPr>
          <w:rFonts w:ascii="Arial" w:cs="Arial" w:eastAsia="Arial" w:hAnsi="Arial"/>
          <w:sz w:val="14"/>
          <w:szCs w:val="14"/>
          <w:b w:val="1"/>
          <w:bCs w:val="1"/>
          <w:color w:val="auto"/>
        </w:rPr>
        <w:t>Executive Vice President, Chief Operating</w:t>
      </w:r>
    </w:p>
    <w:p>
      <w:pPr>
        <w:jc w:val="center"/>
        <w:ind w:left="7260"/>
        <w:spacing w:after="0"/>
        <w:rPr>
          <w:sz w:val="20"/>
          <w:szCs w:val="20"/>
          <w:color w:val="auto"/>
        </w:rPr>
      </w:pPr>
      <w:r>
        <w:rPr>
          <w:rFonts w:ascii="Arial" w:cs="Arial" w:eastAsia="Arial" w:hAnsi="Arial"/>
          <w:sz w:val="14"/>
          <w:szCs w:val="14"/>
          <w:b w:val="1"/>
          <w:bCs w:val="1"/>
          <w:color w:val="auto"/>
        </w:rPr>
        <w:t>Officer, Chief Financial Officer and Treasurer</w:t>
      </w:r>
    </w:p>
    <w:p>
      <w:pPr>
        <w:spacing w:after="0" w:line="14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17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Date</w:t>
            </w:r>
          </w:p>
        </w:tc>
        <w:tc>
          <w:tcPr>
            <w:tcW w:w="400" w:type="dxa"/>
            <w:vAlign w:val="bottom"/>
          </w:tcPr>
          <w:p>
            <w:pPr>
              <w:spacing w:after="0"/>
              <w:rPr>
                <w:sz w:val="14"/>
                <w:szCs w:val="14"/>
                <w:color w:val="auto"/>
              </w:rPr>
            </w:pPr>
          </w:p>
        </w:tc>
      </w:tr>
      <w:tr>
        <w:trPr>
          <w:trHeight w:val="424"/>
        </w:trPr>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8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19, 2010</w:t>
            </w:r>
          </w:p>
        </w:tc>
      </w:tr>
      <w:tr>
        <w:trPr>
          <w:trHeight w:val="202"/>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1"/>
              </w:rPr>
              <w:t>David A. Levin</w:t>
            </w:r>
          </w:p>
        </w:tc>
        <w:tc>
          <w:tcPr>
            <w:tcW w:w="46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Operating Officer,</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19, 2010</w:t>
            </w:r>
          </w:p>
        </w:tc>
      </w:tr>
      <w:tr>
        <w:trPr>
          <w:trHeight w:val="190"/>
        </w:trPr>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Dennis R. Hernreich</w:t>
            </w:r>
          </w:p>
        </w:tc>
        <w:tc>
          <w:tcPr>
            <w:tcW w:w="464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Financial Officer and Treasurer</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2"/>
        </w:trPr>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(Principal Financial Officer)</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46"/>
        </w:trPr>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ETER</w:t>
            </w:r>
            <w:r>
              <w:rPr>
                <w:rFonts w:ascii="Arial" w:cs="Arial" w:eastAsia="Arial" w:hAnsi="Arial"/>
                <w:sz w:val="18"/>
                <w:szCs w:val="18"/>
                <w:color w:val="auto"/>
                <w:w w:val="93"/>
              </w:rPr>
              <w:t xml:space="preserve"> H. S</w:t>
            </w:r>
            <w:r>
              <w:rPr>
                <w:rFonts w:ascii="Arial" w:cs="Arial" w:eastAsia="Arial" w:hAnsi="Arial"/>
                <w:sz w:val="14"/>
                <w:szCs w:val="14"/>
                <w:color w:val="auto"/>
                <w:w w:val="93"/>
              </w:rPr>
              <w:t>TRATTON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of Finance and Corporate</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22, 2010</w:t>
            </w:r>
          </w:p>
        </w:tc>
      </w:tr>
      <w:tr>
        <w:trPr>
          <w:trHeight w:val="202"/>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Peter H. Stratton, Jr.</w:t>
            </w:r>
          </w:p>
        </w:tc>
        <w:tc>
          <w:tcPr>
            <w:tcW w:w="46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Controller (Principal Accounting Officer)</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40"/>
        </w:trPr>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4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22, 2010</w:t>
            </w: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Seymour Holtzman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Alan S. Bernikow</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3"/>
              </w:rPr>
              <w:t>Jesse H. Choper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K</w:t>
            </w:r>
            <w:r>
              <w:rPr>
                <w:rFonts w:ascii="Arial" w:cs="Arial" w:eastAsia="Arial" w:hAnsi="Arial"/>
                <w:sz w:val="14"/>
                <w:szCs w:val="14"/>
                <w:color w:val="auto"/>
              </w:rPr>
              <w:t>YEES</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22, 2010</w:t>
            </w: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6"/>
              </w:rPr>
              <w:t>John Kyees</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4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22, 2010</w:t>
            </w: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1"/>
              </w:rPr>
              <w:t>Ward K. Mooney</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w w:val="91"/>
              </w:rPr>
              <w:t>G</w:t>
            </w:r>
            <w:r>
              <w:rPr>
                <w:rFonts w:ascii="Arial" w:cs="Arial" w:eastAsia="Arial" w:hAnsi="Arial"/>
                <w:sz w:val="14"/>
                <w:szCs w:val="14"/>
                <w:color w:val="auto"/>
                <w:w w:val="91"/>
              </w:rPr>
              <w:t>EORGE</w:t>
            </w:r>
            <w:r>
              <w:rPr>
                <w:rFonts w:ascii="Arial" w:cs="Arial" w:eastAsia="Arial" w:hAnsi="Arial"/>
                <w:sz w:val="18"/>
                <w:szCs w:val="18"/>
                <w:color w:val="auto"/>
                <w:w w:val="91"/>
              </w:rPr>
              <w:t xml:space="preserve"> T. P</w:t>
            </w:r>
            <w:r>
              <w:rPr>
                <w:rFonts w:ascii="Arial" w:cs="Arial" w:eastAsia="Arial" w:hAnsi="Arial"/>
                <w:sz w:val="14"/>
                <w:szCs w:val="14"/>
                <w:color w:val="auto"/>
                <w:w w:val="91"/>
              </w:rPr>
              <w:t>ORTER</w:t>
            </w:r>
            <w:r>
              <w:rPr>
                <w:rFonts w:ascii="Arial" w:cs="Arial" w:eastAsia="Arial" w:hAnsi="Arial"/>
                <w:sz w:val="18"/>
                <w:szCs w:val="18"/>
                <w:color w:val="auto"/>
                <w:w w:val="91"/>
              </w:rPr>
              <w:t>, J</w:t>
            </w:r>
            <w:r>
              <w:rPr>
                <w:rFonts w:ascii="Arial" w:cs="Arial" w:eastAsia="Arial" w:hAnsi="Arial"/>
                <w:sz w:val="14"/>
                <w:szCs w:val="14"/>
                <w:color w:val="auto"/>
                <w:w w:val="91"/>
              </w:rPr>
              <w:t>R</w:t>
            </w:r>
            <w:r>
              <w:rPr>
                <w:rFonts w:ascii="Arial" w:cs="Arial" w:eastAsia="Arial" w:hAnsi="Arial"/>
                <w:sz w:val="18"/>
                <w:szCs w:val="18"/>
                <w:color w:val="auto"/>
                <w:w w:val="91"/>
              </w:rPr>
              <w:t>.</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19, 2010</w:t>
            </w: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7"/>
              </w:rPr>
              <w:t>George T. Porter, Jr.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4"/>
              </w:rPr>
              <w:t>/s/</w:t>
            </w:r>
          </w:p>
        </w:tc>
        <w:tc>
          <w:tcPr>
            <w:tcW w:w="304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5"/>
              </w:rPr>
              <w:t>M</w:t>
            </w:r>
            <w:r>
              <w:rPr>
                <w:rFonts w:ascii="Arial" w:cs="Arial" w:eastAsia="Arial" w:hAnsi="Arial"/>
                <w:sz w:val="14"/>
                <w:szCs w:val="14"/>
                <w:color w:val="auto"/>
                <w:w w:val="95"/>
              </w:rPr>
              <w:t>ITCHELL</w:t>
            </w:r>
            <w:r>
              <w:rPr>
                <w:rFonts w:ascii="Arial" w:cs="Arial" w:eastAsia="Arial" w:hAnsi="Arial"/>
                <w:sz w:val="18"/>
                <w:szCs w:val="18"/>
                <w:color w:val="auto"/>
                <w:w w:val="95"/>
              </w:rPr>
              <w:t xml:space="preserve"> S. P</w:t>
            </w:r>
            <w:r>
              <w:rPr>
                <w:rFonts w:ascii="Arial" w:cs="Arial" w:eastAsia="Arial" w:hAnsi="Arial"/>
                <w:sz w:val="14"/>
                <w:szCs w:val="14"/>
                <w:color w:val="auto"/>
                <w:w w:val="95"/>
              </w:rPr>
              <w:t>RESSER</w:t>
            </w:r>
          </w:p>
        </w:tc>
        <w:tc>
          <w:tcPr>
            <w:tcW w:w="4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ind w:left="840"/>
              <w:spacing w:after="0"/>
              <w:rPr>
                <w:sz w:val="20"/>
                <w:szCs w:val="20"/>
                <w:color w:val="auto"/>
              </w:rPr>
            </w:pPr>
            <w:r>
              <w:rPr>
                <w:rFonts w:ascii="Arial" w:cs="Arial" w:eastAsia="Arial" w:hAnsi="Arial"/>
                <w:sz w:val="18"/>
                <w:szCs w:val="18"/>
                <w:color w:val="auto"/>
                <w:w w:val="87"/>
              </w:rPr>
              <w:t>November 22, 2010</w:t>
            </w:r>
          </w:p>
        </w:tc>
      </w:tr>
      <w:tr>
        <w:trPr>
          <w:trHeight w:val="169"/>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6"/>
              </w:rPr>
              <w:t>Mitchell S. Presser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50"/>
        </w:trPr>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0" w:type="dxa"/>
            <w:vAlign w:val="bottom"/>
          </w:tcPr>
          <w:p>
            <w:pPr>
              <w:ind w:left="14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5" w:name="page6"/>
    <w:bookmarkEnd w:id="5"/>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00"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Casual Male Retail Group, Inc. Amended and Restated Non-Employee Director Compensation Plan.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Greenberg Traurig LLP, counsel to the Registrant.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Greenberg Traurig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ectPr>
          <w:pgSz w:w="11900" w:h="16838" w:orient="portrait"/>
          <w:cols w:equalWidth="0" w:num="1">
            <w:col w:w="10219"/>
          </w:cols>
          <w:pgMar w:left="240" w:top="274"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 Establishment and Purpose</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Casual Male Retail Group, Inc. (the “Company”) hereby establishes a non-employee director compensation plan to be named the Casual Male Retail Group, Inc. Amended and Restated Non-Employee Director Compensation Plan (the “Plan”), for the purpose of supporting the Company’s ongoing efforts to attract and retain exceptional directors to provide strategic guidance to the Company. The Plan also provides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Any such Shares acquired by a non-employee director pursuant to this Plan shall come out of the pool of Shares reserved for issuance under Section 4 of this Plan, subject to adjustment as the Board may from time to time determine, and not from the Incentive Compensation Plan. The Plan shall be effective as of January 30, 2011, except that elections for fiscal 2011 must be submitted to the Company in accordance with Section 3(iii) no later than December 1,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 Definitions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51" w:lineRule="exact"/>
        <w:rPr>
          <w:sz w:val="20"/>
          <w:szCs w:val="20"/>
          <w:color w:val="auto"/>
        </w:rPr>
      </w:pPr>
    </w:p>
    <w:p>
      <w:pPr>
        <w:ind w:left="460" w:right="3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Black-Scholes Valuation</w:t>
      </w:r>
      <w:r>
        <w:rPr>
          <w:rFonts w:ascii="Arial" w:cs="Arial" w:eastAsia="Arial" w:hAnsi="Arial"/>
          <w:sz w:val="18"/>
          <w:szCs w:val="18"/>
          <w:color w:val="auto"/>
        </w:rPr>
        <w:t>” means, with respect to an Option, the value of such Option as of the Grant Date calculated utilizing the same formula and assumptions as the Company utilized for the purpose of valuing outstanding options in its most recently (meaning at the time of the valuation) prepared audited annual financial statement.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U.S. dollars.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 or any successor agency.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$.01 per share.</w:t>
      </w:r>
    </w:p>
    <w:p>
      <w:pPr>
        <w:spacing w:after="0" w:line="9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award under the Plan that is payable in the form of Cash, Deferred Stock, Options and/or Shares pursuant to the terms and conditions set forth in this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 w:name="page8"/>
    <w:bookmarkEnd w:id="7"/>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Compensation Payment Choice</w:t>
      </w:r>
      <w:r>
        <w:rPr>
          <w:rFonts w:ascii="Arial" w:cs="Arial" w:eastAsia="Arial" w:hAnsi="Arial"/>
          <w:sz w:val="16"/>
          <w:szCs w:val="16"/>
          <w:color w:val="auto"/>
        </w:rPr>
        <w:t>” means the form of payment of Compensation that a Participant selects in accordance with the terms hereof.</w:t>
      </w:r>
    </w:p>
    <w:p>
      <w:pPr>
        <w:spacing w:after="0" w:line="113" w:lineRule="exact"/>
        <w:rPr>
          <w:rFonts w:ascii="Arial" w:cs="Arial" w:eastAsia="Arial" w:hAnsi="Arial"/>
          <w:sz w:val="16"/>
          <w:szCs w:val="16"/>
          <w:color w:val="auto"/>
        </w:rPr>
      </w:pPr>
    </w:p>
    <w:p>
      <w:pPr>
        <w:ind w:left="452" w:right="20" w:hanging="452"/>
        <w:spacing w:after="0" w:line="268"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50"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 Date</w:t>
      </w:r>
      <w:r>
        <w:rPr>
          <w:rFonts w:ascii="Arial" w:cs="Arial" w:eastAsia="Arial" w:hAnsi="Arial"/>
          <w:sz w:val="16"/>
          <w:szCs w:val="16"/>
          <w:color w:val="auto"/>
        </w:rPr>
        <w:t>” means the following: (i) each quarterly retainer and chairperson fee payable pursuant to Sections 3(i)(a)-(d) hereof shall be paid on, and the Grant Dates shall be, the first business day of each quarter in each fiscal year, (ii) each meeting fee payable pursuant to Sections 3(i)(e) and (f) hereof shall be paid on, and the Grant Date shall be, the last business day of each month in which the applicable meeting occurs, (iii) the fee payable upon the re-election of a Director to the Board pursuant to Section 3(i)(g) hereof shall be paid on, and the Grant Date shall be, the last business day of the month in which such re-election occurs; and (iv) the Option grant issued pursuant to Section 3(i)(h) with respect to a Director’s initial election to the Board shall be issued on, and the Grant Date shall be, the last business day of the month in which such initial election occurs.</w:t>
      </w:r>
    </w:p>
    <w:p>
      <w:pPr>
        <w:spacing w:after="0" w:line="39" w:lineRule="exact"/>
        <w:rPr>
          <w:rFonts w:ascii="Arial" w:cs="Arial" w:eastAsia="Arial" w:hAnsi="Arial"/>
          <w:sz w:val="16"/>
          <w:szCs w:val="16"/>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Compensation Plan</w:t>
      </w:r>
      <w:r>
        <w:rPr>
          <w:rFonts w:ascii="Arial" w:cs="Arial" w:eastAsia="Arial" w:hAnsi="Arial"/>
          <w:sz w:val="18"/>
          <w:szCs w:val="18"/>
          <w:color w:val="auto"/>
        </w:rPr>
        <w:t>” means the Company’s 2006 Incentive Compensation Plan, as amended from time to time.</w:t>
      </w:r>
    </w:p>
    <w:p>
      <w:pPr>
        <w:spacing w:after="0" w:line="90"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Irrevocable Election Agreement</w:t>
      </w:r>
      <w:r>
        <w:rPr>
          <w:rFonts w:ascii="Arial" w:cs="Arial" w:eastAsia="Arial" w:hAnsi="Arial"/>
          <w:sz w:val="18"/>
          <w:szCs w:val="18"/>
          <w:color w:val="auto"/>
        </w:rPr>
        <w:t xml:space="preserve">” means the written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between the Company and a Participant, which, together with the Plan, governs the Participant’s rights to payment of Compensation under the Plan.</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satisfies the requirements set forth in Rule 16b-3(b)(3)(i) under the Exchange Act.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Non-Employee Director of the Company.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Casual Male Retail Group, Inc. Amended and Restated Non-Employee Director Compensation Plan, as amended from time to time.</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the earliest date on which a Participant has incurred a separation from service, within the meaning of Section 409A</w:t>
      </w:r>
    </w:p>
    <w:p>
      <w:pPr>
        <w:spacing w:after="0" w:line="38"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(a) (2) of the Code, with the Service Recipient.</w:t>
      </w:r>
    </w:p>
    <w:p>
      <w:pPr>
        <w:spacing w:after="0" w:line="83" w:lineRule="exact"/>
        <w:rPr>
          <w:rFonts w:ascii="Arial" w:cs="Arial" w:eastAsia="Arial" w:hAnsi="Arial"/>
          <w:sz w:val="16"/>
          <w:szCs w:val="16"/>
          <w:color w:val="auto"/>
        </w:rPr>
      </w:pPr>
    </w:p>
    <w:p>
      <w:pPr>
        <w:ind w:left="452" w:right="300" w:hanging="452"/>
        <w:spacing w:after="0" w:line="306"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Recipient</w:t>
      </w:r>
      <w:r>
        <w:rPr>
          <w:rFonts w:ascii="Arial" w:cs="Arial" w:eastAsia="Arial" w:hAnsi="Arial"/>
          <w:sz w:val="16"/>
          <w:szCs w:val="16"/>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9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361" w:right="339" w:bottom="1440" w:gutter="0" w:footer="0" w:header="0"/>
        </w:sectPr>
      </w:pPr>
    </w:p>
    <w:bookmarkStart w:id="8" w:name="page9"/>
    <w:bookmarkEnd w:id="8"/>
    <w:p>
      <w:pPr>
        <w:ind w:left="460" w:right="1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by the United States Treasury Department with respect to the Code, as amended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 Compensation; Irrevocable Election; Valuation.</w:t>
      </w:r>
    </w:p>
    <w:p>
      <w:pPr>
        <w:spacing w:after="0" w:line="90"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paid to the Participants shall be as follows: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retainer equal to $5,000 per fiscal quarter (paid only to those Participants serving (i) as a Director as of the first day of the fiscal year, and (ii) as a Director as of the Grant Date in the fiscal quarter for which the fee is payable);</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chairperson of the Company’s audit committee, a fee equal to $2,500 per fiscal quarter (paid only to the Participant serving in such position as of the Grant Date in the fiscal quarter for which the fee is payable);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chairperson of the Company’s compensation committee, a fee equal to $1,250 per fiscal quarter (paid only to the Participant serving in such position as of the Grant Date in the fiscal quarter for which the fee is payable);</w:t>
      </w:r>
    </w:p>
    <w:p>
      <w:pPr>
        <w:spacing w:after="0" w:line="50" w:lineRule="exact"/>
        <w:rPr>
          <w:rFonts w:ascii="Arial" w:cs="Arial" w:eastAsia="Arial" w:hAnsi="Arial"/>
          <w:sz w:val="18"/>
          <w:szCs w:val="18"/>
          <w:color w:val="auto"/>
        </w:rPr>
      </w:pPr>
    </w:p>
    <w:p>
      <w:pPr>
        <w:ind w:left="900" w:right="46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to the chairperson of the Company’s nominating and corporate governance committee, a fee equal to $1,250 per fiscal quarter (paid only to the Participant serving in such position as of the Grant Date in the fiscal quarter for which the fee is payable);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$1,500 per meeting for his/her attendance at in-person meetings of the Board and committees;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$750 per meeting for his/her attendance at telephonic meetings of the Board and committees;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$82,250 annually upon his/her re-election to the Board;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Options to purchase 15,000 shares of the Company’s common stock upon initial election to the Board.</w:t>
      </w:r>
    </w:p>
    <w:p>
      <w:pPr>
        <w:spacing w:after="0" w:line="171" w:lineRule="exact"/>
        <w:rPr>
          <w:sz w:val="20"/>
          <w:szCs w:val="20"/>
          <w:color w:val="auto"/>
        </w:rPr>
      </w:pPr>
    </w:p>
    <w:p>
      <w:pPr>
        <w:ind w:firstLine="8"/>
        <w:spacing w:after="0" w:line="286"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the terms hereof, Compensation shall be paid on the applicable Grant Date unless the Participant elects to receive Deferred Stock. The Participants will have the right to elect payments of the values set forth above in any combination of Cash, Shares, Deferred Stock or Options; provided that (i) Compensation paid in the form of Options and/or Deferred Stock shall be made pursuant to the Incentive Compensation Plan, and can only be made in such form if there is a sufficient number of shares of Common Stock available under the Incentive Compensation Plan; and (ii) Compensation paid in the form of Shares shall be made pursuant to this Plan, and can only be made in such form if there is a sufficient number of shares of Common Stock available under this Plan. In the event that the Company does not have a sufficient number of shares of Common Stock remaining under the Incentive Compensation Plan to satisfy elections to receive Options and/or Deferred Stock,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that the Company does not have a sufficient number of shares of Common Stock remaining under this Plan to satisfy elections to receive Shares,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a Participant elects to receive Deferred Stock, then on the Grant Date, the Participant shall receive a Deferred Stock Award and, when the deferment period expires, payment shall be made in shares of Common Stock.</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1" w:right="279" w:bottom="1440" w:gutter="0" w:footer="0" w:header="0"/>
        </w:sectPr>
      </w:pPr>
    </w:p>
    <w:bookmarkStart w:id="9" w:name="page10"/>
    <w:bookmarkEnd w:id="9"/>
    <w:p>
      <w:pPr>
        <w:ind w:left="-8" w:right="120" w:firstLine="8"/>
        <w:spacing w:after="0" w:line="294" w:lineRule="auto"/>
        <w:tabs>
          <w:tab w:leader="none" w:pos="299"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elections by the Participants must be made in writing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submitted to the General Counsel of the Company (or such other person as the Committee shall designate) no later than December 1</w:t>
      </w:r>
      <w:r>
        <w:rPr>
          <w:rFonts w:ascii="Arial" w:cs="Arial" w:eastAsia="Arial" w:hAnsi="Arial"/>
          <w:sz w:val="10"/>
          <w:szCs w:val="10"/>
          <w:color w:val="auto"/>
        </w:rPr>
        <w:t>st</w:t>
      </w:r>
      <w:r>
        <w:rPr>
          <w:rFonts w:ascii="Arial" w:cs="Arial" w:eastAsia="Arial" w:hAnsi="Arial"/>
          <w:sz w:val="16"/>
          <w:szCs w:val="16"/>
          <w:color w:val="auto"/>
        </w:rPr>
        <w:t xml:space="preserve"> of the year preceding the fiscal year for which the election is to be effective. All elections (including elections to receive Deferred Stock), once submitted, are irrevocable for that fiscal year. In the event a timely election is not made or a person does not become a Participant until after the deadline for the election to be made, the payments will be made in cash for that fiscal year. Any person, who becomes a Participant during a fiscal year, shall be eligible to receive cash.</w:t>
      </w:r>
    </w:p>
    <w:p>
      <w:pPr>
        <w:spacing w:after="0" w:line="115" w:lineRule="exact"/>
        <w:rPr>
          <w:rFonts w:ascii="Arial" w:cs="Arial" w:eastAsia="Arial" w:hAnsi="Arial"/>
          <w:sz w:val="16"/>
          <w:szCs w:val="16"/>
          <w:color w:val="auto"/>
        </w:rPr>
      </w:pPr>
    </w:p>
    <w:p>
      <w:pPr>
        <w:ind w:left="-8" w:firstLine="8"/>
        <w:spacing w:after="0" w:line="256" w:lineRule="auto"/>
        <w:tabs>
          <w:tab w:leader="none" w:pos="28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Valuation of Shares</w:t>
      </w:r>
      <w:r>
        <w:rPr>
          <w:rFonts w:ascii="Arial" w:cs="Arial" w:eastAsia="Arial" w:hAnsi="Arial"/>
          <w:sz w:val="18"/>
          <w:szCs w:val="18"/>
          <w:color w:val="auto"/>
        </w:rPr>
        <w:t>. For the purposes of determining the number of Shares to be issued to a Participant on a Grant Date, each Share shall be assigned a value equal to the consolidated closing bid price of a share of Common Stock as reported by NASDAQ on the effective Grant Date. Any Shares granted pursuant to this Plan shall be fully vested on the Grant Date. Payouts of Shares under the Plan will be in the form of whole Shares only; the balance of any foregone fees not payable in whole Shares will be paid in cash.</w:t>
      </w:r>
    </w:p>
    <w:p>
      <w:pPr>
        <w:spacing w:after="0" w:line="143" w:lineRule="exact"/>
        <w:rPr>
          <w:rFonts w:ascii="Arial" w:cs="Arial" w:eastAsia="Arial" w:hAnsi="Arial"/>
          <w:sz w:val="18"/>
          <w:szCs w:val="18"/>
          <w:color w:val="auto"/>
        </w:rPr>
      </w:pPr>
    </w:p>
    <w:p>
      <w:pPr>
        <w:ind w:left="-8" w:firstLine="8"/>
        <w:spacing w:after="0" w:line="287" w:lineRule="auto"/>
        <w:tabs>
          <w:tab w:leader="none" w:pos="24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Valuation of Options and/or Deferred Stock</w:t>
      </w:r>
      <w:r>
        <w:rPr>
          <w:rFonts w:ascii="Arial" w:cs="Arial" w:eastAsia="Arial" w:hAnsi="Arial"/>
          <w:sz w:val="16"/>
          <w:szCs w:val="16"/>
          <w:color w:val="auto"/>
        </w:rPr>
        <w:t>. For the purposes of determining the relative values of Deferred Stock and Options, each share of Deferred Stock shall be assigned a value equal to the closing price of a share of the Common Stock as reported by NASDAQ on the effective Grant Date and each Option to acquire a share of Common Stock shall be assigned a value equal to the Black-Scholes value of an option to acquire a share of Common Stock on the effective Grant Date with an exercise price equal to the closing sale price of a share of Common Stock as reported on a consolidated basis by NASDAQ on such Grant Date. Any Options issued pursuant to the foregoing shall vest in increments of one-third on the effective Grant Date, one-third on the first anniversary of the effective Grant Date and one-third on the second anniversary of the effective Grant Date. Unless the Board otherwise determines in its sole discretion, any unexercised portion of vested Options shall be exercisable for 10 years after the Grant Date, except in the event of Separation from Service, where vested Options shall automatically terminate: (i) immediately if for cause; (ii) three months if for a reason other than for cause/disability/death; (iii) twelve months if by reason of a Disability; and (iv) (a) twelve months if by reason of death or, if later, (b) three months after the date which the Participant dies if death occurs during the one year period due to Disability. Any Deferred Stock granted pursuant to this Plan shall be fully vested on the Grant Date.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10" w:name="page11"/>
    <w:bookmarkEnd w:id="10"/>
    <w:p>
      <w:pPr>
        <w:ind w:right="240" w:firstLine="8"/>
        <w:spacing w:after="0" w:line="332"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in the event of a Change in Control, all unvested Options to which a Participant would otherwise be entitled shall be forfeited immediately upon the Participant’s Separation from Service except as may otherwise be determined by the Board in writing in its sole discretion.</w:t>
      </w:r>
    </w:p>
    <w:p>
      <w:pPr>
        <w:spacing w:after="0" w:line="85" w:lineRule="exact"/>
        <w:rPr>
          <w:rFonts w:ascii="Arial" w:cs="Arial" w:eastAsia="Arial" w:hAnsi="Arial"/>
          <w:sz w:val="16"/>
          <w:szCs w:val="16"/>
          <w:color w:val="auto"/>
        </w:rPr>
      </w:pPr>
    </w:p>
    <w:p>
      <w:pPr>
        <w:jc w:val="both"/>
        <w:ind w:right="540" w:firstLine="8"/>
        <w:spacing w:after="0" w:line="303" w:lineRule="auto"/>
        <w:tabs>
          <w:tab w:leader="none" w:pos="297"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a Participant may elect to receive Deferred Stock, the deferral period shall be 3-5 years after the Grant Date as irrevocably elected by the Participant pursuant to Section 3 (iii) above. Payment of the Deferred Stock Award shall occur on the earlier of (a) the Participant’s Separation from Service or (b) the deferral election date specified by the Participant. Notwithstanding the foregoing, if a Participant is a “specified employee”, as that term is defined in</w:t>
      </w:r>
    </w:p>
    <w:p>
      <w:pPr>
        <w:spacing w:after="0" w:line="1" w:lineRule="exact"/>
        <w:rPr>
          <w:rFonts w:ascii="Arial" w:cs="Arial" w:eastAsia="Arial" w:hAnsi="Arial"/>
          <w:sz w:val="15"/>
          <w:szCs w:val="15"/>
          <w:color w:val="auto"/>
        </w:rPr>
      </w:pPr>
    </w:p>
    <w:p>
      <w:pPr>
        <w:ind w:right="60"/>
        <w:spacing w:after="0" w:line="254" w:lineRule="auto"/>
        <w:rPr>
          <w:rFonts w:ascii="Arial" w:cs="Arial" w:eastAsia="Arial" w:hAnsi="Arial"/>
          <w:sz w:val="15"/>
          <w:szCs w:val="15"/>
          <w:color w:val="auto"/>
        </w:rPr>
      </w:pPr>
      <w:r>
        <w:rPr>
          <w:rFonts w:ascii="Arial" w:cs="Arial" w:eastAsia="Arial" w:hAnsi="Arial"/>
          <w:sz w:val="18"/>
          <w:szCs w:val="18"/>
          <w:color w:val="auto"/>
        </w:rPr>
        <w:t>Section 409A(a)(2)(B)(i) of the Code,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w:t>
      </w:r>
    </w:p>
    <w:p>
      <w:pPr>
        <w:spacing w:after="0" w:line="14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u w:val="single" w:color="auto"/>
          <w:color w:val="auto"/>
        </w:rPr>
        <w:t>Section 4. Number of Shares Under the Plan</w:t>
      </w:r>
      <w:r>
        <w:rPr>
          <w:rFonts w:ascii="Arial" w:cs="Arial" w:eastAsia="Arial" w:hAnsi="Arial"/>
          <w:sz w:val="18"/>
          <w:szCs w:val="18"/>
          <w:color w:val="auto"/>
        </w:rPr>
        <w:t>. Subject to adjustment as the Board may from time to time determine, the total number of Shares reserved and available under the Plan with respect to elections to receive Shares in lieu of fees shall initially be 500,000, as adjusted for any stock dividends, combinations, splits, recapitalizations and the like with respect to the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 Change in Control</w:t>
      </w:r>
      <w:r>
        <w:rPr>
          <w:rFonts w:ascii="Arial" w:cs="Arial" w:eastAsia="Arial" w:hAnsi="Arial"/>
          <w:sz w:val="18"/>
          <w:szCs w:val="18"/>
          <w:color w:val="auto"/>
        </w:rPr>
        <w:t>.</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If and to the extent that it would not violate the requirements of Section 409A of the Code, in the event of a Change in Control prior to, or concurrently with, a Participant’s Separation from Service, the full value of the Participant’s unpaid or unvested Compensation shall immediately vest and; in the case of any Deferred Stock Award, shall be paid as soon as administratively practicable after, and in all events within 30 days after, the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 No Acceleration of Benefits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 Amendment and Termination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Unfunded Obligation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not all forms of payment hereunder are being made under the Incentive Compensation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 Withholding</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construed and enforced in accordance with the laws of the State of Delaware, except to the extent superseded by federal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 Administration and Interpretation</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 Code Section 409A</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It is intended that the Compensation granted pursuant to this Plan other than any Deferred Stock Awards, be exempt from Section 409A of the Code (“Section 409A”) because it is believed (i) the Compensation payable in cash should qualify for the short-term deferral exception contained in Treasury Regulation §1.409A-1(b)(4), and (ii) any Options granted pursuant to the Plan will have an exercise price that may never be less than the Fair Market Value of a Share on the Grant Date and the other requirements for the exemption of such options under Treasury Regulation §1.409A-1(b)(5)(i)(A) should be met. It also is intended that any compensation payable in the form of a Deferred Stock Award comply with the requirements of Section 409A. The provisions of the Plan shall be interpreted in a manner consistent with the foregoing intentions.</w:t>
      </w:r>
    </w:p>
    <w:p>
      <w:pPr>
        <w:spacing w:after="0" w:line="120"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SPACE IS LEFT BLANK INTENTIONALLY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3" w:name="page14"/>
    <w:bookmarkEnd w:id="13"/>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NON-EMPLOYEE DIRECTOR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ELECTION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gridSpan w:val="2"/>
          </w:tcPr>
          <w:p>
            <w:pPr>
              <w:spacing w:after="0"/>
              <w:rPr>
                <w:sz w:val="20"/>
                <w:szCs w:val="20"/>
                <w:color w:val="auto"/>
              </w:rPr>
            </w:pPr>
            <w:r>
              <w:rPr>
                <w:rFonts w:ascii="Arial" w:cs="Arial" w:eastAsia="Arial" w:hAnsi="Arial"/>
                <w:sz w:val="18"/>
                <w:szCs w:val="18"/>
                <w:color w:val="auto"/>
              </w:rPr>
              <w:t>TO:</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General Counsel:</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0" w:type="dxa"/>
            <w:vAlign w:val="bottom"/>
            <w:gridSpan w:val="2"/>
          </w:tcPr>
          <w:p>
            <w:pPr>
              <w:spacing w:after="0"/>
              <w:rPr>
                <w:sz w:val="20"/>
                <w:szCs w:val="20"/>
                <w:color w:val="auto"/>
              </w:rPr>
            </w:pPr>
            <w:r>
              <w:rPr>
                <w:rFonts w:ascii="Arial" w:cs="Arial" w:eastAsia="Arial" w:hAnsi="Arial"/>
                <w:sz w:val="18"/>
                <w:szCs w:val="18"/>
                <w:color w:val="auto"/>
              </w:rPr>
              <w:t>I,</w:t>
            </w:r>
          </w:p>
        </w:tc>
        <w:tc>
          <w:tcPr>
            <w:tcW w:w="11020" w:type="dxa"/>
            <w:vAlign w:val="bottom"/>
            <w:gridSpan w:val="15"/>
          </w:tcPr>
          <w:p>
            <w:pPr>
              <w:ind w:left="640"/>
              <w:spacing w:after="0"/>
              <w:rPr>
                <w:sz w:val="20"/>
                <w:szCs w:val="20"/>
                <w:color w:val="auto"/>
              </w:rPr>
            </w:pPr>
            <w:r>
              <w:rPr>
                <w:rFonts w:ascii="Arial" w:cs="Arial" w:eastAsia="Arial" w:hAnsi="Arial"/>
                <w:sz w:val="18"/>
                <w:szCs w:val="18"/>
                <w:color w:val="auto"/>
                <w:w w:val="90"/>
              </w:rPr>
              <w:t>, hereby elect to receive my Casual Male Retail Group, Inc. Non-Employee Director Compensation (as defined in the Casual Male Retail Group,</w:t>
            </w:r>
          </w:p>
        </w:tc>
        <w:tc>
          <w:tcPr>
            <w:tcW w:w="0" w:type="dxa"/>
            <w:vAlign w:val="bottom"/>
          </w:tcPr>
          <w:p>
            <w:pPr>
              <w:spacing w:after="0"/>
              <w:rPr>
                <w:sz w:val="1"/>
                <w:szCs w:val="1"/>
                <w:color w:val="auto"/>
              </w:rPr>
            </w:pPr>
          </w:p>
        </w:tc>
      </w:tr>
      <w:tr>
        <w:trPr>
          <w:trHeight w:val="222"/>
        </w:trPr>
        <w:tc>
          <w:tcPr>
            <w:tcW w:w="7080" w:type="dxa"/>
            <w:vAlign w:val="bottom"/>
            <w:gridSpan w:val="8"/>
          </w:tcPr>
          <w:p>
            <w:pPr>
              <w:spacing w:after="0"/>
              <w:rPr>
                <w:sz w:val="20"/>
                <w:szCs w:val="20"/>
                <w:color w:val="auto"/>
              </w:rPr>
            </w:pPr>
            <w:r>
              <w:rPr>
                <w:rFonts w:ascii="Arial" w:cs="Arial" w:eastAsia="Arial" w:hAnsi="Arial"/>
                <w:sz w:val="18"/>
                <w:szCs w:val="18"/>
                <w:color w:val="auto"/>
                <w:w w:val="92"/>
              </w:rPr>
              <w:t>Inc. Amended and Restated Non-Employee Director Compensation Plan (the “Plan”)) as follows: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PAYMENT CHOICES</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8"/>
              </w:rPr>
              <w:t>CMRG</w:t>
            </w:r>
          </w:p>
        </w:tc>
        <w:tc>
          <w:tcPr>
            <w:tcW w:w="9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8"/>
              </w:rPr>
              <w:t>CMRG</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w w:val="93"/>
              </w:rPr>
              <w:t>CMRG</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Deferred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If Deferred Stock was elected,</w:t>
            </w:r>
          </w:p>
        </w:tc>
        <w:tc>
          <w:tcPr>
            <w:tcW w:w="0" w:type="dxa"/>
            <w:vAlign w:val="bottom"/>
          </w:tcPr>
          <w:p>
            <w:pPr>
              <w:spacing w:after="0"/>
              <w:rPr>
                <w:sz w:val="1"/>
                <w:szCs w:val="1"/>
                <w:color w:val="auto"/>
              </w:rPr>
            </w:pPr>
          </w:p>
        </w:tc>
      </w:tr>
      <w:tr>
        <w:trPr>
          <w:trHeight w:val="161"/>
        </w:trPr>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Cash</w:t>
            </w:r>
          </w:p>
        </w:tc>
        <w:tc>
          <w:tcPr>
            <w:tcW w:w="80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Options</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w w:val="94"/>
              </w:rPr>
              <w:t>TOTAL</w:t>
            </w:r>
          </w:p>
        </w:tc>
        <w:tc>
          <w:tcPr>
            <w:tcW w:w="180" w:type="dxa"/>
            <w:vAlign w:val="bottom"/>
          </w:tcPr>
          <w:p>
            <w:pPr>
              <w:spacing w:after="0"/>
              <w:rPr>
                <w:sz w:val="14"/>
                <w:szCs w:val="14"/>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specify Deferral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Retainer</w:t>
            </w:r>
          </w:p>
        </w:tc>
        <w:tc>
          <w:tcPr>
            <w:tcW w:w="4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yrs.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yrs.</w:t>
            </w: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In-Person Meetings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 yrs.</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4 yrs.</w:t>
            </w:r>
          </w:p>
        </w:tc>
        <w:tc>
          <w:tcPr>
            <w:tcW w:w="620" w:type="dxa"/>
            <w:vAlign w:val="bottom"/>
          </w:tcPr>
          <w:p>
            <w:pPr>
              <w:ind w:left="160"/>
              <w:spacing w:after="0"/>
              <w:rPr>
                <w:sz w:val="20"/>
                <w:szCs w:val="20"/>
                <w:color w:val="auto"/>
              </w:rPr>
            </w:pPr>
            <w:r>
              <w:rPr>
                <w:rFonts w:ascii="Arial" w:cs="Arial" w:eastAsia="Arial" w:hAnsi="Arial"/>
                <w:sz w:val="18"/>
                <w:szCs w:val="18"/>
                <w:color w:val="auto"/>
                <w:w w:val="99"/>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Telephonic Meetings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yrs.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yrs.</w:t>
            </w: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Committee Chair Fee</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3 yrs.</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4 yrs.</w:t>
            </w:r>
          </w:p>
        </w:tc>
        <w:tc>
          <w:tcPr>
            <w:tcW w:w="620" w:type="dxa"/>
            <w:vAlign w:val="bottom"/>
          </w:tcPr>
          <w:p>
            <w:pPr>
              <w:ind w:left="160"/>
              <w:spacing w:after="0"/>
              <w:rPr>
                <w:sz w:val="20"/>
                <w:szCs w:val="20"/>
                <w:color w:val="auto"/>
              </w:rPr>
            </w:pPr>
            <w:r>
              <w:rPr>
                <w:rFonts w:ascii="Arial" w:cs="Arial" w:eastAsia="Arial" w:hAnsi="Arial"/>
                <w:sz w:val="18"/>
                <w:szCs w:val="18"/>
                <w:color w:val="auto"/>
                <w:w w:val="99"/>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Re-election Award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yrs.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yrs.</w:t>
            </w: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5 yrs.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[NOTE: You have the opportunity to decide the Compensation Payment Choice(s): cash, CMRG Stock, CMRG stock options or CMRG Deferred Stock for each type of fee. Your selected option(s) for any given year must equal 100%. If you select Deferred Stock, then distribution of your CMRG shares shall be made on the earlier of the number of years that have elapsed commencing on the Grant Date, and the date of your Separation from Service (or if you become an employee of the Company and are a “specified employee”, as defined in the Plan, the 6-month anniversary of the Grant Date). If you do not specify a number of years, distribution will be made upon your Separation from Service.]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understand and acknowledge that (i) with respect to elections to receive CMRG stock options and/or CMRG Deferred Stock, if there is an insufficient number of CMRG shares available under the Company’s 2006 Incentive Compensation Plan, I will be paid in cash and (ii) with respect to elections to receive CMRG Stock, if there is an insufficient number of CMRG shares available under the Plan, I will be paid in cash.</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20"/>
                <w:szCs w:val="20"/>
                <w:color w:val="auto"/>
              </w:rPr>
            </w:pPr>
            <w:r>
              <w:rPr>
                <w:rFonts w:ascii="Arial" w:cs="Arial" w:eastAsia="Arial" w:hAnsi="Arial"/>
                <w:sz w:val="18"/>
                <w:szCs w:val="18"/>
                <w:color w:val="auto"/>
                <w:w w:val="92"/>
              </w:rPr>
              <w:t>I have hereunto set my hand and seal this</w:t>
            </w:r>
          </w:p>
        </w:tc>
        <w:tc>
          <w:tcPr>
            <w:tcW w:w="800" w:type="dxa"/>
            <w:vAlign w:val="bottom"/>
          </w:tcPr>
          <w:p>
            <w:pPr>
              <w:ind w:left="60"/>
              <w:spacing w:after="0"/>
              <w:rPr>
                <w:sz w:val="20"/>
                <w:szCs w:val="20"/>
                <w:color w:val="auto"/>
              </w:rPr>
            </w:pPr>
            <w:r>
              <w:rPr>
                <w:rFonts w:ascii="Arial" w:cs="Arial" w:eastAsia="Arial" w:hAnsi="Arial"/>
                <w:sz w:val="18"/>
                <w:szCs w:val="18"/>
                <w:color w:val="auto"/>
              </w:rPr>
              <w:t>day of</w:t>
            </w:r>
          </w:p>
        </w:tc>
        <w:tc>
          <w:tcPr>
            <w:tcW w:w="1500" w:type="dxa"/>
            <w:vAlign w:val="bottom"/>
          </w:tcPr>
          <w:p>
            <w:pPr>
              <w:jc w:val="right"/>
              <w:ind w:right="652"/>
              <w:spacing w:after="0"/>
              <w:rPr>
                <w:sz w:val="20"/>
                <w:szCs w:val="20"/>
                <w:color w:val="auto"/>
              </w:rPr>
            </w:pPr>
            <w:r>
              <w:rPr>
                <w:rFonts w:ascii="Arial" w:cs="Arial" w:eastAsia="Arial" w:hAnsi="Arial"/>
                <w:sz w:val="18"/>
                <w:szCs w:val="18"/>
                <w:color w:val="auto"/>
              </w:rPr>
              <w:t>, 20  .</w:t>
            </w:r>
          </w:p>
        </w:tc>
        <w:tc>
          <w:tcPr>
            <w:tcW w:w="2960" w:type="dxa"/>
            <w:vAlign w:val="bottom"/>
          </w:tcPr>
          <w:p>
            <w:pPr>
              <w:spacing w:after="0"/>
              <w:rPr>
                <w:sz w:val="19"/>
                <w:szCs w:val="19"/>
                <w:color w:val="auto"/>
              </w:rPr>
            </w:pPr>
          </w:p>
        </w:tc>
      </w:tr>
      <w:tr>
        <w:trPr>
          <w:trHeight w:val="542"/>
        </w:trPr>
        <w:tc>
          <w:tcPr>
            <w:tcW w:w="31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60" w:type="dxa"/>
            <w:vAlign w:val="bottom"/>
          </w:tcPr>
          <w:p>
            <w:pPr>
              <w:jc w:val="right"/>
              <w:ind w:right="872"/>
              <w:spacing w:after="0"/>
              <w:rPr>
                <w:sz w:val="20"/>
                <w:szCs w:val="20"/>
                <w:color w:val="auto"/>
              </w:rPr>
            </w:pPr>
            <w:r>
              <w:rPr>
                <w:rFonts w:ascii="Arial" w:cs="Arial" w:eastAsia="Arial" w:hAnsi="Arial"/>
                <w:sz w:val="18"/>
                <w:szCs w:val="18"/>
                <w:color w:val="auto"/>
              </w:rPr>
              <w:t>(Printed name)</w:t>
            </w:r>
          </w:p>
        </w:tc>
      </w:tr>
      <w:tr>
        <w:trPr>
          <w:trHeight w:val="365"/>
        </w:trPr>
        <w:tc>
          <w:tcPr>
            <w:tcW w:w="3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gridSpan w:val="2"/>
          </w:tcPr>
          <w:p>
            <w:pPr>
              <w:jc w:val="right"/>
              <w:ind w:right="2452"/>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[Greenberg Traurig, LLP Letterhead]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199" w:lineRule="exact"/>
        <w:rPr>
          <w:sz w:val="20"/>
          <w:szCs w:val="20"/>
          <w:color w:val="auto"/>
        </w:rPr>
      </w:pPr>
    </w:p>
    <w:p>
      <w:pPr>
        <w:ind w:right="640" w:firstLine="459"/>
        <w:spacing w:after="0" w:line="394"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Shares to be Issued Under the Casual Male Retail Group, Inc. Amended and Restated Non-Employee Director Compensation Plan</w:t>
      </w:r>
      <w:r>
        <w:rPr>
          <w:rFonts w:ascii="Arial" w:cs="Arial" w:eastAsia="Arial" w:hAnsi="Arial"/>
          <w:sz w:val="18"/>
          <w:szCs w:val="18"/>
          <w:color w:val="auto"/>
        </w:rPr>
        <w:t xml:space="preserve"> Ladies and Gentlemen:</w:t>
      </w:r>
    </w:p>
    <w:p>
      <w:pPr>
        <w:spacing w:after="0" w:line="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500,000 shares (the “Shares”) of common stock, $0.01 par value per share (the “Common Stock”), of Casual Male Retail Group, Inc., a Delaware corporation (the “Company”), that may be issued under the Casual Male Retail Group, Inc. Amended and Restated Non-Employee Director Compensation Plan (the “Plan”).</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w:t>
      </w:r>
    </w:p>
    <w:p>
      <w:pPr>
        <w:spacing w:after="0" w:line="19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320"/>
          </w:cols>
          <w:pgMar w:left="240" w:top="280"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Casual Male Retail Group, Inc. Amended and Restated Non-Employee Director Compensation Plan to register 500,000 shares of common stock, of our reports dated March 19, 2010, with respect to the consolidated financial statements of Casual Male Retail Group, Inc. and the effectiveness of internal control over financial reporting of Casual Male Retail Group, Inc. included in its Annual Report (Form 10-K) for the year ended January 30, 2010, filed with the Securities and Exchange Commission.</w:t>
      </w:r>
    </w:p>
    <w:p>
      <w:pPr>
        <w:spacing w:after="0" w:line="113"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decimal"/>
      <w:start w:val="1"/>
    </w:lvl>
    <w:lvl w:ilvl="1">
      <w:lvlJc w:val="left"/>
      <w:lvlText w:val="(%2)"/>
      <w:numFmt w:val="lowerRoman"/>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6"/>
    </w:lvl>
  </w:abstractNum>
  <w:abstractNum w:abstractNumId="8">
    <w:nsid w:val="1F16E9E8"/>
    <w:multiLevelType w:val="hybridMultilevel"/>
    <w:lvl w:ilvl="0">
      <w:lvlJc w:val="left"/>
      <w:lvlText w:val="(%1)"/>
      <w:numFmt w:val="lowerLetter"/>
      <w:start w:val="17"/>
    </w:lvl>
  </w:abstractNum>
  <w:abstractNum w:abstractNumId="9">
    <w:nsid w:val="1190CDE7"/>
    <w:multiLevelType w:val="hybridMultilevel"/>
    <w:lvl w:ilvl="0">
      <w:lvlJc w:val="left"/>
      <w:lvlText w:val="(%1)"/>
      <w:numFmt w:val="lowerLetter"/>
      <w:start w:val="9"/>
    </w:lvl>
    <w:lvl w:ilvl="1">
      <w:lvlJc w:val="left"/>
      <w:lvlText w:val="(%2)"/>
      <w:numFmt w:val="lowerLetter"/>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2019-12-10T07:02:05Z</dcterms:created>
  <dcterms:modified xsi:type="dcterms:W3CDTF">2019-12-10T07:02:05Z</dcterms:modified>
</cp:coreProperties>
</file>