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88"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1 Investments,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DESTINATION XL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DXLG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88"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 CARR 115</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1900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RINCON   PR</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00677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88" w:gutter="0" w:footer="0" w:header="0"/>
          <w:type w:val="continuous"/>
        </w:sectPr>
      </w:pPr>
    </w:p>
    <w:p>
      <w:pPr>
        <w:spacing w:after="0" w:line="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700" w:type="dxa"/>
            <w:vAlign w:val="bottom"/>
          </w:tcPr>
          <w:p>
            <w:pPr>
              <w:ind w:left="7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ind w:left="7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ind w:left="7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41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41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Borders>
              <w:bottom w:val="single" w:sz="8" w:color="2C2C2C"/>
            </w:tcBorders>
          </w:tcPr>
          <w:p>
            <w:pPr>
              <w:jc w:val="right"/>
              <w:ind w:right="496"/>
              <w:spacing w:after="0"/>
              <w:rPr>
                <w:sz w:val="20"/>
                <w:szCs w:val="20"/>
                <w:color w:val="auto"/>
              </w:rPr>
            </w:pPr>
            <w:r>
              <w:rPr>
                <w:rFonts w:ascii="Times New Roman" w:cs="Times New Roman" w:eastAsia="Times New Roman" w:hAnsi="Times New Roman"/>
                <w:sz w:val="20"/>
                <w:szCs w:val="20"/>
                <w:color w:val="0000FF"/>
              </w:rPr>
              <w:t>5,916,577</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41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Borders>
              <w:bottom w:val="single" w:sz="8" w:color="2C2C2C"/>
            </w:tcBorders>
          </w:tcPr>
          <w:p>
            <w:pPr>
              <w:jc w:val="right"/>
              <w:ind w:right="636"/>
              <w:spacing w:after="0"/>
              <w:rPr>
                <w:sz w:val="20"/>
                <w:szCs w:val="20"/>
                <w:color w:val="auto"/>
              </w:rPr>
            </w:pPr>
            <w:r>
              <w:rPr>
                <w:rFonts w:ascii="Times New Roman" w:cs="Times New Roman" w:eastAsia="Times New Roman" w:hAnsi="Times New Roman"/>
                <w:sz w:val="20"/>
                <w:szCs w:val="20"/>
                <w:color w:val="0000FF"/>
              </w:rPr>
              <w:t>37,713</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120" w:type="dxa"/>
            <w:vAlign w:val="bottom"/>
            <w:tcBorders>
              <w:top w:val="single" w:sz="8" w:color="808080"/>
            </w:tcBorders>
            <w:shd w:val="clear" w:color="auto" w:fill="2C2C2C"/>
          </w:tcPr>
          <w:p>
            <w:pPr>
              <w:spacing w:after="0" w:line="20" w:lineRule="exact"/>
              <w:rPr>
                <w:sz w:val="1"/>
                <w:szCs w:val="1"/>
                <w:color w:val="auto"/>
              </w:rPr>
            </w:pPr>
          </w:p>
        </w:tc>
        <w:tc>
          <w:tcPr>
            <w:tcW w:w="27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4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5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00" w:type="dxa"/>
            <w:vAlign w:val="bottom"/>
            <w:vMerge w:val="continue"/>
          </w:tcPr>
          <w:p>
            <w:pPr>
              <w:spacing w:after="0"/>
              <w:rPr>
                <w:sz w:val="17"/>
                <w:szCs w:val="17"/>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jc w:val="center"/>
              <w:ind w:right="542"/>
              <w:spacing w:after="0"/>
              <w:rPr>
                <w:sz w:val="20"/>
                <w:szCs w:val="20"/>
                <w:color w:val="auto"/>
              </w:rPr>
            </w:pPr>
            <w:r>
              <w:rPr>
                <w:rFonts w:ascii="Times New Roman" w:cs="Times New Roman" w:eastAsia="Times New Roman" w:hAnsi="Times New Roman"/>
                <w:sz w:val="20"/>
                <w:szCs w:val="20"/>
                <w:color w:val="0000FF"/>
                <w:w w:val="97"/>
              </w:rPr>
              <w:t>Common Stock, par</w:t>
            </w: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00" w:type="dxa"/>
            <w:vAlign w:val="bottom"/>
            <w:gridSpan w:val="5"/>
            <w:vMerge w:val="restart"/>
          </w:tcPr>
          <w:p>
            <w:pPr>
              <w:ind w:left="80"/>
              <w:spacing w:after="0" w:line="240" w:lineRule="exact"/>
              <w:rPr>
                <w:sz w:val="20"/>
                <w:szCs w:val="20"/>
                <w:color w:val="auto"/>
              </w:rPr>
            </w:pPr>
            <w:r>
              <w:rPr>
                <w:rFonts w:ascii="Times New Roman" w:cs="Times New Roman" w:eastAsia="Times New Roman" w:hAnsi="Times New Roman"/>
                <w:sz w:val="20"/>
                <w:szCs w:val="20"/>
                <w:color w:val="0000FF"/>
                <w:w w:val="97"/>
              </w:rPr>
              <w:t>Cash-Settled Total Return Swap</w:t>
            </w:r>
            <w:r>
              <w:rPr>
                <w:rFonts w:ascii="Times New Roman" w:cs="Times New Roman" w:eastAsia="Times New Roman" w:hAnsi="Times New Roman"/>
                <w:sz w:val="25"/>
                <w:szCs w:val="25"/>
                <w:color w:val="008000"/>
                <w:w w:val="97"/>
                <w:vertAlign w:val="superscript"/>
              </w:rPr>
              <w:t>(4)</w:t>
            </w:r>
          </w:p>
        </w:tc>
        <w:tc>
          <w:tcPr>
            <w:tcW w:w="8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(4)</w:t>
            </w:r>
          </w:p>
        </w:tc>
        <w:tc>
          <w:tcPr>
            <w:tcW w:w="4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7"/>
              </w:rPr>
              <w:t>02/24/2026</w:t>
            </w:r>
            <w:r>
              <w:rPr>
                <w:rFonts w:ascii="Times New Roman" w:cs="Times New Roman" w:eastAsia="Times New Roman" w:hAnsi="Times New Roman"/>
                <w:sz w:val="25"/>
                <w:szCs w:val="25"/>
                <w:color w:val="008000"/>
                <w:w w:val="97"/>
                <w:vertAlign w:val="superscript"/>
              </w:rPr>
              <w:t>(5)</w:t>
            </w:r>
            <w:r>
              <w:rPr>
                <w:rFonts w:ascii="Times New Roman" w:cs="Times New Roman" w:eastAsia="Times New Roman" w:hAnsi="Times New Roman"/>
                <w:sz w:val="20"/>
                <w:szCs w:val="20"/>
                <w:color w:val="0000FF"/>
                <w:w w:val="97"/>
              </w:rPr>
              <w:t>value $0.01 per1,176,663</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(4)</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gridSpan w:val="5"/>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0" w:type="dxa"/>
            <w:vAlign w:val="bottom"/>
            <w:gridSpan w:val="4"/>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20" w:type="dxa"/>
            <w:vAlign w:val="bottom"/>
            <w:vMerge w:val="restart"/>
          </w:tcPr>
          <w:p>
            <w:pPr>
              <w:jc w:val="center"/>
              <w:ind w:right="562"/>
              <w:spacing w:after="0"/>
              <w:rPr>
                <w:sz w:val="20"/>
                <w:szCs w:val="20"/>
                <w:color w:val="auto"/>
              </w:rPr>
            </w:pPr>
            <w:r>
              <w:rPr>
                <w:rFonts w:ascii="Times New Roman" w:cs="Times New Roman" w:eastAsia="Times New Roman" w:hAnsi="Times New Roman"/>
                <w:sz w:val="20"/>
                <w:szCs w:val="20"/>
                <w:color w:val="0000FF"/>
                <w:w w:val="99"/>
              </w:rPr>
              <w:t>share</w:t>
            </w: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gridSpan w:val="2"/>
          </w:tcPr>
          <w:p>
            <w:pPr>
              <w:spacing w:after="0"/>
              <w:rPr>
                <w:sz w:val="9"/>
                <w:szCs w:val="9"/>
                <w:color w:val="auto"/>
              </w:rPr>
            </w:pPr>
          </w:p>
        </w:tc>
        <w:tc>
          <w:tcPr>
            <w:tcW w:w="1080" w:type="dxa"/>
            <w:vAlign w:val="bottom"/>
            <w:tcBorders>
              <w:bottom w:val="single" w:sz="8" w:color="2C2C2C"/>
            </w:tcBorders>
            <w:gridSpan w:val="2"/>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3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660" w:type="dxa"/>
            <w:vAlign w:val="bottom"/>
            <w:tcBorders>
              <w:top w:val="single" w:sz="8" w:color="2C2C2C"/>
            </w:tcBorders>
            <w:gridSpan w:val="6"/>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1 Investments, LLC</w:t>
              </w:r>
            </w:hyperlink>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860" w:type="dxa"/>
            <w:vAlign w:val="bottom"/>
          </w:tcPr>
          <w:p>
            <w:pPr>
              <w:ind w:left="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100 CARR 115</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UNIT 1900</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RINCON</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PR</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00677</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860" w:type="dxa"/>
            <w:vAlign w:val="bottom"/>
          </w:tcPr>
          <w:p>
            <w:pPr>
              <w:ind w:left="80"/>
              <w:spacing w:after="0"/>
              <w:rPr>
                <w:sz w:val="20"/>
                <w:szCs w:val="20"/>
                <w:color w:val="auto"/>
              </w:rPr>
            </w:pPr>
            <w:r>
              <w:rPr>
                <w:rFonts w:ascii="Arial" w:cs="Arial" w:eastAsia="Arial" w:hAnsi="Arial"/>
                <w:sz w:val="15"/>
                <w:szCs w:val="15"/>
                <w:color w:val="auto"/>
              </w:rPr>
              <w:t>(Zip)</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2"/>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66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40" w:type="dxa"/>
            <w:vAlign w:val="bottom"/>
            <w:gridSpan w:val="8"/>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Pleasant Lake Onshore Feeder Fund LP</w:t>
              </w:r>
            </w:hyperlink>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20" w:type="dxa"/>
            <w:vAlign w:val="bottom"/>
            <w:tcBorders>
              <w:top w:val="single" w:sz="8" w:color="0000EE"/>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860" w:type="dxa"/>
            <w:vAlign w:val="bottom"/>
          </w:tcPr>
          <w:p>
            <w:pPr>
              <w:ind w:left="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 CARR 115 UNIT 1900</w:t>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88"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RINCON</w:t>
      </w:r>
      <w:r>
        <w:rPr>
          <w:sz w:val="20"/>
          <w:szCs w:val="20"/>
          <w:color w:val="auto"/>
        </w:rPr>
        <w:tab/>
      </w:r>
      <w:r>
        <w:rPr>
          <w:rFonts w:ascii="Times New Roman" w:cs="Times New Roman" w:eastAsia="Times New Roman" w:hAnsi="Times New Roman"/>
          <w:sz w:val="20"/>
          <w:szCs w:val="20"/>
          <w:color w:val="0000FF"/>
        </w:rPr>
        <w:t>PR</w:t>
      </w:r>
      <w:r>
        <w:rPr>
          <w:sz w:val="20"/>
          <w:szCs w:val="20"/>
          <w:color w:val="auto"/>
        </w:rPr>
        <w:tab/>
      </w:r>
      <w:r>
        <w:rPr>
          <w:rFonts w:ascii="Times New Roman" w:cs="Times New Roman" w:eastAsia="Times New Roman" w:hAnsi="Times New Roman"/>
          <w:sz w:val="18"/>
          <w:szCs w:val="18"/>
          <w:color w:val="0000FF"/>
        </w:rPr>
        <w:t>00677</w:t>
      </w:r>
    </w:p>
    <w:p>
      <w:pPr>
        <w:sectPr>
          <w:pgSz w:w="11900" w:h="16838" w:orient="portrait"/>
          <w:cols w:equalWidth="0" w:num="1">
            <w:col w:w="10940"/>
          </w:cols>
          <w:pgMar w:left="480" w:top="230" w:right="479" w:bottom="8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2"/>
          </w:tcPr>
          <w:p>
            <w:pPr>
              <w:ind w:left="3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3"/>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Pleasant Lake Partners LLC</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100 CARR 115 UNIT 1900</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1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0000FF"/>
              </w:rPr>
              <w:t>RINCON</w:t>
            </w: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PR</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00677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2"/>
          </w:tcPr>
          <w:p>
            <w:pPr>
              <w:ind w:left="3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-1973580</wp:posOffset>
            </wp:positionV>
            <wp:extent cx="2798445" cy="2061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2061210"/>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reported herein are held for the benefit of Pleasant Lake Onshore Feeder Fund, LP (the "PL Fund") and an additional private investment vehicle for which Pleasant Lake Partners LLC ("PLP") serves as investment adviser. Fund 1 Investments, LLC serves as managing member of PLP. Jonathan Lennon serves as managing member of Fund 1 Investments, LLC. Each of the Reporting Persons disclaims beneficial ownership of the securities reported herein except to the extent of its or his pecuniary interest therein.</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held for the account of the PL Fund.</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held for the account of an unaffiliated private fund for which PLP serves as investment adviser.</w:t>
      </w:r>
    </w:p>
    <w:p>
      <w:pPr>
        <w:spacing w:after="0" w:line="52" w:lineRule="exact"/>
        <w:rPr>
          <w:rFonts w:ascii="Times New Roman" w:cs="Times New Roman" w:eastAsia="Times New Roman" w:hAnsi="Times New Roman"/>
          <w:sz w:val="15"/>
          <w:szCs w:val="15"/>
          <w:color w:val="008000"/>
        </w:rPr>
      </w:pPr>
    </w:p>
    <w:p>
      <w:pPr>
        <w:ind w:lef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PL Fund has entered into certain cash-settled total return swap agreeements (the "Swap Agreements") with an unaffiliated third party financial institution, which provides PL Fund with economic exposure to an aggregate of 1,176,663 nominal shares of Common Stock. The Swap Agreements provide PL Fund with economic results that are comparable to the economic results of ownership but do not provide PL Fund with the power to vote or direct the voting or dispose of or direct the disposition of the shares of Common Stock that are the subject of the Swaps Agreements (the "Subject Shares"). The Reporting Persons expressly disclaim beneficial ownership of the Subject Shares except to the extent of its or his pecuniary interest therein.</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expiration date of the Swap Agreements will be automatically extended for successive 12 month periods unless one party provides written notice to the other party, at least</w:t>
      </w:r>
    </w:p>
    <w:p>
      <w:pPr>
        <w:spacing w:after="0" w:line="8" w:lineRule="exact"/>
        <w:rPr>
          <w:rFonts w:ascii="Times New Roman" w:cs="Times New Roman" w:eastAsia="Times New Roman" w:hAnsi="Times New Roman"/>
          <w:sz w:val="15"/>
          <w:szCs w:val="15"/>
          <w:color w:val="008000"/>
        </w:rPr>
      </w:pPr>
    </w:p>
    <w:p>
      <w:pPr>
        <w:ind w:left="220" w:hanging="195"/>
        <w:spacing w:after="0"/>
        <w:tabs>
          <w:tab w:leader="none" w:pos="22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calendar days prior to the first extension and at least 15 calendar days prior to any subsequent extension, not to so extend the expiration date.</w:t>
      </w:r>
    </w:p>
    <w:p>
      <w:pPr>
        <w:sectPr>
          <w:pgSz w:w="11900" w:h="16838" w:orient="portrait"/>
          <w:cols w:equalWidth="0" w:num="1">
            <w:col w:w="10860"/>
          </w:cols>
          <w:pgMar w:left="500" w:top="125" w:right="539" w:bottom="1440" w:gutter="0" w:footer="0" w:header="0"/>
        </w:sectPr>
      </w:pPr>
    </w:p>
    <w:p>
      <w:pPr>
        <w:spacing w:after="0" w:line="6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Fund 1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63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Benjamin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1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Cable,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25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49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Pleasant Lake Onshore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903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Feeder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139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013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Pleasant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839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LLC,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944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Adviser, by Fund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186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5186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Investments,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378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268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33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138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Pleasant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763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Fund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9819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981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Investments,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378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268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33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138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580" w:space="160"/>
            <w:col w:w="2120"/>
          </w:cols>
          <w:pgMar w:left="500" w:top="125"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80" w:firstLine="5"/>
        <w:spacing w:after="0" w:line="335" w:lineRule="auto"/>
        <w:tabs>
          <w:tab w:leader="none" w:pos="17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0"/>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0" Type="http://schemas.openxmlformats.org/officeDocument/2006/relationships/hyperlink" Target="http://www.sec.gov/cgi-bin/browse-edgar?action=getcompany&amp;CIK=0001959730" TargetMode="External"/><Relationship Id="rId11" Type="http://schemas.openxmlformats.org/officeDocument/2006/relationships/hyperlink" Target="http://www.sec.gov/cgi-bin/browse-edgar?action=getcompany&amp;CIK=0000813298" TargetMode="External"/><Relationship Id="rId12" Type="http://schemas.openxmlformats.org/officeDocument/2006/relationships/hyperlink" Target="http://www.sec.gov/cgi-bin/browse-edgar?action=getcompany&amp;CIK=0001567434" TargetMode="External"/><Relationship Id="rId13" Type="http://schemas.openxmlformats.org/officeDocument/2006/relationships/hyperlink" Target="http://www.sec.gov/cgi-bin/browse-edgar?action=getcompany&amp;CIK=00015801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2024-05-03T17:33:03Z</dcterms:created>
  <dcterms:modified xsi:type="dcterms:W3CDTF">2024-05-03T17:33:03Z</dcterms:modified>
</cp:coreProperties>
</file>