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04"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64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C/O RED MOUNTAIN CAPITAL</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8"/>
          </w:tcPr>
          <w:p>
            <w:pPr>
              <w:ind w:left="160"/>
              <w:spacing w:after="0"/>
              <w:rPr>
                <w:sz w:val="20"/>
                <w:szCs w:val="20"/>
                <w:color w:val="auto"/>
              </w:rPr>
            </w:pPr>
            <w:r>
              <w:rPr>
                <w:rFonts w:ascii="Arial" w:cs="Arial" w:eastAsia="Arial" w:hAnsi="Arial"/>
                <w:sz w:val="18"/>
                <w:szCs w:val="18"/>
                <w:color w:val="0000FF"/>
              </w:rPr>
              <w:t>01/17/2020</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10"/>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6"/>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6"/>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60" w:type="dxa"/>
            <w:vAlign w:val="bottom"/>
            <w:gridSpan w:val="5"/>
            <w:vMerge w:val="restart"/>
          </w:tcPr>
          <w:p>
            <w:pPr>
              <w:ind w:left="780"/>
              <w:spacing w:after="0"/>
              <w:rPr>
                <w:sz w:val="20"/>
                <w:szCs w:val="20"/>
                <w:color w:val="auto"/>
              </w:rPr>
            </w:pPr>
            <w:r>
              <w:rPr>
                <w:rFonts w:ascii="Arial" w:cs="Arial" w:eastAsia="Arial" w:hAnsi="Arial"/>
                <w:sz w:val="18"/>
                <w:szCs w:val="18"/>
                <w:color w:val="0000FF"/>
                <w:w w:val="95"/>
              </w:rPr>
              <w:t>01/17/2020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41,700</w:t>
            </w:r>
          </w:p>
        </w:tc>
        <w:tc>
          <w:tcPr>
            <w:tcW w:w="40" w:type="dxa"/>
            <w:vAlign w:val="bottom"/>
          </w:tcPr>
          <w:p>
            <w:pPr>
              <w:spacing w:after="0"/>
              <w:rPr>
                <w:sz w:val="22"/>
                <w:szCs w:val="22"/>
                <w:color w:val="auto"/>
              </w:rPr>
            </w:pPr>
          </w:p>
        </w:tc>
        <w:tc>
          <w:tcPr>
            <w:tcW w:w="46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00" w:type="dxa"/>
            <w:vAlign w:val="bottom"/>
            <w:gridSpan w:val="4"/>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1.251</w:t>
            </w:r>
            <w:r>
              <w:rPr>
                <w:rFonts w:ascii="Arial" w:cs="Arial" w:eastAsia="Arial" w:hAnsi="Arial"/>
                <w:sz w:val="22"/>
                <w:szCs w:val="22"/>
                <w:color w:val="008000"/>
                <w:w w:val="93"/>
                <w:vertAlign w:val="superscript"/>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8,426,577</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18"/>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10"/>
          </w:tcPr>
          <w:p>
            <w:pPr>
              <w:spacing w:after="0" w:line="224" w:lineRule="exact"/>
              <w:rPr>
                <w:rFonts w:ascii="Arial" w:cs="Arial" w:eastAsia="Arial" w:hAnsi="Arial"/>
                <w:sz w:val="22"/>
                <w:szCs w:val="22"/>
                <w:color w:val="0000EE"/>
                <w:w w:val="98"/>
              </w:rPr>
            </w:pPr>
            <w:hyperlink r:id="rId14">
              <w:r>
                <w:rPr>
                  <w:rFonts w:ascii="Arial" w:cs="Arial" w:eastAsia="Arial" w:hAnsi="Arial"/>
                  <w:sz w:val="22"/>
                  <w:szCs w:val="22"/>
                  <w:color w:val="0000EE"/>
                  <w:w w:val="98"/>
                </w:rPr>
                <w:t>RED MOUNTAIN CAPITAL PARTNERS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904"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RED MOUNTAIN CAPITAL MANAGEMENT</w:t>
        </w:r>
      </w:hyperlink>
    </w:p>
    <w:p>
      <w:pPr>
        <w:spacing w:after="0" w:line="2" w:lineRule="exact"/>
        <w:rPr>
          <w:sz w:val="20"/>
          <w:szCs w:val="20"/>
          <w:color w:val="auto"/>
        </w:rPr>
      </w:pP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INC</w:t>
        </w:r>
      </w:hyperlink>
    </w:p>
    <w:p>
      <w:pPr>
        <w:sectPr>
          <w:pgSz w:w="11900" w:h="16904"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6">
              <w:r>
                <w:rPr>
                  <w:rFonts w:ascii="Arial" w:cs="Arial" w:eastAsia="Arial" w:hAnsi="Arial"/>
                  <w:sz w:val="22"/>
                  <w:szCs w:val="22"/>
                  <w:color w:val="0000EE"/>
                  <w:w w:val="92"/>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9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5098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$1.24 to $1.27,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20" w:firstLine="9"/>
        <w:spacing w:after="0" w:line="266"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common stock were purchased by Red Mountain Capital Partners LLC ("RMCP LLC") on the open market on January 17, 2020. 7,522,354 of these shares are held directly by Red Mountain Partners, L.P. ("RMP") and the remaining 904,223 shares are held directly by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44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588" TargetMode="External"/><Relationship Id="rId15" Type="http://schemas.openxmlformats.org/officeDocument/2006/relationships/hyperlink" Target="http://www.sec.gov/cgi-bin/browse-edgar?action=getcompany&amp;CIK=0001374607" TargetMode="External"/><Relationship Id="rId16" Type="http://schemas.openxmlformats.org/officeDocument/2006/relationships/hyperlink" Target="http://www.sec.gov/cgi-bin/browse-edgar?action=getcompany&amp;CIK=0001374606" TargetMode="External"/><Relationship Id="rId18"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2020-01-21T14:12:38Z</dcterms:created>
  <dcterms:modified xsi:type="dcterms:W3CDTF">2020-01-21T14:12:38Z</dcterms:modified>
</cp:coreProperties>
</file>