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205740</wp:posOffset>
            </wp:positionH>
            <wp:positionV relativeFrom="page">
              <wp:posOffset>295910</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3294380</wp:posOffset>
            </wp:positionH>
            <wp:positionV relativeFrom="paragraph">
              <wp:posOffset>154940</wp:posOffset>
            </wp:positionV>
            <wp:extent cx="5543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3294380</wp:posOffset>
            </wp:positionH>
            <wp:positionV relativeFrom="paragraph">
              <wp:posOffset>171450</wp:posOffset>
            </wp:positionV>
            <wp:extent cx="55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April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3294380</wp:posOffset>
            </wp:positionH>
            <wp:positionV relativeFrom="paragraph">
              <wp:posOffset>170180</wp:posOffset>
            </wp:positionV>
            <wp:extent cx="55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3294380</wp:posOffset>
            </wp:positionH>
            <wp:positionV relativeFrom="paragraph">
              <wp:posOffset>152400</wp:posOffset>
            </wp:positionV>
            <wp:extent cx="554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49"/>
        </w:trPr>
        <w:tc>
          <w:tcPr>
            <w:tcW w:w="3160" w:type="dxa"/>
            <w:vAlign w:val="bottom"/>
          </w:tcPr>
          <w:p>
            <w:pPr>
              <w:jc w:val="center"/>
              <w:ind w:right="841"/>
              <w:spacing w:after="0"/>
              <w:rPr>
                <w:sz w:val="20"/>
                <w:szCs w:val="20"/>
                <w:color w:val="auto"/>
              </w:rPr>
            </w:pPr>
            <w:r>
              <w:rPr>
                <w:rFonts w:ascii="Arial" w:cs="Arial" w:eastAsia="Arial" w:hAnsi="Arial"/>
                <w:sz w:val="21"/>
                <w:szCs w:val="21"/>
                <w:b w:val="1"/>
                <w:bCs w:val="1"/>
                <w:color w:val="auto"/>
                <w:w w:val="91"/>
              </w:rPr>
              <w:t>Delaware</w:t>
            </w:r>
          </w:p>
        </w:tc>
        <w:tc>
          <w:tcPr>
            <w:tcW w:w="3700" w:type="dxa"/>
            <w:vAlign w:val="bottom"/>
          </w:tcPr>
          <w:p>
            <w:pPr>
              <w:jc w:val="right"/>
              <w:ind w:right="1515"/>
              <w:spacing w:after="0"/>
              <w:rPr>
                <w:sz w:val="20"/>
                <w:szCs w:val="20"/>
                <w:color w:val="auto"/>
              </w:rPr>
            </w:pPr>
            <w:r>
              <w:rPr>
                <w:rFonts w:ascii="Arial" w:cs="Arial" w:eastAsia="Arial" w:hAnsi="Arial"/>
                <w:sz w:val="21"/>
                <w:szCs w:val="21"/>
                <w:b w:val="1"/>
                <w:bCs w:val="1"/>
                <w:color w:val="auto"/>
              </w:rPr>
              <w:t>01-34219</w:t>
            </w:r>
          </w:p>
        </w:tc>
        <w:tc>
          <w:tcPr>
            <w:tcW w:w="2260" w:type="dxa"/>
            <w:vAlign w:val="bottom"/>
          </w:tcPr>
          <w:p>
            <w:pPr>
              <w:jc w:val="right"/>
              <w:spacing w:after="0"/>
              <w:rPr>
                <w:sz w:val="20"/>
                <w:szCs w:val="20"/>
                <w:color w:val="auto"/>
              </w:rPr>
            </w:pPr>
            <w:r>
              <w:rPr>
                <w:rFonts w:ascii="Arial" w:cs="Arial" w:eastAsia="Arial" w:hAnsi="Arial"/>
                <w:sz w:val="21"/>
                <w:szCs w:val="21"/>
                <w:b w:val="1"/>
                <w:bCs w:val="1"/>
                <w:color w:val="auto"/>
              </w:rPr>
              <w:t>04-2623104</w:t>
            </w:r>
          </w:p>
        </w:tc>
        <w:tc>
          <w:tcPr>
            <w:tcW w:w="0" w:type="dxa"/>
            <w:vAlign w:val="bottom"/>
          </w:tcPr>
          <w:p>
            <w:pPr>
              <w:spacing w:after="0"/>
              <w:rPr>
                <w:sz w:val="1"/>
                <w:szCs w:val="1"/>
                <w:color w:val="auto"/>
              </w:rPr>
            </w:pPr>
          </w:p>
        </w:tc>
      </w:tr>
      <w:tr>
        <w:trPr>
          <w:trHeight w:val="143"/>
        </w:trPr>
        <w:tc>
          <w:tcPr>
            <w:tcW w:w="3160" w:type="dxa"/>
            <w:vAlign w:val="bottom"/>
          </w:tcPr>
          <w:p>
            <w:pPr>
              <w:jc w:val="center"/>
              <w:ind w:right="861"/>
              <w:spacing w:after="0" w:line="143" w:lineRule="exact"/>
              <w:rPr>
                <w:sz w:val="20"/>
                <w:szCs w:val="20"/>
                <w:color w:val="auto"/>
              </w:rPr>
            </w:pPr>
            <w:r>
              <w:rPr>
                <w:rFonts w:ascii="Arial" w:cs="Arial" w:eastAsia="Arial" w:hAnsi="Arial"/>
                <w:sz w:val="13"/>
                <w:szCs w:val="13"/>
                <w:b w:val="1"/>
                <w:bCs w:val="1"/>
                <w:color w:val="auto"/>
                <w:w w:val="91"/>
              </w:rPr>
              <w:t>(State or Other Jurisdiction</w:t>
            </w:r>
          </w:p>
        </w:tc>
        <w:tc>
          <w:tcPr>
            <w:tcW w:w="3700" w:type="dxa"/>
            <w:vAlign w:val="bottom"/>
          </w:tcPr>
          <w:p>
            <w:pPr>
              <w:spacing w:after="0"/>
              <w:rPr>
                <w:sz w:val="12"/>
                <w:szCs w:val="12"/>
                <w:color w:val="auto"/>
              </w:rPr>
            </w:pPr>
          </w:p>
        </w:tc>
        <w:tc>
          <w:tcPr>
            <w:tcW w:w="2260" w:type="dxa"/>
            <w:vAlign w:val="bottom"/>
          </w:tcPr>
          <w:p>
            <w:pPr>
              <w:jc w:val="center"/>
              <w:ind w:left="1139"/>
              <w:spacing w:after="0" w:line="143" w:lineRule="exact"/>
              <w:rPr>
                <w:sz w:val="20"/>
                <w:szCs w:val="20"/>
                <w:color w:val="auto"/>
              </w:rPr>
            </w:pPr>
            <w:r>
              <w:rPr>
                <w:rFonts w:ascii="Arial" w:cs="Arial" w:eastAsia="Arial" w:hAnsi="Arial"/>
                <w:sz w:val="13"/>
                <w:szCs w:val="13"/>
                <w:b w:val="1"/>
                <w:bCs w:val="1"/>
                <w:color w:val="auto"/>
                <w:w w:val="94"/>
              </w:rPr>
              <w:t>(IRS Employer</w:t>
            </w:r>
          </w:p>
        </w:tc>
        <w:tc>
          <w:tcPr>
            <w:tcW w:w="0" w:type="dxa"/>
            <w:vAlign w:val="bottom"/>
          </w:tcPr>
          <w:p>
            <w:pPr>
              <w:spacing w:after="0"/>
              <w:rPr>
                <w:sz w:val="1"/>
                <w:szCs w:val="1"/>
                <w:color w:val="auto"/>
              </w:rPr>
            </w:pPr>
          </w:p>
        </w:tc>
      </w:tr>
      <w:tr>
        <w:trPr>
          <w:trHeight w:val="168"/>
        </w:trPr>
        <w:tc>
          <w:tcPr>
            <w:tcW w:w="3160" w:type="dxa"/>
            <w:vAlign w:val="bottom"/>
          </w:tcPr>
          <w:p>
            <w:pPr>
              <w:jc w:val="center"/>
              <w:ind w:right="841"/>
              <w:spacing w:after="0"/>
              <w:rPr>
                <w:sz w:val="20"/>
                <w:szCs w:val="20"/>
                <w:color w:val="auto"/>
              </w:rPr>
            </w:pPr>
            <w:r>
              <w:rPr>
                <w:rFonts w:ascii="Arial" w:cs="Arial" w:eastAsia="Arial" w:hAnsi="Arial"/>
                <w:sz w:val="13"/>
                <w:szCs w:val="13"/>
                <w:b w:val="1"/>
                <w:bCs w:val="1"/>
                <w:color w:val="auto"/>
                <w:w w:val="92"/>
              </w:rPr>
              <w:t>of Incorporation)</w:t>
            </w:r>
          </w:p>
        </w:tc>
        <w:tc>
          <w:tcPr>
            <w:tcW w:w="3700" w:type="dxa"/>
            <w:vAlign w:val="bottom"/>
          </w:tcPr>
          <w:p>
            <w:pPr>
              <w:jc w:val="center"/>
              <w:ind w:right="215"/>
              <w:spacing w:after="0"/>
              <w:rPr>
                <w:sz w:val="20"/>
                <w:szCs w:val="20"/>
                <w:color w:val="auto"/>
              </w:rPr>
            </w:pPr>
            <w:r>
              <w:rPr>
                <w:rFonts w:ascii="Arial" w:cs="Arial" w:eastAsia="Arial" w:hAnsi="Arial"/>
                <w:sz w:val="13"/>
                <w:szCs w:val="13"/>
                <w:b w:val="1"/>
                <w:bCs w:val="1"/>
                <w:color w:val="auto"/>
                <w:w w:val="91"/>
              </w:rPr>
              <w:t>(Commission File Number)</w:t>
            </w:r>
          </w:p>
        </w:tc>
        <w:tc>
          <w:tcPr>
            <w:tcW w:w="2260" w:type="dxa"/>
            <w:vAlign w:val="bottom"/>
          </w:tcPr>
          <w:p>
            <w:pPr>
              <w:jc w:val="center"/>
              <w:ind w:left="1159"/>
              <w:spacing w:after="0"/>
              <w:rPr>
                <w:sz w:val="20"/>
                <w:szCs w:val="20"/>
                <w:color w:val="auto"/>
              </w:rPr>
            </w:pPr>
            <w:r>
              <w:rPr>
                <w:rFonts w:ascii="Arial" w:cs="Arial" w:eastAsia="Arial" w:hAnsi="Arial"/>
                <w:sz w:val="13"/>
                <w:szCs w:val="13"/>
                <w:b w:val="1"/>
                <w:bCs w:val="1"/>
                <w:color w:val="auto"/>
                <w:w w:val="92"/>
              </w:rPr>
              <w:t>Identification No.)</w:t>
            </w:r>
          </w:p>
        </w:tc>
        <w:tc>
          <w:tcPr>
            <w:tcW w:w="0" w:type="dxa"/>
            <w:vAlign w:val="bottom"/>
          </w:tcPr>
          <w:p>
            <w:pPr>
              <w:spacing w:after="0"/>
              <w:rPr>
                <w:sz w:val="1"/>
                <w:szCs w:val="1"/>
                <w:color w:val="auto"/>
              </w:rPr>
            </w:pPr>
          </w:p>
        </w:tc>
      </w:tr>
      <w:tr>
        <w:trPr>
          <w:trHeight w:val="412"/>
        </w:trPr>
        <w:tc>
          <w:tcPr>
            <w:tcW w:w="3160" w:type="dxa"/>
            <w:vAlign w:val="bottom"/>
          </w:tcPr>
          <w:p>
            <w:pPr>
              <w:jc w:val="center"/>
              <w:ind w:right="861"/>
              <w:spacing w:after="0"/>
              <w:rPr>
                <w:sz w:val="20"/>
                <w:szCs w:val="20"/>
                <w:color w:val="auto"/>
              </w:rPr>
            </w:pPr>
            <w:r>
              <w:rPr>
                <w:rFonts w:ascii="Arial" w:cs="Arial" w:eastAsia="Arial" w:hAnsi="Arial"/>
                <w:sz w:val="17"/>
                <w:szCs w:val="17"/>
                <w:b w:val="1"/>
                <w:bCs w:val="1"/>
                <w:color w:val="auto"/>
                <w:w w:val="94"/>
              </w:rPr>
              <w:t>555 Turnpike Street</w:t>
            </w:r>
            <w:r>
              <w:rPr>
                <w:rFonts w:ascii="Arial" w:cs="Arial" w:eastAsia="Arial" w:hAnsi="Arial"/>
                <w:sz w:val="20"/>
                <w:szCs w:val="20"/>
                <w:b w:val="1"/>
                <w:bCs w:val="1"/>
                <w:color w:val="auto"/>
                <w:w w:val="94"/>
              </w:rPr>
              <w:t>,</w:t>
            </w:r>
          </w:p>
        </w:tc>
        <w:tc>
          <w:tcPr>
            <w:tcW w:w="3700" w:type="dxa"/>
            <w:vAlign w:val="bottom"/>
          </w:tcPr>
          <w:p>
            <w:pPr>
              <w:spacing w:after="0"/>
              <w:rPr>
                <w:sz w:val="24"/>
                <w:szCs w:val="24"/>
                <w:color w:val="auto"/>
              </w:rPr>
            </w:pPr>
          </w:p>
        </w:tc>
        <w:tc>
          <w:tcPr>
            <w:tcW w:w="2260" w:type="dxa"/>
            <w:vAlign w:val="bottom"/>
            <w:vMerge w:val="restart"/>
          </w:tcPr>
          <w:p>
            <w:pPr>
              <w:jc w:val="right"/>
              <w:ind w:right="179"/>
              <w:spacing w:after="0"/>
              <w:rPr>
                <w:sz w:val="20"/>
                <w:szCs w:val="20"/>
                <w:color w:val="auto"/>
              </w:rPr>
            </w:pPr>
            <w:r>
              <w:rPr>
                <w:rFonts w:ascii="Arial" w:cs="Arial" w:eastAsia="Arial" w:hAnsi="Arial"/>
                <w:sz w:val="21"/>
                <w:szCs w:val="21"/>
                <w:b w:val="1"/>
                <w:bCs w:val="1"/>
                <w:color w:val="auto"/>
              </w:rPr>
              <w:t>02021</w:t>
            </w:r>
          </w:p>
        </w:tc>
        <w:tc>
          <w:tcPr>
            <w:tcW w:w="0" w:type="dxa"/>
            <w:vAlign w:val="bottom"/>
          </w:tcPr>
          <w:p>
            <w:pPr>
              <w:spacing w:after="0"/>
              <w:rPr>
                <w:sz w:val="1"/>
                <w:szCs w:val="1"/>
                <w:color w:val="auto"/>
              </w:rPr>
            </w:pPr>
          </w:p>
        </w:tc>
      </w:tr>
      <w:tr>
        <w:trPr>
          <w:trHeight w:val="214"/>
        </w:trPr>
        <w:tc>
          <w:tcPr>
            <w:tcW w:w="3160" w:type="dxa"/>
            <w:vAlign w:val="bottom"/>
          </w:tcPr>
          <w:p>
            <w:pPr>
              <w:jc w:val="center"/>
              <w:ind w:right="861"/>
              <w:spacing w:after="0"/>
              <w:rPr>
                <w:sz w:val="20"/>
                <w:szCs w:val="20"/>
                <w:color w:val="auto"/>
              </w:rPr>
            </w:pPr>
            <w:r>
              <w:rPr>
                <w:rFonts w:ascii="Arial" w:cs="Arial" w:eastAsia="Arial" w:hAnsi="Arial"/>
                <w:sz w:val="17"/>
                <w:szCs w:val="17"/>
                <w:b w:val="1"/>
                <w:bCs w:val="1"/>
                <w:color w:val="auto"/>
                <w:w w:val="89"/>
              </w:rPr>
              <w:t>Canton, Massachusetts</w:t>
            </w:r>
          </w:p>
        </w:tc>
        <w:tc>
          <w:tcPr>
            <w:tcW w:w="3700" w:type="dxa"/>
            <w:vAlign w:val="bottom"/>
          </w:tcPr>
          <w:p>
            <w:pPr>
              <w:spacing w:after="0"/>
              <w:rPr>
                <w:sz w:val="18"/>
                <w:szCs w:val="18"/>
                <w:color w:val="auto"/>
              </w:rPr>
            </w:pPr>
          </w:p>
        </w:tc>
        <w:tc>
          <w:tcPr>
            <w:tcW w:w="2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160" w:type="dxa"/>
            <w:vAlign w:val="bottom"/>
          </w:tcPr>
          <w:p>
            <w:pPr>
              <w:jc w:val="center"/>
              <w:ind w:right="861"/>
              <w:spacing w:after="0"/>
              <w:rPr>
                <w:sz w:val="20"/>
                <w:szCs w:val="20"/>
                <w:color w:val="auto"/>
              </w:rPr>
            </w:pPr>
            <w:r>
              <w:rPr>
                <w:rFonts w:ascii="Arial" w:cs="Arial" w:eastAsia="Arial" w:hAnsi="Arial"/>
                <w:sz w:val="13"/>
                <w:szCs w:val="13"/>
                <w:b w:val="1"/>
                <w:bCs w:val="1"/>
                <w:color w:val="auto"/>
                <w:w w:val="89"/>
              </w:rPr>
              <w:t>(Address of Principal Executive Offices)</w:t>
            </w:r>
          </w:p>
        </w:tc>
        <w:tc>
          <w:tcPr>
            <w:tcW w:w="3700" w:type="dxa"/>
            <w:vAlign w:val="bottom"/>
          </w:tcPr>
          <w:p>
            <w:pPr>
              <w:spacing w:after="0"/>
              <w:rPr>
                <w:sz w:val="14"/>
                <w:szCs w:val="14"/>
                <w:color w:val="auto"/>
              </w:rPr>
            </w:pPr>
          </w:p>
        </w:tc>
        <w:tc>
          <w:tcPr>
            <w:tcW w:w="2260" w:type="dxa"/>
            <w:vAlign w:val="bottom"/>
          </w:tcPr>
          <w:p>
            <w:pPr>
              <w:jc w:val="center"/>
              <w:ind w:left="1159"/>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3294380</wp:posOffset>
            </wp:positionH>
            <wp:positionV relativeFrom="paragraph">
              <wp:posOffset>148590</wp:posOffset>
            </wp:positionV>
            <wp:extent cx="554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371" w:lineRule="exact"/>
        <w:rPr>
          <w:sz w:val="24"/>
          <w:szCs w:val="24"/>
          <w:color w:val="auto"/>
        </w:rPr>
      </w:pPr>
    </w:p>
    <w:p>
      <w:pPr>
        <w:ind w:right="340"/>
        <w:spacing w:after="0" w:line="28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55" w:lineRule="exact"/>
        <w:rPr>
          <w:sz w:val="24"/>
          <w:szCs w:val="24"/>
          <w:color w:val="auto"/>
        </w:rPr>
      </w:pPr>
    </w:p>
    <w:p>
      <w:pPr>
        <w:ind w:left="620" w:hanging="616"/>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78" w:lineRule="exact"/>
        <w:rPr>
          <w:rFonts w:ascii="MS PGothic" w:cs="MS PGothic" w:eastAsia="MS PGothic" w:hAnsi="MS PGothic"/>
          <w:sz w:val="17"/>
          <w:szCs w:val="17"/>
          <w:color w:val="auto"/>
        </w:rPr>
      </w:pPr>
    </w:p>
    <w:p>
      <w:pPr>
        <w:ind w:left="620" w:hanging="616"/>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78" w:lineRule="exact"/>
        <w:rPr>
          <w:rFonts w:ascii="MS PGothic" w:cs="MS PGothic" w:eastAsia="MS PGothic" w:hAnsi="MS PGothic"/>
          <w:sz w:val="17"/>
          <w:szCs w:val="17"/>
          <w:color w:val="auto"/>
        </w:rPr>
      </w:pPr>
    </w:p>
    <w:p>
      <w:pPr>
        <w:ind w:left="620" w:hanging="616"/>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78" w:lineRule="exact"/>
        <w:rPr>
          <w:rFonts w:ascii="MS PGothic" w:cs="MS PGothic" w:eastAsia="MS PGothic" w:hAnsi="MS PGothic"/>
          <w:sz w:val="17"/>
          <w:szCs w:val="17"/>
          <w:color w:val="auto"/>
        </w:rPr>
      </w:pPr>
    </w:p>
    <w:p>
      <w:pPr>
        <w:ind w:left="620" w:hanging="616"/>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 None</w:t>
      </w:r>
    </w:p>
    <w:p>
      <w:pPr>
        <w:spacing w:after="0" w:line="15" w:lineRule="exact"/>
        <w:rPr>
          <w:sz w:val="24"/>
          <w:szCs w:val="24"/>
          <w:color w:val="auto"/>
        </w:rPr>
      </w:pPr>
    </w:p>
    <w:tbl>
      <w:tblPr>
        <w:tblLayout w:type="fixed"/>
        <w:tblInd w:w="10" w:type="dxa"/>
        <w:tblCellMar>
          <w:top w:w="0" w:type="dxa"/>
          <w:left w:w="0" w:type="dxa"/>
          <w:bottom w:w="0" w:type="dxa"/>
          <w:right w:w="0" w:type="dxa"/>
        </w:tblCellMar>
      </w:tblPr>
      <w:tr>
        <w:trPr>
          <w:trHeight w:val="293"/>
        </w:trPr>
        <w:tc>
          <w:tcPr>
            <w:tcW w:w="4600" w:type="dxa"/>
            <w:vAlign w:val="bottom"/>
            <w:tcBorders>
              <w:top w:val="single" w:sz="8" w:color="auto"/>
              <w:left w:val="single" w:sz="8" w:color="auto"/>
              <w:right w:val="single" w:sz="8" w:color="auto"/>
            </w:tcBorders>
          </w:tcPr>
          <w:p>
            <w:pPr>
              <w:ind w:left="1740"/>
              <w:spacing w:after="0"/>
              <w:rPr>
                <w:sz w:val="20"/>
                <w:szCs w:val="20"/>
                <w:color w:val="auto"/>
              </w:rPr>
            </w:pPr>
            <w:r>
              <w:rPr>
                <w:rFonts w:ascii="Arial" w:cs="Arial" w:eastAsia="Arial" w:hAnsi="Arial"/>
                <w:sz w:val="16"/>
                <w:szCs w:val="16"/>
                <w:color w:val="auto"/>
              </w:rPr>
              <w:t>Title of each class</w:t>
            </w:r>
          </w:p>
        </w:tc>
        <w:tc>
          <w:tcPr>
            <w:tcW w:w="192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6"/>
                <w:szCs w:val="16"/>
                <w:color w:val="auto"/>
              </w:rPr>
              <w:t>Name of each exchange on which registered</w:t>
            </w:r>
          </w:p>
        </w:tc>
      </w:tr>
      <w:tr>
        <w:trPr>
          <w:trHeight w:val="32"/>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54"/>
        </w:trPr>
        <w:tc>
          <w:tcPr>
            <w:tcW w:w="4600" w:type="dxa"/>
            <w:vAlign w:val="bottom"/>
            <w:tcBorders>
              <w:left w:val="single" w:sz="8" w:color="auto"/>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4740" w:type="dxa"/>
            <w:vAlign w:val="bottom"/>
            <w:tcBorders>
              <w:bottom w:val="single" w:sz="8" w:color="auto"/>
              <w:right w:val="single" w:sz="8" w:color="auto"/>
            </w:tcBorders>
          </w:tcPr>
          <w:p>
            <w:pPr>
              <w:spacing w:after="0"/>
              <w:rPr>
                <w:sz w:val="22"/>
                <w:szCs w:val="22"/>
                <w:color w:val="auto"/>
              </w:rPr>
            </w:pPr>
          </w:p>
        </w:tc>
      </w:tr>
    </w:tbl>
    <w:p>
      <w:pPr>
        <w:spacing w:after="0" w:line="92" w:lineRule="exact"/>
        <w:rPr>
          <w:sz w:val="24"/>
          <w:szCs w:val="24"/>
          <w:color w:val="auto"/>
        </w:rPr>
      </w:pPr>
    </w:p>
    <w:p>
      <w:pPr>
        <w:ind w:right="60"/>
        <w:spacing w:after="0" w:line="28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50" w:lineRule="exact"/>
        <w:rPr>
          <w:sz w:val="24"/>
          <w:szCs w:val="24"/>
          <w:color w:val="auto"/>
        </w:rPr>
      </w:pPr>
    </w:p>
    <w:p>
      <w:pPr>
        <w:ind w:right="38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 w:name="page2"/>
    <w:bookmarkEnd w:id="1"/>
    <w:p>
      <w:pPr>
        <w:ind w:right="220"/>
        <w:spacing w:after="0" w:line="262" w:lineRule="auto"/>
        <w:rPr>
          <w:sz w:val="20"/>
          <w:szCs w:val="20"/>
          <w:color w:val="auto"/>
        </w:rPr>
      </w:pPr>
      <w:r>
        <w:rPr>
          <w:rFonts w:ascii="Arial" w:cs="Arial" w:eastAsia="Arial" w:hAnsi="Arial"/>
          <w:sz w:val="21"/>
          <w:szCs w:val="21"/>
          <w:b w:val="1"/>
          <w:bCs w:val="1"/>
          <w:color w:val="auto"/>
        </w:rPr>
        <w:t>Item 5.02 Departure of Directors or Certain Officers; Election of Directors; Appointment of Certain Officers; Compensatory Arrangements of Certain Officers.</w:t>
      </w:r>
    </w:p>
    <w:p>
      <w:pPr>
        <w:spacing w:after="0" w:line="156" w:lineRule="exact"/>
        <w:rPr>
          <w:sz w:val="20"/>
          <w:szCs w:val="20"/>
          <w:color w:val="auto"/>
        </w:rPr>
      </w:pPr>
    </w:p>
    <w:p>
      <w:pPr>
        <w:ind w:right="80"/>
        <w:spacing w:after="0" w:line="241" w:lineRule="auto"/>
        <w:rPr>
          <w:sz w:val="20"/>
          <w:szCs w:val="20"/>
          <w:color w:val="auto"/>
        </w:rPr>
      </w:pPr>
      <w:r>
        <w:rPr>
          <w:rFonts w:ascii="Arial" w:cs="Arial" w:eastAsia="Arial" w:hAnsi="Arial"/>
          <w:sz w:val="21"/>
          <w:szCs w:val="21"/>
          <w:color w:val="auto"/>
        </w:rPr>
        <w:t>At the recommendation of the Nominating and Corporate Governance Committee, the Board of Directors of Destination XL Group, Inc. (the “Company”) appointed Elaine Rubin as a director of the Company on April 14, 2021. Ms. Rubin is the founder and president of Digital Prophets Network, LLC, a consumer-centric consulting, advisory and placement firm with a network of digital commerce experts that supports the growth of retail and direct-to-consumer businesses.</w:t>
      </w:r>
    </w:p>
    <w:p>
      <w:pPr>
        <w:spacing w:after="0" w:line="176" w:lineRule="exact"/>
        <w:rPr>
          <w:sz w:val="20"/>
          <w:szCs w:val="20"/>
          <w:color w:val="auto"/>
        </w:rPr>
      </w:pPr>
    </w:p>
    <w:p>
      <w:pPr>
        <w:jc w:val="both"/>
        <w:ind w:right="140"/>
        <w:spacing w:after="0" w:line="245" w:lineRule="auto"/>
        <w:rPr>
          <w:sz w:val="20"/>
          <w:szCs w:val="20"/>
          <w:color w:val="auto"/>
        </w:rPr>
      </w:pPr>
      <w:r>
        <w:rPr>
          <w:rFonts w:ascii="Arial" w:cs="Arial" w:eastAsia="Arial" w:hAnsi="Arial"/>
          <w:sz w:val="21"/>
          <w:szCs w:val="21"/>
          <w:color w:val="auto"/>
        </w:rPr>
        <w:t>Ms. Rubin will serve as a director until the Company’s next annual meeting of stockholders which is expected to be held on August 5, 2021, at which time she will stand for re-election. She was also appointed to serve on the Company’s Cybersecurity and Data Privacy Committee.</w:t>
      </w:r>
    </w:p>
    <w:p>
      <w:pPr>
        <w:spacing w:after="0" w:line="172" w:lineRule="exact"/>
        <w:rPr>
          <w:sz w:val="20"/>
          <w:szCs w:val="20"/>
          <w:color w:val="auto"/>
        </w:rPr>
      </w:pPr>
    </w:p>
    <w:p>
      <w:pPr>
        <w:ind w:right="380"/>
        <w:spacing w:after="0" w:line="339" w:lineRule="auto"/>
        <w:rPr>
          <w:sz w:val="20"/>
          <w:szCs w:val="20"/>
          <w:color w:val="auto"/>
        </w:rPr>
      </w:pPr>
      <w:r>
        <w:rPr>
          <w:rFonts w:ascii="Arial" w:cs="Arial" w:eastAsia="Arial" w:hAnsi="Arial"/>
          <w:sz w:val="18"/>
          <w:szCs w:val="18"/>
          <w:color w:val="auto"/>
        </w:rPr>
        <w:t>Upon her appointment to the Board, Ms. Rubin was entitled to receive a pro-rated portion of the Company's non-employee director compensation for the first quarter of fiscal 2021. As such, she will receive a prorated portion of the quarterly retainer of $30,000.</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21"/>
          <w:szCs w:val="21"/>
          <w:color w:val="auto"/>
        </w:rPr>
        <w:t>A copy of the Company’s press release announcing the appointment of Ms. Rubin is attached as Exhibit 99.1 to this Current Report on Form 8-K and is incorporated by reference herein.</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21"/>
          <w:szCs w:val="21"/>
          <w:color w:val="auto"/>
        </w:rPr>
        <w:t>(d)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60" w:type="dxa"/>
            <w:vAlign w:val="bottom"/>
            <w:gridSpan w:val="3"/>
          </w:tcPr>
          <w:p>
            <w:pPr>
              <w:ind w:left="100"/>
              <w:spacing w:after="0"/>
              <w:rPr>
                <w:sz w:val="20"/>
                <w:szCs w:val="20"/>
                <w:color w:val="auto"/>
              </w:rPr>
            </w:pPr>
            <w:r>
              <w:rPr>
                <w:rFonts w:ascii="Arial" w:cs="Arial" w:eastAsia="Arial" w:hAnsi="Arial"/>
                <w:sz w:val="21"/>
                <w:szCs w:val="21"/>
                <w:color w:val="auto"/>
              </w:rPr>
              <w:t>Exhibit No.</w:t>
            </w:r>
          </w:p>
        </w:tc>
        <w:tc>
          <w:tcPr>
            <w:tcW w:w="2900" w:type="dxa"/>
            <w:vAlign w:val="bottom"/>
            <w:gridSpan w:val="3"/>
          </w:tcPr>
          <w:p>
            <w:pPr>
              <w:spacing w:after="0"/>
              <w:rPr>
                <w:sz w:val="20"/>
                <w:szCs w:val="20"/>
                <w:color w:val="auto"/>
              </w:rPr>
            </w:pPr>
            <w:r>
              <w:rPr>
                <w:rFonts w:ascii="Arial" w:cs="Arial" w:eastAsia="Arial" w:hAnsi="Arial"/>
                <w:sz w:val="21"/>
                <w:szCs w:val="21"/>
                <w:color w:val="auto"/>
              </w:rPr>
              <w:t>Description</w:t>
            </w:r>
          </w:p>
        </w:tc>
        <w:tc>
          <w:tcPr>
            <w:tcW w:w="0" w:type="dxa"/>
            <w:vAlign w:val="bottom"/>
          </w:tcPr>
          <w:p>
            <w:pPr>
              <w:spacing w:after="0"/>
              <w:rPr>
                <w:sz w:val="1"/>
                <w:szCs w:val="1"/>
                <w:color w:val="auto"/>
              </w:rPr>
            </w:pPr>
          </w:p>
        </w:tc>
      </w:tr>
      <w:tr>
        <w:trPr>
          <w:trHeight w:val="20"/>
        </w:trPr>
        <w:tc>
          <w:tcPr>
            <w:tcW w:w="760" w:type="dxa"/>
            <w:vAlign w:val="bottom"/>
            <w:vMerge w:val="restart"/>
          </w:tcPr>
          <w:p>
            <w:pPr>
              <w:jc w:val="right"/>
              <w:ind w:right="296"/>
              <w:spacing w:after="0" w:line="234" w:lineRule="exact"/>
              <w:rPr>
                <w:sz w:val="20"/>
                <w:szCs w:val="20"/>
                <w:color w:val="auto"/>
              </w:rPr>
            </w:pPr>
            <w:r>
              <w:rPr>
                <w:rFonts w:ascii="Arial" w:cs="Arial" w:eastAsia="Arial" w:hAnsi="Arial"/>
                <w:sz w:val="21"/>
                <w:szCs w:val="21"/>
                <w:color w:val="auto"/>
                <w:w w:val="83"/>
              </w:rPr>
              <w:t>99.1</w:t>
            </w: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00" w:type="dxa"/>
            <w:vAlign w:val="bottom"/>
            <w:gridSpan w:val="3"/>
          </w:tcPr>
          <w:p>
            <w:pPr>
              <w:spacing w:after="0" w:line="215" w:lineRule="exact"/>
              <w:rPr>
                <w:rFonts w:ascii="Arial" w:cs="Arial" w:eastAsia="Arial" w:hAnsi="Arial"/>
                <w:sz w:val="21"/>
                <w:szCs w:val="21"/>
                <w:color w:val="0000EE"/>
                <w:w w:val="87"/>
              </w:rPr>
            </w:pPr>
            <w:hyperlink w:anchor="page4">
              <w:r>
                <w:rPr>
                  <w:rFonts w:ascii="Arial" w:cs="Arial" w:eastAsia="Arial" w:hAnsi="Arial"/>
                  <w:sz w:val="21"/>
                  <w:szCs w:val="21"/>
                  <w:color w:val="0000EE"/>
                  <w:w w:val="87"/>
                </w:rPr>
                <w:t>Press release dated April 15, 2021</w:t>
              </w:r>
            </w:hyperlink>
            <w:r>
              <w:rPr>
                <w:rFonts w:ascii="Arial" w:cs="Arial" w:eastAsia="Arial" w:hAnsi="Arial"/>
                <w:sz w:val="21"/>
                <w:szCs w:val="21"/>
                <w:color w:val="000000"/>
                <w:w w:val="87"/>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460" w:hanging="1456"/>
        <w:spacing w:after="0" w:line="257" w:lineRule="auto"/>
        <w:tabs>
          <w:tab w:leader="none" w:pos="1460" w:val="left"/>
        </w:tabs>
        <w:numPr>
          <w:ilvl w:val="0"/>
          <w:numId w:val="2"/>
        </w:numPr>
        <w:rPr>
          <w:rFonts w:ascii="Arial" w:cs="Arial" w:eastAsia="Arial" w:hAnsi="Arial"/>
          <w:sz w:val="21"/>
          <w:szCs w:val="21"/>
          <w:color w:val="auto"/>
        </w:rPr>
      </w:pPr>
      <w:r>
        <w:rPr>
          <w:rFonts w:ascii="Arial" w:cs="Arial" w:eastAsia="Arial" w:hAnsi="Arial"/>
          <w:sz w:val="21"/>
          <w:szCs w:val="21"/>
          <w:color w:val="auto"/>
        </w:rPr>
        <w:t>Cover Page Interactive Data File – The cover page interactive data file does not appear in the interactive data file beca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62230</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20"/>
          </w:cols>
          <w:pgMar w:left="320" w:top="750" w:right="25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21"/>
          <w:szCs w:val="21"/>
          <w:b w:val="1"/>
          <w:bCs w:val="1"/>
          <w:color w:val="auto"/>
        </w:rPr>
        <w:t>SIGNATURES</w:t>
      </w:r>
    </w:p>
    <w:p>
      <w:pPr>
        <w:spacing w:after="0" w:line="233"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420"/>
        <w:spacing w:after="0"/>
        <w:rPr>
          <w:sz w:val="20"/>
          <w:szCs w:val="20"/>
          <w:color w:val="auto"/>
        </w:rPr>
      </w:pPr>
      <w:r>
        <w:rPr>
          <w:rFonts w:ascii="Arial" w:cs="Arial" w:eastAsia="Arial" w:hAnsi="Arial"/>
          <w:sz w:val="21"/>
          <w:szCs w:val="21"/>
          <w:color w:val="auto"/>
        </w:rPr>
        <w:t>DESTINATION XL GROUP, INC.</w:t>
      </w:r>
    </w:p>
    <w:p>
      <w:pPr>
        <w:spacing w:after="0" w:line="175" w:lineRule="exact"/>
        <w:rPr>
          <w:sz w:val="20"/>
          <w:szCs w:val="20"/>
          <w:color w:val="auto"/>
        </w:rPr>
      </w:pPr>
    </w:p>
    <w:p>
      <w:pPr>
        <w:ind w:left="40"/>
        <w:spacing w:after="0"/>
        <w:tabs>
          <w:tab w:leader="none" w:pos="840" w:val="left"/>
          <w:tab w:leader="none" w:pos="5760" w:val="left"/>
          <w:tab w:leader="none" w:pos="802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April 15, 2021</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Robert S. Molloy</w:t>
      </w:r>
    </w:p>
    <w:p>
      <w:pPr>
        <w:jc w:val="center"/>
        <w:ind w:left="6500"/>
        <w:spacing w:after="0" w:line="225" w:lineRule="auto"/>
        <w:rPr>
          <w:sz w:val="20"/>
          <w:szCs w:val="20"/>
          <w:color w:val="auto"/>
        </w:rPr>
      </w:pPr>
      <w:r>
        <w:rPr>
          <w:rFonts w:ascii="Arial" w:cs="Arial" w:eastAsia="Arial" w:hAnsi="Arial"/>
          <w:sz w:val="14"/>
          <w:szCs w:val="14"/>
          <w:b w:val="1"/>
          <w:bCs w:val="1"/>
          <w:color w:val="auto"/>
        </w:rPr>
        <w:t>Robert S. Molloy</w:t>
      </w:r>
    </w:p>
    <w:p>
      <w:pPr>
        <w:jc w:val="center"/>
        <w:ind w:left="6500"/>
        <w:spacing w:after="0"/>
        <w:rPr>
          <w:sz w:val="20"/>
          <w:szCs w:val="20"/>
          <w:color w:val="auto"/>
        </w:rPr>
      </w:pPr>
      <w:r>
        <w:rPr>
          <w:rFonts w:ascii="Arial" w:cs="Arial" w:eastAsia="Arial" w:hAnsi="Arial"/>
          <w:sz w:val="14"/>
          <w:szCs w:val="14"/>
          <w:b w:val="1"/>
          <w:bCs w:val="1"/>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7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760"/>
          </w:cols>
          <w:pgMar w:left="320" w:top="529" w:right="81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color w:val="auto"/>
        </w:rPr>
        <w:t>Exhibi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1017270" cy="570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7270" cy="57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auto"/>
        </w:rPr>
        <w:t>Destination XL Group, Inc. Appoints Digital Transformation Veteran</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auto"/>
        </w:rPr>
        <w:t>Elaine Rubin to Board of Directors</w:t>
      </w:r>
    </w:p>
    <w:p>
      <w:pPr>
        <w:spacing w:after="0" w:line="206" w:lineRule="exact"/>
        <w:rPr>
          <w:sz w:val="20"/>
          <w:szCs w:val="20"/>
          <w:color w:val="auto"/>
        </w:rPr>
      </w:pPr>
    </w:p>
    <w:p>
      <w:pPr>
        <w:ind w:right="100"/>
        <w:spacing w:after="0" w:line="252" w:lineRule="auto"/>
        <w:rPr>
          <w:sz w:val="20"/>
          <w:szCs w:val="20"/>
          <w:color w:val="auto"/>
        </w:rPr>
      </w:pPr>
      <w:r>
        <w:rPr>
          <w:rFonts w:ascii="Arial" w:cs="Arial" w:eastAsia="Arial" w:hAnsi="Arial"/>
          <w:sz w:val="20"/>
          <w:szCs w:val="20"/>
          <w:color w:val="auto"/>
        </w:rPr>
        <w:t xml:space="preserve">CANTON, MA., April 15, 2021–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(OTCQX: DXLG), the largest omni-channel specialty retailer of big and tall men’s clothing and shoes, announced today that it has appointed Elaine Rubin, 58, to the Company’s Board of Directors. She will serve as a director until the Company’s next annual meeting of stockholders, at which time she will stand for re-election. With her appointment, the size of the Company’s Board of Directors is seven members. Ms. Rubin is currently the founder and president of Digital Prophets Network, LLC, a consumer-centric digital consulting, advisory and placement firm with a network of digital commerce experts that supports the growth of retail and direct-to-consumer businesses.</w:t>
      </w:r>
    </w:p>
    <w:p>
      <w:pPr>
        <w:spacing w:after="0" w:line="114" w:lineRule="exact"/>
        <w:rPr>
          <w:sz w:val="20"/>
          <w:szCs w:val="20"/>
          <w:color w:val="auto"/>
        </w:rPr>
      </w:pPr>
    </w:p>
    <w:p>
      <w:pPr>
        <w:ind w:right="520"/>
        <w:spacing w:after="0" w:line="257" w:lineRule="auto"/>
        <w:rPr>
          <w:sz w:val="20"/>
          <w:szCs w:val="20"/>
          <w:color w:val="auto"/>
        </w:rPr>
      </w:pPr>
      <w:r>
        <w:rPr>
          <w:rFonts w:ascii="Arial" w:cs="Arial" w:eastAsia="Arial" w:hAnsi="Arial"/>
          <w:sz w:val="20"/>
          <w:szCs w:val="20"/>
          <w:color w:val="auto"/>
        </w:rPr>
        <w:t>“We are excited to welcome Elaine to the board,” said President and CEO Harvey S. Kanter. “With over 25 years of digital experience, Elaine is an e-commerce pioneer, with digital industry insight and expertise in the direct-to-consumer business and consumer marketing. Elaine’s extensive experience, coupled with DXL’s strategic digital transformation which is well underway, lends us an exponentially greater opportunity to further accelerate our endeavors.”</w:t>
      </w:r>
    </w:p>
    <w:p>
      <w:pPr>
        <w:spacing w:after="0" w:line="109"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As the founder and president of Digital Prophets Network, LLC, she has helped well-known retailers develop their dotcom digital strategies. Prior to that, Ms. Rubin held leadership positions at 1800flowers.com, iVillage.com and amazon.com. She also cofounded shop.org and served on their board from 1995 until 2010 and served on the board of the National Retail Federation (NRF) from 2001 until 2010. Ms. Rubin previously served on the boards at the predecessor company of New Moosejaw, LLC as well as Blue Nile, Inc. during the same time Mr. Kanter served as CEO at the respective companies.</w:t>
      </w:r>
    </w:p>
    <w:p>
      <w:pPr>
        <w:spacing w:after="0" w:line="34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Destination XL Group, Inc.</w:t>
      </w:r>
    </w:p>
    <w:p>
      <w:pPr>
        <w:spacing w:after="0" w:line="142"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 xml:space="preserve">Destination XL Group, Inc. is the largest retailer of men’s clothing in sizes XL and up, with operations throughout the United States as well as in Toronto, Canada. In addition to DXL Big + Tall retail and outlet stores, subsidiaries of Destination XL Group, Inc. also operate Casual Male XL retail and outlet stores, and e-commerce sites, including DXL.com. </w:t>
      </w:r>
      <w:r>
        <w:rPr>
          <w:rFonts w:ascii="Arial" w:cs="Arial" w:eastAsia="Arial" w:hAnsi="Arial"/>
          <w:sz w:val="19"/>
          <w:szCs w:val="19"/>
          <w:u w:val="single" w:color="auto"/>
          <w:color w:val="0000FF"/>
        </w:rPr>
        <w:t>DXL.com</w:t>
      </w:r>
      <w:r>
        <w:rPr>
          <w:rFonts w:ascii="Arial" w:cs="Arial" w:eastAsia="Arial" w:hAnsi="Arial"/>
          <w:sz w:val="19"/>
          <w:szCs w:val="19"/>
          <w:color w:val="auto"/>
        </w:rPr>
        <w:t xml:space="preserve"> offers a multi-channel solution similar to the DXL store experience with the most extensive selection of online products available anywhere for Big + Tall men. The Company is headquartered in Canton, Massachusetts, and its common stock is listed on the OTCQX market under the symbol "DXLG." For more information, please visit the Company's investor relations website: </w:t>
      </w:r>
      <w:r>
        <w:rPr>
          <w:rFonts w:ascii="Arial" w:cs="Arial" w:eastAsia="Arial" w:hAnsi="Arial"/>
          <w:sz w:val="19"/>
          <w:szCs w:val="19"/>
          <w:u w:val="single" w:color="auto"/>
          <w:color w:val="2E74B5"/>
        </w:rPr>
        <w:t>https://investor.dxl.com</w:t>
      </w:r>
      <w:r>
        <w:rPr>
          <w:rFonts w:ascii="Arial" w:cs="Arial" w:eastAsia="Arial" w:hAnsi="Arial"/>
          <w:sz w:val="19"/>
          <w:szCs w:val="19"/>
          <w:u w:val="single" w:color="auto"/>
          <w:color w:val="auto"/>
        </w:rPr>
        <w:t>.</w:t>
      </w:r>
    </w:p>
    <w:sectPr>
      <w:pgSz w:w="11900" w:h="16838" w:orient="portrait"/>
      <w:cols w:equalWidth="0" w:num="1">
        <w:col w:w="11340"/>
      </w:cols>
      <w:pgMar w:left="320" w:top="1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2021-04-15T07:06:06Z</dcterms:created>
  <dcterms:modified xsi:type="dcterms:W3CDTF">2021-04-15T07:06:06Z</dcterms:modified>
</cp:coreProperties>
</file>