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par value $.01</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148711104</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2003</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 [ ] Rule 13d-1(c) [ ] 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(entities only)</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 (13-2670991)</w:t>
      </w:r>
    </w:p>
    <w:p>
      <w:pPr>
        <w:spacing w:after="0" w:line="200" w:lineRule="exact"/>
        <w:rPr>
          <w:sz w:val="24"/>
          <w:szCs w:val="24"/>
          <w:color w:val="auto"/>
        </w:rPr>
      </w:pPr>
    </w:p>
    <w:p>
      <w:pPr>
        <w:spacing w:after="0" w:line="204"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4"/>
          <w:szCs w:val="24"/>
          <w:color w:val="auto"/>
        </w:rPr>
      </w:pPr>
    </w:p>
    <w:p>
      <w:pPr>
        <w:spacing w:after="0" w:line="209" w:lineRule="exact"/>
        <w:rPr>
          <w:sz w:val="24"/>
          <w:szCs w:val="24"/>
          <w:color w:val="auto"/>
        </w:rPr>
      </w:pPr>
    </w:p>
    <w:p>
      <w:pPr>
        <w:ind w:left="1280" w:right="7479" w:hanging="640"/>
        <w:spacing w:after="0" w:line="536" w:lineRule="auto"/>
        <w:tabs>
          <w:tab w:leader="none" w:pos="96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7259" w:hanging="640"/>
        <w:spacing w:after="0" w:line="470" w:lineRule="auto"/>
        <w:tabs>
          <w:tab w:leader="none" w:pos="964"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1" w:lineRule="exact"/>
        <w:rPr>
          <w:rFonts w:ascii="Courier New" w:cs="Courier New" w:eastAsia="Courier New" w:hAnsi="Courier New"/>
          <w:sz w:val="18"/>
          <w:szCs w:val="18"/>
          <w:color w:val="auto"/>
        </w:rPr>
      </w:pPr>
    </w:p>
    <w:p>
      <w:pPr>
        <w:ind w:left="1280" w:right="6939" w:hanging="640"/>
        <w:spacing w:after="0" w:line="470" w:lineRule="auto"/>
        <w:tabs>
          <w:tab w:leader="none" w:pos="964"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739" w:hanging="640"/>
        <w:spacing w:after="0" w:line="470" w:lineRule="auto"/>
        <w:tabs>
          <w:tab w:leader="none" w:pos="964"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640" w:right="3579" w:hanging="632"/>
        <w:spacing w:after="0" w:line="470" w:lineRule="auto"/>
        <w:tabs>
          <w:tab w:leader="none" w:pos="3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2,393,955/1/</w:t>
      </w:r>
    </w:p>
    <w:p>
      <w:pPr>
        <w:sectPr>
          <w:pgSz w:w="11900" w:h="16848" w:orient="portrait"/>
          <w:cols w:equalWidth="0" w:num="1">
            <w:col w:w="10219"/>
          </w:cols>
          <w:pgMar w:left="240" w:top="244" w:right="1440" w:bottom="0" w:gutter="0" w:footer="0" w:header="0"/>
        </w:sectPr>
      </w:pPr>
    </w:p>
    <w:bookmarkStart w:id="1" w:name="page2"/>
    <w:bookmarkEnd w:id="1"/>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6.7%</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tabs>
          <w:tab w:leader="none" w:pos="1040" w:val="left"/>
        </w:tabs>
        <w:rPr>
          <w:sz w:val="20"/>
          <w:szCs w:val="20"/>
          <w:color w:val="auto"/>
        </w:rPr>
      </w:pPr>
      <w:r>
        <w:rPr>
          <w:rFonts w:ascii="Courier New" w:cs="Courier New" w:eastAsia="Courier New" w:hAnsi="Courier New"/>
          <w:sz w:val="18"/>
          <w:szCs w:val="18"/>
          <w:color w:val="auto"/>
        </w:rPr>
        <w:t>HC</w:t>
      </w:r>
      <w:r>
        <w:rPr>
          <w:sz w:val="20"/>
          <w:szCs w:val="20"/>
          <w:color w:val="auto"/>
        </w:rPr>
        <w:tab/>
      </w:r>
      <w:r>
        <w:rPr>
          <w:rFonts w:ascii="Courier New" w:cs="Courier New" w:eastAsia="Courier New" w:hAnsi="Courier New"/>
          <w:sz w:val="16"/>
          <w:szCs w:val="16"/>
          <w:color w:val="auto"/>
        </w:rPr>
        <w:t>(See Item 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right="2099" w:hanging="210"/>
        <w:spacing w:after="0" w:line="290" w:lineRule="auto"/>
        <w:rPr>
          <w:sz w:val="20"/>
          <w:szCs w:val="20"/>
          <w:color w:val="auto"/>
        </w:rPr>
      </w:pPr>
      <w:r>
        <w:rPr>
          <w:rFonts w:ascii="Courier New" w:cs="Courier New" w:eastAsia="Courier New" w:hAnsi="Courier New"/>
          <w:sz w:val="16"/>
          <w:szCs w:val="16"/>
          <w:color w:val="auto"/>
        </w:rPr>
        <w:t>/1/ Includes 891,955 common shares that would result upon the conversion of 9,499,322 Convertible Bond Units (as computed under Rule 13(d)-3(d)(1)(i)).</w:t>
      </w:r>
    </w:p>
    <w:p>
      <w:pPr>
        <w:spacing w:after="0" w:line="200" w:lineRule="exact"/>
        <w:rPr>
          <w:sz w:val="20"/>
          <w:szCs w:val="20"/>
          <w:color w:val="auto"/>
        </w:rPr>
      </w:pPr>
    </w:p>
    <w:p>
      <w:pPr>
        <w:spacing w:after="0" w:line="369" w:lineRule="exact"/>
        <w:rPr>
          <w:sz w:val="20"/>
          <w:szCs w:val="20"/>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(entities only)</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USA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0"/>
          <w:szCs w:val="20"/>
          <w:color w:val="auto"/>
        </w:rPr>
      </w:pPr>
    </w:p>
    <w:p>
      <w:pPr>
        <w:spacing w:after="0" w:line="209" w:lineRule="exact"/>
        <w:rPr>
          <w:sz w:val="20"/>
          <w:szCs w:val="20"/>
          <w:color w:val="auto"/>
        </w:rPr>
      </w:pPr>
    </w:p>
    <w:p>
      <w:pPr>
        <w:ind w:left="1280" w:right="7479" w:hanging="640"/>
        <w:spacing w:after="0" w:line="536" w:lineRule="auto"/>
        <w:tabs>
          <w:tab w:leader="none" w:pos="964"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7259" w:hanging="640"/>
        <w:spacing w:after="0" w:line="470" w:lineRule="auto"/>
        <w:tabs>
          <w:tab w:leader="none" w:pos="964"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1" w:lineRule="exact"/>
        <w:rPr>
          <w:rFonts w:ascii="Courier New" w:cs="Courier New" w:eastAsia="Courier New" w:hAnsi="Courier New"/>
          <w:sz w:val="18"/>
          <w:szCs w:val="18"/>
          <w:color w:val="auto"/>
        </w:rPr>
      </w:pPr>
    </w:p>
    <w:p>
      <w:pPr>
        <w:ind w:left="1280" w:right="6939" w:hanging="640"/>
        <w:spacing w:after="0" w:line="470" w:lineRule="auto"/>
        <w:tabs>
          <w:tab w:leader="none" w:pos="964"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739" w:hanging="640"/>
        <w:spacing w:after="0" w:line="470" w:lineRule="auto"/>
        <w:tabs>
          <w:tab w:leader="none" w:pos="964"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640" w:right="3579" w:hanging="632"/>
        <w:spacing w:after="0" w:line="470" w:lineRule="auto"/>
        <w:tabs>
          <w:tab w:leader="none" w:pos="32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2,393,955/1/</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6.7%</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tabs>
          <w:tab w:leader="none" w:pos="1040" w:val="left"/>
        </w:tabs>
        <w:rPr>
          <w:sz w:val="20"/>
          <w:szCs w:val="20"/>
          <w:color w:val="auto"/>
        </w:rPr>
      </w:pPr>
      <w:r>
        <w:rPr>
          <w:rFonts w:ascii="Courier New" w:cs="Courier New" w:eastAsia="Courier New" w:hAnsi="Courier New"/>
          <w:sz w:val="18"/>
          <w:szCs w:val="18"/>
          <w:color w:val="auto"/>
        </w:rPr>
        <w:t>HC</w:t>
      </w:r>
      <w:r>
        <w:rPr>
          <w:sz w:val="20"/>
          <w:szCs w:val="20"/>
          <w:color w:val="auto"/>
        </w:rPr>
        <w:tab/>
      </w:r>
      <w:r>
        <w:rPr>
          <w:rFonts w:ascii="Courier New" w:cs="Courier New" w:eastAsia="Courier New" w:hAnsi="Courier New"/>
          <w:sz w:val="16"/>
          <w:szCs w:val="16"/>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(entities only)</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ectPr>
          <w:pgSz w:w="11900" w:h="16838" w:orient="portrait"/>
          <w:cols w:equalWidth="0" w:num="1">
            <w:col w:w="10219"/>
          </w:cols>
          <w:pgMar w:left="240" w:top="136" w:right="1440" w:bottom="0" w:gutter="0" w:footer="0" w:header="0"/>
        </w:sectPr>
      </w:pPr>
    </w:p>
    <w:bookmarkStart w:id="2" w:name="page3"/>
    <w:bookmarkEnd w:id="2"/>
    <w:p>
      <w:pPr>
        <w:ind w:left="320" w:hanging="312"/>
        <w:spacing w:after="0"/>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USA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1280" w:right="7479" w:hanging="640"/>
        <w:spacing w:after="0" w:line="536" w:lineRule="auto"/>
        <w:tabs>
          <w:tab w:leader="none" w:pos="964"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7259" w:hanging="640"/>
        <w:spacing w:after="0" w:line="470" w:lineRule="auto"/>
        <w:tabs>
          <w:tab w:leader="none" w:pos="964"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1" w:lineRule="exact"/>
        <w:rPr>
          <w:rFonts w:ascii="Courier New" w:cs="Courier New" w:eastAsia="Courier New" w:hAnsi="Courier New"/>
          <w:sz w:val="18"/>
          <w:szCs w:val="18"/>
          <w:color w:val="auto"/>
        </w:rPr>
      </w:pPr>
    </w:p>
    <w:p>
      <w:pPr>
        <w:ind w:left="1280" w:right="6939" w:hanging="640"/>
        <w:spacing w:after="0" w:line="470" w:lineRule="auto"/>
        <w:tabs>
          <w:tab w:leader="none" w:pos="964"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739" w:hanging="640"/>
        <w:spacing w:after="0" w:line="470" w:lineRule="auto"/>
        <w:tabs>
          <w:tab w:leader="none" w:pos="964"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640" w:right="3579" w:hanging="632"/>
        <w:spacing w:after="0" w:line="470" w:lineRule="auto"/>
        <w:tabs>
          <w:tab w:leader="none" w:pos="32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2,393,955/1/</w:t>
      </w:r>
    </w:p>
    <w:p>
      <w:pPr>
        <w:spacing w:after="0" w:line="1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 ]</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640" w:right="4619" w:hanging="632"/>
        <w:spacing w:after="0" w:line="470"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6.7%</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tabs>
          <w:tab w:leader="none" w:pos="1040" w:val="left"/>
        </w:tabs>
        <w:rPr>
          <w:sz w:val="20"/>
          <w:szCs w:val="20"/>
          <w:color w:val="auto"/>
        </w:rPr>
      </w:pPr>
      <w:r>
        <w:rPr>
          <w:rFonts w:ascii="Courier New" w:cs="Courier New" w:eastAsia="Courier New" w:hAnsi="Courier New"/>
          <w:sz w:val="18"/>
          <w:szCs w:val="18"/>
          <w:color w:val="auto"/>
        </w:rPr>
        <w:t>HC</w:t>
      </w:r>
      <w:r>
        <w:rPr>
          <w:sz w:val="20"/>
          <w:szCs w:val="20"/>
          <w:color w:val="auto"/>
        </w:rPr>
        <w:tab/>
      </w:r>
      <w:r>
        <w:rPr>
          <w:rFonts w:ascii="Courier New" w:cs="Courier New" w:eastAsia="Courier New" w:hAnsi="Courier New"/>
          <w:sz w:val="16"/>
          <w:szCs w:val="16"/>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hanging="312"/>
        <w:spacing w:after="0"/>
        <w:tabs>
          <w:tab w:leader="none" w:pos="3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(entities only)</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California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0"/>
          <w:szCs w:val="20"/>
          <w:color w:val="auto"/>
        </w:rPr>
      </w:pPr>
    </w:p>
    <w:p>
      <w:pPr>
        <w:spacing w:after="0" w:line="209" w:lineRule="exact"/>
        <w:rPr>
          <w:sz w:val="20"/>
          <w:szCs w:val="20"/>
          <w:color w:val="auto"/>
        </w:rPr>
      </w:pPr>
    </w:p>
    <w:p>
      <w:pPr>
        <w:ind w:left="1280" w:right="6639" w:hanging="640"/>
        <w:spacing w:after="0" w:line="536" w:lineRule="auto"/>
        <w:tabs>
          <w:tab w:leader="none" w:pos="964"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2,159,230 (See Item 4)</w:t>
      </w:r>
    </w:p>
    <w:p>
      <w:pPr>
        <w:ind w:left="320" w:hanging="312"/>
        <w:spacing w:after="0"/>
        <w:tabs>
          <w:tab w:leader="none" w:pos="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1280" w:right="6639" w:hanging="640"/>
        <w:spacing w:after="0" w:line="536" w:lineRule="auto"/>
        <w:tabs>
          <w:tab w:leader="none" w:pos="964"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2,159,230 (See Item 4)</w:t>
      </w:r>
    </w:p>
    <w:p>
      <w:pPr>
        <w:ind w:left="960" w:hanging="320"/>
        <w:spacing w:after="0"/>
        <w:tabs>
          <w:tab w:leader="none" w:pos="9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640" w:right="3579" w:hanging="632"/>
        <w:spacing w:after="0" w:line="470" w:lineRule="auto"/>
        <w:tabs>
          <w:tab w:leader="none" w:pos="32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2,159,230/1/</w:t>
      </w:r>
    </w:p>
    <w:p>
      <w:pPr>
        <w:sectPr>
          <w:pgSz w:w="11900" w:h="16838" w:orient="portrait"/>
          <w:cols w:equalWidth="0" w:num="1">
            <w:col w:w="10219"/>
          </w:cols>
          <w:pgMar w:left="240" w:top="136" w:right="1440" w:bottom="0" w:gutter="0" w:footer="0" w:header="0"/>
        </w:sectPr>
      </w:pPr>
    </w:p>
    <w:bookmarkStart w:id="3" w:name="page4"/>
    <w:bookmarkEnd w:id="3"/>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Casual Male Retail Group, Inc.</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555 Turnpike Street</w:t>
      </w: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Canton, MA</w:t>
      </w:r>
      <w:r>
        <w:rPr>
          <w:sz w:val="20"/>
          <w:szCs w:val="20"/>
          <w:color w:val="auto"/>
        </w:rPr>
        <w:tab/>
      </w:r>
      <w:r>
        <w:rPr>
          <w:rFonts w:ascii="Courier New" w:cs="Courier New" w:eastAsia="Courier New" w:hAnsi="Courier New"/>
          <w:sz w:val="16"/>
          <w:szCs w:val="16"/>
          <w:color w:val="auto"/>
        </w:rPr>
        <w:t>02021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Franklin Advisers, Inc.</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(ii), (iii), and (iv):</w:t>
      </w:r>
    </w:p>
    <w:p>
      <w:pPr>
        <w:ind w:left="540"/>
        <w:spacing w:after="0" w:line="238" w:lineRule="auto"/>
        <w:rPr>
          <w:sz w:val="20"/>
          <w:szCs w:val="20"/>
          <w:color w:val="auto"/>
        </w:rPr>
      </w:pPr>
      <w:r>
        <w:rPr>
          <w:rFonts w:ascii="Courier New" w:cs="Courier New" w:eastAsia="Courier New" w:hAnsi="Courier New"/>
          <w:sz w:val="18"/>
          <w:szCs w:val="18"/>
          <w:color w:val="auto"/>
        </w:rPr>
        <w:t>One Franklin Parkway</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San Mateo, CA</w:t>
      </w:r>
      <w:r>
        <w:rPr>
          <w:sz w:val="20"/>
          <w:szCs w:val="20"/>
          <w:color w:val="auto"/>
        </w:rPr>
        <w:tab/>
      </w:r>
      <w:r>
        <w:rPr>
          <w:rFonts w:ascii="Courier New" w:cs="Courier New" w:eastAsia="Courier New" w:hAnsi="Courier New"/>
          <w:sz w:val="16"/>
          <w:szCs w:val="16"/>
          <w:color w:val="auto"/>
        </w:rPr>
        <w:t>94403</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Place of Organization or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Delaware</w:t>
      </w:r>
    </w:p>
    <w:p>
      <w:pPr>
        <w:ind w:left="1060" w:hanging="525"/>
        <w:spacing w:after="0" w:line="238" w:lineRule="auto"/>
        <w:tabs>
          <w:tab w:leader="none" w:pos="10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 (iv): California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 par value $.01</w:t>
      </w:r>
    </w:p>
    <w:p>
      <w:pPr>
        <w:spacing w:after="0" w:line="207" w:lineRule="exact"/>
        <w:rPr>
          <w:sz w:val="20"/>
          <w:szCs w:val="20"/>
          <w:color w:val="auto"/>
        </w:rPr>
      </w:pPr>
    </w:p>
    <w:p>
      <w:pPr>
        <w:ind w:left="540" w:right="8419" w:hanging="532"/>
        <w:spacing w:after="0" w:line="558" w:lineRule="auto"/>
        <w:tabs>
          <w:tab w:leader="none" w:pos="43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148711104</w:t>
      </w:r>
    </w:p>
    <w:p>
      <w:pPr>
        <w:spacing w:after="0" w:line="200" w:lineRule="exact"/>
        <w:rPr>
          <w:sz w:val="20"/>
          <w:szCs w:val="20"/>
          <w:color w:val="auto"/>
        </w:rPr>
      </w:pPr>
    </w:p>
    <w:p>
      <w:pPr>
        <w:spacing w:after="0" w:line="37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Item 3. This statement is filed pursuant to Rule 13d-1(b) or 13d-2 and the persons filing are: Franklin Resources, Inc., a parent holding company in accordance with Section 240.13d-1(b)1(ii)(G); Charles B. Johnson, a control person in accordance with Section 240.13d-1(b)1(ii)(G); Rupert H. Johnson, Jr., a control person in accordance with Section 240.13d-1(b)1(ii)(G); and Franklin Advisers, Inc., an investment adviser in accordance with Section 240.13d-1(b)1(ii)(E). (Note: See Item 4)</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186"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Franklin Mutual Advisers, LLC ("FMA"), formerly</w:t>
      </w:r>
    </w:p>
    <w:p>
      <w:pPr>
        <w:sectPr>
          <w:pgSz w:w="11900" w:h="16838" w:orient="portrait"/>
          <w:cols w:equalWidth="0" w:num="1">
            <w:col w:w="10219"/>
          </w:cols>
          <w:pgMar w:left="240" w:top="136" w:right="1440" w:bottom="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Franklin Mutual Advisers, Inc., an indirect wholly owned investment advisory subsidiary of FRI, are exercised independently from FRI and from all other investment advisor subsidiaries of FRI (FRI, its affiliates and investment advisor subsidiaries other than FMA are collectively referred to herein as "FRI affiliates"). Furthermore, FMA and FRI internal policies and procedures establish informational barriers that prevent the flow between FMA and the FRI affiliates of information that relates to the voting and investment powers over the securities owned by their respective advisory clients. Consequently, FMA and the FRI affiliates are each reporting the securities over which they hold investment and voting power separately from each other.</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09" w:lineRule="exact"/>
        <w:rPr>
          <w:sz w:val="20"/>
          <w:szCs w:val="20"/>
          <w:color w:val="auto"/>
        </w:rPr>
      </w:pPr>
    </w:p>
    <w:p>
      <w:pPr>
        <w:ind w:left="740" w:right="6739" w:hanging="416"/>
        <w:spacing w:after="0" w:line="470"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2,393,955/1/</w:t>
      </w:r>
    </w:p>
    <w:p>
      <w:pPr>
        <w:spacing w:after="0" w:line="6"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6.7%</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94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148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Rupert H. Johnson,</w:t>
            </w: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Jr.:</w:t>
            </w:r>
          </w:p>
        </w:tc>
        <w:tc>
          <w:tcPr>
            <w:tcW w:w="14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Advisers,</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Inc.:</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2,159,230</w:t>
            </w:r>
          </w:p>
        </w:tc>
      </w:tr>
    </w:tbl>
    <w:p>
      <w:pPr>
        <w:ind w:left="960"/>
        <w:spacing w:after="0"/>
        <w:tabs>
          <w:tab w:leader="none" w:pos="5260" w:val="left"/>
        </w:tabs>
        <w:rPr>
          <w:sz w:val="20"/>
          <w:szCs w:val="20"/>
          <w:color w:val="auto"/>
        </w:rPr>
      </w:pPr>
      <w:r>
        <w:rPr>
          <w:rFonts w:ascii="Courier New" w:cs="Courier New" w:eastAsia="Courier New" w:hAnsi="Courier New"/>
          <w:sz w:val="18"/>
          <w:szCs w:val="18"/>
          <w:color w:val="auto"/>
        </w:rPr>
        <w:t>Fiduciary Trust Company International:</w:t>
      </w:r>
      <w:r>
        <w:rPr>
          <w:sz w:val="20"/>
          <w:szCs w:val="20"/>
          <w:color w:val="auto"/>
        </w:rPr>
        <w:tab/>
      </w:r>
      <w:r>
        <w:rPr>
          <w:rFonts w:ascii="Courier New" w:cs="Courier New" w:eastAsia="Courier New" w:hAnsi="Courier New"/>
          <w:sz w:val="16"/>
          <w:szCs w:val="16"/>
          <w:color w:val="auto"/>
        </w:rPr>
        <w:t>234,725</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(ii) Shared power to vote or to direct the vote:</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94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190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0</w:t>
            </w:r>
          </w:p>
        </w:tc>
        <w:tc>
          <w:tcPr>
            <w:tcW w:w="10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Rupert H. Johnson,</w:t>
            </w: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Jr.:</w:t>
            </w:r>
          </w:p>
        </w:tc>
        <w:tc>
          <w:tcPr>
            <w:tcW w:w="190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Advisers,</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Inc.:</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2,159,230</w:t>
            </w:r>
          </w:p>
        </w:tc>
        <w:tc>
          <w:tcPr>
            <w:tcW w:w="1060" w:type="dxa"/>
            <w:vAlign w:val="bottom"/>
          </w:tcPr>
          <w:p>
            <w:pPr>
              <w:spacing w:after="0"/>
              <w:rPr>
                <w:sz w:val="17"/>
                <w:szCs w:val="17"/>
                <w:color w:val="auto"/>
              </w:rPr>
            </w:pPr>
          </w:p>
        </w:tc>
      </w:tr>
      <w:tr>
        <w:trPr>
          <w:trHeight w:val="203"/>
        </w:trPr>
        <w:tc>
          <w:tcPr>
            <w:tcW w:w="4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Fiduciary Trust Company International:</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234,725</w:t>
            </w:r>
          </w:p>
        </w:tc>
      </w:tr>
    </w:tbl>
    <w:p>
      <w:pPr>
        <w:spacing w:after="0" w:line="207" w:lineRule="exact"/>
        <w:rPr>
          <w:sz w:val="20"/>
          <w:szCs w:val="20"/>
          <w:color w:val="auto"/>
        </w:rPr>
      </w:pPr>
    </w:p>
    <w:p>
      <w:pPr>
        <w:ind w:left="1160" w:right="3359" w:hanging="731"/>
        <w:spacing w:after="0" w:line="470" w:lineRule="auto"/>
        <w:tabs>
          <w:tab w:leader="none" w:pos="94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 If this statement is being filed to report the fact that as of the date hereof the reporting person has ceased to be the beneficial owner of more than five percent of the class of securities, check the following [].</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clients of the Adviser Subsidiaries, including investment companies registered under the Investment Company Act of 1940 and other managed accounts, have the right to receive dividends from as well as the proceeds from the sale of such securities reported on in this statement.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400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1360" w:type="dxa"/>
            <w:vAlign w:val="bottom"/>
          </w:tcPr>
          <w:p>
            <w:pPr>
              <w:ind w:left="100"/>
              <w:spacing w:after="0"/>
              <w:rPr>
                <w:sz w:val="20"/>
                <w:szCs w:val="20"/>
                <w:color w:val="auto"/>
              </w:rPr>
            </w:pPr>
            <w:r>
              <w:rPr>
                <w:rFonts w:ascii="Courier New" w:cs="Courier New" w:eastAsia="Courier New" w:hAnsi="Courier New"/>
                <w:sz w:val="18"/>
                <w:szCs w:val="18"/>
                <w:color w:val="auto"/>
              </w:rPr>
              <w:t>3(e)</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Fiduciary Trust Company International</w:t>
            </w:r>
          </w:p>
        </w:tc>
        <w:tc>
          <w:tcPr>
            <w:tcW w:w="136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2"/>
              </w:rPr>
              <w:t>3(b)</w:t>
            </w:r>
          </w:p>
        </w:tc>
      </w:tr>
      <w:tr>
        <w:trPr>
          <w:trHeight w:val="203"/>
        </w:trPr>
        <w:tc>
          <w:tcPr>
            <w:tcW w:w="4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(See also Item 4)</w:t>
            </w:r>
          </w:p>
        </w:tc>
        <w:tc>
          <w:tcPr>
            <w:tcW w:w="1360" w:type="dxa"/>
            <w:vAlign w:val="bottom"/>
          </w:tcPr>
          <w:p>
            <w:pPr>
              <w:spacing w:after="0"/>
              <w:rPr>
                <w:sz w:val="17"/>
                <w:szCs w:val="17"/>
                <w:color w:val="auto"/>
              </w:rPr>
            </w:pPr>
          </w:p>
        </w:tc>
      </w:tr>
    </w:tbl>
    <w:p>
      <w:pPr>
        <w:sectPr>
          <w:pgSz w:w="11900" w:h="16838" w:orient="portrait"/>
          <w:cols w:equalWidth="0" w:num="1">
            <w:col w:w="10219"/>
          </w:cols>
          <w:pgMar w:left="240" w:top="142" w:right="1440" w:bottom="0" w:gutter="0" w:footer="0" w:header="0"/>
        </w:sectPr>
      </w:pPr>
    </w:p>
    <w:bookmarkStart w:id="5" w:name="page6"/>
    <w:bookmarkEnd w:id="5"/>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 (See also Item 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our knowledge and belief, we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9, 2004</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Franklin Resources,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Charles B. Johnson</w:t>
      </w:r>
    </w:p>
    <w:p>
      <w:pPr>
        <w:jc w:val="center"/>
        <w:ind w:right="1779"/>
        <w:spacing w:after="0"/>
        <w:rPr>
          <w:sz w:val="20"/>
          <w:szCs w:val="20"/>
          <w:color w:val="auto"/>
        </w:rPr>
      </w:pPr>
      <w:r>
        <w:rPr>
          <w:rFonts w:ascii="Courier New" w:cs="Courier New" w:eastAsia="Courier New" w:hAnsi="Courier New"/>
          <w:sz w:val="18"/>
          <w:szCs w:val="18"/>
          <w:color w:val="auto"/>
        </w:rPr>
        <w:t>Rupert H. Johnson, Jr.</w:t>
      </w:r>
    </w:p>
    <w:p>
      <w:pPr>
        <w:jc w:val="center"/>
        <w:ind w:right="1879"/>
        <w:spacing w:after="0" w:line="237" w:lineRule="auto"/>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/s/BARBARA J. GREEN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Barbara J. Green</w:t>
      </w:r>
    </w:p>
    <w:p>
      <w:pPr>
        <w:ind w:left="420"/>
        <w:spacing w:after="0" w:line="237" w:lineRule="auto"/>
        <w:rPr>
          <w:sz w:val="20"/>
          <w:szCs w:val="20"/>
          <w:color w:val="auto"/>
        </w:rPr>
      </w:pPr>
      <w:r>
        <w:rPr>
          <w:rFonts w:ascii="Courier New" w:cs="Courier New" w:eastAsia="Courier New" w:hAnsi="Courier New"/>
          <w:sz w:val="18"/>
          <w:szCs w:val="18"/>
          <w:color w:val="auto"/>
        </w:rPr>
        <w:t>Vice President, Deputy General Counsel,</w:t>
      </w:r>
    </w:p>
    <w:p>
      <w:pPr>
        <w:ind w:left="420"/>
        <w:spacing w:after="0" w:line="238" w:lineRule="auto"/>
        <w:rPr>
          <w:sz w:val="20"/>
          <w:szCs w:val="20"/>
          <w:color w:val="auto"/>
        </w:rPr>
      </w:pPr>
      <w:r>
        <w:rPr>
          <w:rFonts w:ascii="Courier New" w:cs="Courier New" w:eastAsia="Courier New" w:hAnsi="Courier New"/>
          <w:sz w:val="18"/>
          <w:szCs w:val="18"/>
          <w:color w:val="auto"/>
        </w:rPr>
        <w:t>and Secretary, Franklin Resources, Inc.</w:t>
      </w:r>
    </w:p>
    <w:p>
      <w:pPr>
        <w:spacing w:after="0" w:line="208"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Secretary, Franklin Advisers,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 February 9, 2004.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37" w:lineRule="auto"/>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/s/BARBARA J. GREEN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Barbara J. Green</w:t>
      </w:r>
    </w:p>
    <w:p>
      <w:pPr>
        <w:ind w:left="420"/>
        <w:spacing w:after="0" w:line="237" w:lineRule="auto"/>
        <w:rPr>
          <w:sz w:val="20"/>
          <w:szCs w:val="20"/>
          <w:color w:val="auto"/>
        </w:rPr>
      </w:pPr>
      <w:r>
        <w:rPr>
          <w:rFonts w:ascii="Courier New" w:cs="Courier New" w:eastAsia="Courier New" w:hAnsi="Courier New"/>
          <w:sz w:val="18"/>
          <w:szCs w:val="18"/>
          <w:color w:val="auto"/>
        </w:rPr>
        <w:t>Vice President, Deputy General Counsel,</w:t>
      </w:r>
    </w:p>
    <w:p>
      <w:pPr>
        <w:ind w:left="420"/>
        <w:spacing w:after="0" w:line="238" w:lineRule="auto"/>
        <w:rPr>
          <w:sz w:val="20"/>
          <w:szCs w:val="20"/>
          <w:color w:val="auto"/>
        </w:rPr>
      </w:pPr>
      <w:r>
        <w:rPr>
          <w:rFonts w:ascii="Courier New" w:cs="Courier New" w:eastAsia="Courier New" w:hAnsi="Courier New"/>
          <w:sz w:val="18"/>
          <w:szCs w:val="18"/>
          <w:color w:val="auto"/>
        </w:rPr>
        <w:t>and Secretary, Franklin Resources, Inc.</w:t>
      </w:r>
    </w:p>
    <w:p>
      <w:pPr>
        <w:spacing w:after="0" w:line="208"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ectPr>
          <w:pgSz w:w="11900" w:h="16838" w:orient="portrait"/>
          <w:cols w:equalWidth="0" w:num="1">
            <w:col w:w="10219"/>
          </w:cols>
          <w:pgMar w:left="240" w:top="136" w:right="1440" w:bottom="0" w:gutter="0" w:footer="0" w:header="0"/>
        </w:sectPr>
      </w:pPr>
    </w:p>
    <w:bookmarkStart w:id="6" w:name="page7"/>
    <w:bookmarkEnd w:id="6"/>
    <w:p>
      <w:pPr>
        <w:ind w:right="251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Franklin Advisers,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CHARLES B. JOHNSON hereby appoints BARBARA J. GREEN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RUPERT H. JOHNSON, JR. hereby appoints BARBARA J. GREEN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p>
      <w:pPr>
        <w:spacing w:after="0" w:line="238" w:lineRule="auto"/>
        <w:rPr>
          <w:sz w:val="20"/>
          <w:szCs w:val="20"/>
          <w:color w:val="auto"/>
        </w:rPr>
      </w:pPr>
      <w:r>
        <w:rPr>
          <w:rFonts w:ascii="Courier New" w:cs="Courier New" w:eastAsia="Courier New" w:hAnsi="Courier New"/>
          <w:sz w:val="18"/>
          <w:szCs w:val="18"/>
          <w:color w:val="auto"/>
        </w:rPr>
        <w:t>- -------------------------</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lvl w:ilvl="1">
      <w:lvlJc w:val="left"/>
      <w:lvlText w:val="%2"/>
      <w:numFmt w:val="upperLetter"/>
      <w:start w:val="1"/>
    </w:lvl>
  </w:abstractNum>
  <w:abstractNum w:abstractNumId="1">
    <w:nsid w:val="1BEFD79F"/>
    <w:multiLevelType w:val="hybridMultilevel"/>
    <w:lvl w:ilvl="0">
      <w:lvlJc w:val="left"/>
      <w:lvlText w:val="%1."/>
      <w:numFmt w:val="decimal"/>
      <w:start w:val="2"/>
    </w:lvl>
    <w:lvl w:ilvl="1">
      <w:lvlJc w:val="left"/>
      <w:lvlText w:val="(%2)"/>
      <w:numFmt w:val="lowerLetter"/>
      <w:start w:val="1"/>
    </w:lvl>
  </w:abstractNum>
  <w:abstractNum w:abstractNumId="2">
    <w:nsid w:val="41A7C4C9"/>
    <w:multiLevelType w:val="hybridMultilevel"/>
    <w:lvl w:ilvl="0">
      <w:lvlJc w:val="left"/>
      <w:lvlText w:val="%1"/>
      <w:numFmt w:val="decimal"/>
      <w:start w:val="1"/>
    </w:lvl>
    <w:lvl w:ilvl="1">
      <w:lvlJc w:val="left"/>
      <w:lvlText w:val="%2."/>
      <w:numFmt w:val="decimal"/>
      <w:start w:val="5"/>
    </w:lvl>
  </w:abstractNum>
  <w:abstractNum w:abstractNumId="3">
    <w:nsid w:val="6B68079A"/>
    <w:multiLevelType w:val="hybridMultilevel"/>
    <w:lvl w:ilvl="0">
      <w:lvlJc w:val="left"/>
      <w:lvlText w:val="%1."/>
      <w:numFmt w:val="decimal"/>
      <w:start w:val="9"/>
    </w:lvl>
    <w:lvl w:ilvl="1">
      <w:lvlJc w:val="left"/>
      <w:lvlText w:val="%2"/>
      <w:numFmt w:val="decimal"/>
      <w:start w:val="1"/>
    </w:lvl>
  </w:abstractNum>
  <w:abstractNum w:abstractNumId="4">
    <w:nsid w:val="4E6AFB66"/>
    <w:multiLevelType w:val="hybridMultilevel"/>
    <w:lvl w:ilvl="0">
      <w:lvlJc w:val="left"/>
      <w:lvlText w:val="%1."/>
      <w:numFmt w:val="decimal"/>
      <w:start w:val="10"/>
    </w:lvl>
  </w:abstractNum>
  <w:abstractNum w:abstractNumId="5">
    <w:nsid w:val="25E45D32"/>
    <w:multiLevelType w:val="hybridMultilevel"/>
    <w:lvl w:ilvl="0">
      <w:lvlJc w:val="left"/>
      <w:lvlText w:val="%1."/>
      <w:numFmt w:val="decimal"/>
      <w:start w:val="1"/>
    </w:lvl>
    <w:lvl w:ilvl="1">
      <w:lvlJc w:val="left"/>
      <w:lvlText w:val="%2"/>
      <w:numFmt w:val="upperLetter"/>
      <w:start w:val="1"/>
    </w:lvl>
  </w:abstractNum>
  <w:abstractNum w:abstractNumId="6">
    <w:nsid w:val="519B500D"/>
    <w:multiLevelType w:val="hybridMultilevel"/>
    <w:lvl w:ilvl="0">
      <w:lvlJc w:val="left"/>
      <w:lvlText w:val="%1."/>
      <w:numFmt w:val="decimal"/>
      <w:start w:val="2"/>
    </w:lvl>
    <w:lvl w:ilvl="1">
      <w:lvlJc w:val="left"/>
      <w:lvlText w:val="(%2)"/>
      <w:numFmt w:val="lowerLetter"/>
      <w:start w:val="1"/>
    </w:lvl>
  </w:abstractNum>
  <w:abstractNum w:abstractNumId="7">
    <w:nsid w:val="431BD7B7"/>
    <w:multiLevelType w:val="hybridMultilevel"/>
    <w:lvl w:ilvl="0">
      <w:lvlJc w:val="left"/>
      <w:lvlText w:val="%1"/>
      <w:numFmt w:val="decimal"/>
      <w:start w:val="1"/>
    </w:lvl>
    <w:lvl w:ilvl="1">
      <w:lvlJc w:val="left"/>
      <w:lvlText w:val="%2."/>
      <w:numFmt w:val="decimal"/>
      <w:start w:val="5"/>
    </w:lvl>
  </w:abstractNum>
  <w:abstractNum w:abstractNumId="8">
    <w:nsid w:val="3F2DBA31"/>
    <w:multiLevelType w:val="hybridMultilevel"/>
    <w:lvl w:ilvl="0">
      <w:lvlJc w:val="left"/>
      <w:lvlText w:val="%1."/>
      <w:numFmt w:val="decimal"/>
      <w:start w:val="9"/>
    </w:lvl>
    <w:lvl w:ilvl="1">
      <w:lvlJc w:val="left"/>
      <w:lvlText w:val="%2"/>
      <w:numFmt w:val="decimal"/>
      <w:start w:val="1"/>
    </w:lvl>
  </w:abstractNum>
  <w:abstractNum w:abstractNumId="9">
    <w:nsid w:val="7C83E458"/>
    <w:multiLevelType w:val="hybridMultilevel"/>
    <w:lvl w:ilvl="0">
      <w:lvlJc w:val="left"/>
      <w:lvlText w:val="%1."/>
      <w:numFmt w:val="decimal"/>
      <w:start w:val="1"/>
    </w:lvl>
    <w:lvl w:ilvl="1">
      <w:lvlJc w:val="left"/>
      <w:lvlText w:val="%2"/>
      <w:numFmt w:val="upperLetter"/>
      <w:start w:val="1"/>
    </w:lvl>
  </w:abstractNum>
  <w:abstractNum w:abstractNumId="10">
    <w:nsid w:val="257130A3"/>
    <w:multiLevelType w:val="hybridMultilevel"/>
    <w:lvl w:ilvl="0">
      <w:lvlJc w:val="left"/>
      <w:lvlText w:val="%1."/>
      <w:numFmt w:val="decimal"/>
      <w:start w:val="2"/>
    </w:lvl>
    <w:lvl w:ilvl="1">
      <w:lvlJc w:val="left"/>
      <w:lvlText w:val="(%2)"/>
      <w:numFmt w:val="lowerLetter"/>
      <w:start w:val="1"/>
    </w:lvl>
  </w:abstractNum>
  <w:abstractNum w:abstractNumId="11">
    <w:nsid w:val="62BBD95A"/>
    <w:multiLevelType w:val="hybridMultilevel"/>
    <w:lvl w:ilvl="0">
      <w:lvlJc w:val="left"/>
      <w:lvlText w:val="%1."/>
      <w:numFmt w:val="decimal"/>
      <w:start w:val="3"/>
    </w:lvl>
  </w:abstractNum>
  <w:abstractNum w:abstractNumId="12">
    <w:nsid w:val="436C6125"/>
    <w:multiLevelType w:val="hybridMultilevel"/>
    <w:lvl w:ilvl="0">
      <w:lvlJc w:val="left"/>
      <w:lvlText w:val="%1"/>
      <w:numFmt w:val="decimal"/>
      <w:start w:val="1"/>
    </w:lvl>
    <w:lvl w:ilvl="1">
      <w:lvlJc w:val="left"/>
      <w:lvlText w:val="%2."/>
      <w:numFmt w:val="decimal"/>
      <w:start w:val="5"/>
    </w:lvl>
  </w:abstractNum>
  <w:abstractNum w:abstractNumId="13">
    <w:nsid w:val="628C895D"/>
    <w:multiLevelType w:val="hybridMultilevel"/>
    <w:lvl w:ilvl="0">
      <w:lvlJc w:val="left"/>
      <w:lvlText w:val="%1."/>
      <w:numFmt w:val="decimal"/>
      <w:start w:val="9"/>
    </w:lvl>
    <w:lvl w:ilvl="1">
      <w:lvlJc w:val="left"/>
      <w:lvlText w:val="%2"/>
      <w:numFmt w:val="decimal"/>
      <w:start w:val="1"/>
    </w:lvl>
  </w:abstractNum>
  <w:abstractNum w:abstractNumId="14">
    <w:nsid w:val="333AB105"/>
    <w:multiLevelType w:val="hybridMultilevel"/>
    <w:lvl w:ilvl="0">
      <w:lvlJc w:val="left"/>
      <w:lvlText w:val="%1."/>
      <w:numFmt w:val="decimal"/>
      <w:start w:val="1"/>
    </w:lvl>
    <w:lvl w:ilvl="1">
      <w:lvlJc w:val="left"/>
      <w:lvlText w:val="%2"/>
      <w:numFmt w:val="upperLetter"/>
      <w:start w:val="1"/>
    </w:lvl>
  </w:abstractNum>
  <w:abstractNum w:abstractNumId="15">
    <w:nsid w:val="721DA317"/>
    <w:multiLevelType w:val="hybridMultilevel"/>
    <w:lvl w:ilvl="0">
      <w:lvlJc w:val="left"/>
      <w:lvlText w:val="%1."/>
      <w:numFmt w:val="decimal"/>
      <w:start w:val="2"/>
    </w:lvl>
    <w:lvl w:ilvl="1">
      <w:lvlJc w:val="left"/>
      <w:lvlText w:val="(%2)"/>
      <w:numFmt w:val="lowerLetter"/>
      <w:start w:val="1"/>
    </w:lvl>
  </w:abstractNum>
  <w:abstractNum w:abstractNumId="16">
    <w:nsid w:val="2443A858"/>
    <w:multiLevelType w:val="hybridMultilevel"/>
    <w:lvl w:ilvl="0">
      <w:lvlJc w:val="left"/>
      <w:lvlText w:val="%1"/>
      <w:numFmt w:val="decimal"/>
      <w:start w:val="1"/>
    </w:lvl>
    <w:lvl w:ilvl="1">
      <w:lvlJc w:val="left"/>
      <w:lvlText w:val="%2."/>
      <w:numFmt w:val="decimal"/>
      <w:start w:val="5"/>
    </w:lvl>
  </w:abstractNum>
  <w:abstractNum w:abstractNumId="17">
    <w:nsid w:val="2D1D5AE9"/>
    <w:multiLevelType w:val="hybridMultilevel"/>
    <w:lvl w:ilvl="0">
      <w:lvlJc w:val="left"/>
      <w:lvlText w:val="%1."/>
      <w:numFmt w:val="decimal"/>
      <w:start w:val="6"/>
    </w:lvl>
    <w:lvl w:ilvl="1">
      <w:lvlJc w:val="left"/>
      <w:lvlText w:val="%2"/>
      <w:numFmt w:val="decimal"/>
      <w:start w:val="1"/>
    </w:lvl>
  </w:abstractNum>
  <w:abstractNum w:abstractNumId="18">
    <w:nsid w:val="6763845E"/>
    <w:multiLevelType w:val="hybridMultilevel"/>
    <w:lvl w:ilvl="0">
      <w:lvlJc w:val="left"/>
      <w:lvlText w:val="%1"/>
      <w:numFmt w:val="decimal"/>
      <w:start w:val="1"/>
    </w:lvl>
    <w:lvl w:ilvl="1">
      <w:lvlJc w:val="left"/>
      <w:lvlText w:val="%2."/>
      <w:numFmt w:val="decimal"/>
      <w:start w:val="7"/>
    </w:lvl>
  </w:abstractNum>
  <w:abstractNum w:abstractNumId="19">
    <w:nsid w:val="75A2A8D4"/>
    <w:multiLevelType w:val="hybridMultilevel"/>
    <w:lvl w:ilvl="0">
      <w:lvlJc w:val="left"/>
      <w:lvlText w:val="%1."/>
      <w:numFmt w:val="decimal"/>
      <w:start w:val="9"/>
    </w:lvl>
    <w:lvl w:ilvl="1">
      <w:lvlJc w:val="left"/>
      <w:lvlText w:val="%2"/>
      <w:numFmt w:val="decimal"/>
      <w:start w:val="1"/>
    </w:lvl>
  </w:abstractNum>
  <w:abstractNum w:abstractNumId="20">
    <w:nsid w:val="8EDBDAB"/>
    <w:multiLevelType w:val="hybridMultilevel"/>
    <w:lvl w:ilvl="0">
      <w:lvlJc w:val="left"/>
      <w:lvlText w:val="%1."/>
      <w:numFmt w:val="decimal"/>
      <w:start w:val="10"/>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lowerLetter"/>
      <w:start w:val="1"/>
    </w:lvl>
    <w:lvl w:ilvl="1">
      <w:lvlJc w:val="left"/>
      <w:lvlText w:val="(%2)"/>
      <w:numFmt w:val="lowerLetter"/>
      <w:start w:val="35"/>
    </w:lvl>
  </w:abstractNum>
  <w:abstractNum w:abstractNumId="24">
    <w:nsid w:val="189A769B"/>
    <w:multiLevelType w:val="hybridMultilevel"/>
    <w:lvl w:ilvl="0">
      <w:lvlJc w:val="left"/>
      <w:lvlText w:val="(%1)"/>
      <w:numFmt w:val="lowerLetter"/>
      <w:start w:val="4"/>
    </w:lvl>
    <w:lvl w:ilvl="1">
      <w:lvlJc w:val="left"/>
      <w:lvlText w:val="%2"/>
      <w:numFmt w:val="lowerLetter"/>
      <w:start w:val="1"/>
    </w:lvl>
  </w:abstractNum>
  <w:abstractNum w:abstractNumId="25">
    <w:nsid w:val="54E49EB4"/>
    <w:multiLevelType w:val="hybridMultilevel"/>
    <w:lvl w:ilvl="0">
      <w:lvlJc w:val="left"/>
      <w:lvlText w:val="(%1)"/>
      <w:numFmt w:val="lowerLetter"/>
      <w:start w:val="5"/>
    </w:lvl>
  </w:abstractNum>
  <w:abstractNum w:abstractNumId="26">
    <w:nsid w:val="71F32454"/>
    <w:multiLevelType w:val="hybridMultilevel"/>
    <w:lvl w:ilvl="0">
      <w:lvlJc w:val="left"/>
      <w:lvlText w:val="(%1)"/>
      <w:numFmt w:val="lowerLetter"/>
      <w:start w:val="1"/>
    </w:lvl>
    <w:lvl w:ilvl="1">
      <w:lvlJc w:val="left"/>
      <w:lvlText w:val="(%2)"/>
      <w:numFmt w:val="lowerLetter"/>
      <w:start w:val="9"/>
    </w:lvl>
  </w:abstractNum>
  <w:abstractNum w:abstractNumId="27">
    <w:nsid w:val="2CA88611"/>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2019-12-19T20:19:37Z</dcterms:created>
  <dcterms:modified xsi:type="dcterms:W3CDTF">2019-12-19T20:19:37Z</dcterms:modified>
</cp:coreProperties>
</file>