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ind w:left="29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Subject Company (Issuer))</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DESIGNS, INC. (Offeror/Issuer)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(Name of Filing Persons (Identifying Status as Offeror, Issuer or Other Person))</w:t>
      </w:r>
    </w:p>
    <w:p>
      <w:pPr>
        <w:spacing w:after="0" w:line="218"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25057L10</w:t>
      </w:r>
    </w:p>
    <w:p>
      <w:pPr>
        <w:jc w:val="center"/>
        <w:ind w:right="165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Dennis Hernreich</w:t>
      </w:r>
    </w:p>
    <w:p>
      <w:pPr>
        <w:jc w:val="center"/>
        <w:ind w:right="1659"/>
        <w:spacing w:after="0" w:line="238" w:lineRule="auto"/>
        <w:rPr>
          <w:sz w:val="20"/>
          <w:szCs w:val="20"/>
          <w:color w:val="auto"/>
        </w:rPr>
      </w:pPr>
      <w:r>
        <w:rPr>
          <w:rFonts w:ascii="Courier New" w:cs="Courier New" w:eastAsia="Courier New" w:hAnsi="Courier New"/>
          <w:sz w:val="18"/>
          <w:szCs w:val="18"/>
          <w:color w:val="auto"/>
        </w:rPr>
        <w:t>c/o Designs, Inc.</w:t>
      </w:r>
    </w:p>
    <w:p>
      <w:pPr>
        <w:jc w:val="center"/>
        <w:ind w:right="1659"/>
        <w:spacing w:after="0"/>
        <w:rPr>
          <w:sz w:val="20"/>
          <w:szCs w:val="20"/>
          <w:color w:val="auto"/>
        </w:rPr>
      </w:pPr>
      <w:r>
        <w:rPr>
          <w:rFonts w:ascii="Courier New" w:cs="Courier New" w:eastAsia="Courier New" w:hAnsi="Courier New"/>
          <w:sz w:val="18"/>
          <w:szCs w:val="18"/>
          <w:color w:val="auto"/>
        </w:rPr>
        <w:t>66 B Street</w:t>
      </w:r>
    </w:p>
    <w:p>
      <w:pPr>
        <w:jc w:val="center"/>
        <w:ind w:right="1779"/>
        <w:spacing w:after="0" w:line="237" w:lineRule="auto"/>
        <w:rPr>
          <w:sz w:val="20"/>
          <w:szCs w:val="20"/>
          <w:color w:val="auto"/>
        </w:rPr>
      </w:pPr>
      <w:r>
        <w:rPr>
          <w:rFonts w:ascii="Courier New" w:cs="Courier New" w:eastAsia="Courier New" w:hAnsi="Courier New"/>
          <w:sz w:val="18"/>
          <w:szCs w:val="18"/>
          <w:color w:val="auto"/>
        </w:rPr>
        <w:t>Needham, Massachusetts 02494</w:t>
      </w:r>
    </w:p>
    <w:p>
      <w:pPr>
        <w:jc w:val="center"/>
        <w:ind w:right="1779"/>
        <w:spacing w:after="0" w:line="238" w:lineRule="auto"/>
        <w:rPr>
          <w:sz w:val="20"/>
          <w:szCs w:val="20"/>
          <w:color w:val="auto"/>
        </w:rPr>
      </w:pPr>
      <w:r>
        <w:rPr>
          <w:rFonts w:ascii="Courier New" w:cs="Courier New" w:eastAsia="Courier New" w:hAnsi="Courier New"/>
          <w:sz w:val="18"/>
          <w:szCs w:val="18"/>
          <w:color w:val="auto"/>
        </w:rPr>
        <w:t>(781) 444-7222</w:t>
      </w:r>
    </w:p>
    <w:p>
      <w:pPr>
        <w:jc w:val="center"/>
        <w:ind w:right="1659"/>
        <w:spacing w:after="0"/>
        <w:rPr>
          <w:sz w:val="20"/>
          <w:szCs w:val="20"/>
          <w:color w:val="auto"/>
        </w:rPr>
      </w:pPr>
      <w:r>
        <w:rPr>
          <w:rFonts w:ascii="Courier New" w:cs="Courier New" w:eastAsia="Courier New" w:hAnsi="Courier New"/>
          <w:sz w:val="18"/>
          <w:szCs w:val="18"/>
          <w:color w:val="auto"/>
        </w:rPr>
        <w:t>(Name, Address and Telephone Number of Person Authorized to Receive Notices</w:t>
      </w:r>
    </w:p>
    <w:p>
      <w:pPr>
        <w:jc w:val="center"/>
        <w:ind w:right="1659"/>
        <w:spacing w:after="0" w:line="237" w:lineRule="auto"/>
        <w:rPr>
          <w:sz w:val="20"/>
          <w:szCs w:val="20"/>
          <w:color w:val="auto"/>
        </w:rPr>
      </w:pPr>
      <w:r>
        <w:rPr>
          <w:rFonts w:ascii="Courier New" w:cs="Courier New" w:eastAsia="Courier New" w:hAnsi="Courier New"/>
          <w:sz w:val="18"/>
          <w:szCs w:val="18"/>
          <w:color w:val="auto"/>
        </w:rPr>
        <w:t>and Communications on Behalf of Filing Persons)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Peter G. Smith, Esq.</w:t>
      </w:r>
    </w:p>
    <w:p>
      <w:pPr>
        <w:ind w:left="2440"/>
        <w:spacing w:after="0" w:line="238" w:lineRule="auto"/>
        <w:rPr>
          <w:sz w:val="20"/>
          <w:szCs w:val="20"/>
          <w:color w:val="auto"/>
        </w:rPr>
      </w:pPr>
      <w:r>
        <w:rPr>
          <w:rFonts w:ascii="Courier New" w:cs="Courier New" w:eastAsia="Courier New" w:hAnsi="Courier New"/>
          <w:sz w:val="18"/>
          <w:szCs w:val="18"/>
          <w:color w:val="auto"/>
        </w:rPr>
        <w:t>Kramer Levin Naftalis &amp; Frankel LLP</w:t>
      </w:r>
    </w:p>
    <w:p>
      <w:pPr>
        <w:ind w:left="3380"/>
        <w:spacing w:after="0"/>
        <w:rPr>
          <w:sz w:val="20"/>
          <w:szCs w:val="20"/>
          <w:color w:val="auto"/>
        </w:rPr>
      </w:pPr>
      <w:r>
        <w:rPr>
          <w:rFonts w:ascii="Courier New" w:cs="Courier New" w:eastAsia="Courier New" w:hAnsi="Courier New"/>
          <w:sz w:val="18"/>
          <w:szCs w:val="18"/>
          <w:color w:val="auto"/>
        </w:rPr>
        <w:t>919 Third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4120" w:hanging="636"/>
        <w:spacing w:after="0" w:line="238" w:lineRule="auto"/>
        <w:tabs>
          <w:tab w:leader="none" w:pos="41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715-9100</w:t>
      </w:r>
    </w:p>
    <w:p>
      <w:pPr>
        <w:ind w:left="2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640" w:right="1999" w:hanging="631"/>
        <w:spacing w:after="0" w:line="235" w:lineRule="auto"/>
        <w:tabs>
          <w:tab w:leader="none" w:pos="6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20"/>
                <w:szCs w:val="20"/>
                <w:color w:val="auto"/>
              </w:rPr>
            </w:pPr>
            <w:r>
              <w:rPr>
                <w:rFonts w:ascii="Courier New" w:cs="Courier New" w:eastAsia="Courier New" w:hAnsi="Courier New"/>
                <w:sz w:val="18"/>
                <w:szCs w:val="18"/>
                <w:color w:val="auto"/>
              </w:rPr>
              <w:t>|_|</w:t>
            </w:r>
          </w:p>
        </w:tc>
        <w:tc>
          <w:tcPr>
            <w:tcW w:w="430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9"/>
              </w:rPr>
              <w:t>third-party tender offer subject to</w:t>
            </w: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Rule 14d-1.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|X|</w:t>
            </w:r>
          </w:p>
        </w:tc>
        <w:tc>
          <w:tcPr>
            <w:tcW w:w="43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issuer tender offer subject to Rule</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13e-4.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going-private transaction</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subject to</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Rule 13e-3.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3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amendment to Schedule 13D</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under Rule</w:t>
            </w: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13d-2.</w:t>
            </w:r>
          </w:p>
        </w:tc>
      </w:tr>
    </w:tbl>
    <w:p>
      <w:pPr>
        <w:spacing w:after="0" w:line="207"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|_|</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447" w:right="1440" w:bottom="1440" w:gutter="0" w:footer="0" w:header="0"/>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This Amendment No. 1 to Schedule TO amends and supplements the Tender Offer Statement on Schedule TO originally filed by Designs, Inc., a Delaware corporation (the "Company"), with the Securities and Exchange Commission (the "SEC") on November 15, 2000. This Amendment No. 1 to Schedule TO relates to the tender offer by the Company to purchase up to 1,500,000 shares of its common stock, par value $0.01 per share, or such lesser number of shares as are properly tendered and not properly withdrawn, at a price not greater than $3.00 nor less than $2.50 per share, net to the seller in cash, upon the terms and subject to the conditions set forth in the Offer to Purchase dated November 14, 2000 and the related Letter of Transmittal, which, as amended or supplemented from time to time, constitute the offer (the "Offer"). Except as amended and supplemented hereby, the Schedule TO filed by the Company on November 15, 2000 remains in effect.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of the Schedule TO is hereby amended and supplemented as follows:</w:t>
      </w:r>
    </w:p>
    <w:p>
      <w:pPr>
        <w:spacing w:after="0" w:line="207" w:lineRule="exact"/>
        <w:rPr>
          <w:sz w:val="20"/>
          <w:szCs w:val="20"/>
          <w:color w:val="auto"/>
        </w:rPr>
      </w:pPr>
    </w:p>
    <w:p>
      <w:pPr>
        <w:ind w:right="2319" w:firstLine="640"/>
        <w:spacing w:after="0" w:line="237" w:lineRule="auto"/>
        <w:tabs>
          <w:tab w:leader="none" w:pos="126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 As announced by press release dated December 18, 2000, the Company has extended the offer until 5:00 p.m., Eastern time, on Friday, December 22, 2000, which shall be the Expiration Date for the offer unless and until extended by the Company in its sole discretion. The offer, proration period and withdrawal rights will expire at that time, unless the offer is further extended.</w:t>
      </w:r>
    </w:p>
    <w:p>
      <w:pPr>
        <w:spacing w:after="0" w:line="204"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Range. The price range minimum has been increased from</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$2.20 to $2.50 per share. The Company will, upon the terms and subject to the conditions of the offer, determine a single per share price (not greater than $3.00 nor less than $2.50 per share), net to the seller in cash (the "Purchase Price"), that it will pay for shares validly tendered and not withdrawn pursuant to the offer, taking into account the number of shares so tendered and the prices specified by tendering stockholders. The Company will select the lowest Purchase Price that will allow it to buy 1,500,000 shares of its common stock validly tendered and not withdrawn pursuant to the offer (or such lesser number of shares as are validly tendered at prices not greater than $3.00 nor less than $2.50 per share, or were validly tendered prior to the date hereof at prices below $2.50 but not less than $2.20 per share).</w:t>
      </w:r>
    </w:p>
    <w:p>
      <w:pPr>
        <w:spacing w:after="0" w:line="210" w:lineRule="exact"/>
        <w:rPr>
          <w:sz w:val="20"/>
          <w:szCs w:val="20"/>
          <w:color w:val="auto"/>
        </w:rPr>
      </w:pPr>
    </w:p>
    <w:p>
      <w:pPr>
        <w:ind w:left="1280" w:hanging="640"/>
        <w:spacing w:after="0"/>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Proration. The Company understands that Rule 13e-4(f)(3)(ii)</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 would require it to accept all shares tendered unconditionally before accepting by lot shares tendered conditionally, and does not mean to suggest otherwise by the language of "Number of Shares; Proration--Priority" in the Offer to Purchase.</w:t>
      </w:r>
    </w:p>
    <w:p>
      <w:pPr>
        <w:spacing w:after="0" w:line="207" w:lineRule="exact"/>
        <w:rPr>
          <w:sz w:val="20"/>
          <w:szCs w:val="20"/>
          <w:color w:val="auto"/>
        </w:rPr>
      </w:pPr>
    </w:p>
    <w:p>
      <w:pPr>
        <w:ind w:right="1779" w:firstLine="640"/>
        <w:spacing w:after="0" w:line="237" w:lineRule="auto"/>
        <w:tabs>
          <w:tab w:leader="none" w:pos="126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Forward-Looking Statements. In connection with the "Disclosure Regarding Forward-Looking Statements" in the Offer to Purchase, the Company notes that the so-called "safe harbor" provisions of Section 27A of the Securities Act of 1933 and Section 21E of the Securities Exchange Act of 1934 do not apply to statements in connection with tender offers.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All offer conditions, other than necessary</w:t>
      </w:r>
    </w:p>
    <w:p>
      <w:pPr>
        <w:spacing w:after="0" w:line="4"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government approvals, must be satisfied or waived prior to the expiration of the offer. The Company will not assert any conditions to the offer after expiration.</w:t>
      </w:r>
    </w:p>
    <w:p>
      <w:pPr>
        <w:spacing w:after="0" w:line="170"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Following the definitive documentation of the agreed-upon amendment to the Company's credit facility, the Company anticipates no potential for a material adverse change in the availability of bank funding for the offer and deletes that reference in condition (4) under "Certain Conditions of the Offer" in the Offer to Purchase.</w:t>
      </w:r>
    </w:p>
    <w:p>
      <w:pPr>
        <w:sectPr>
          <w:pgSz w:w="11900" w:h="16838" w:orient="portrait"/>
          <w:cols w:equalWidth="0" w:num="1">
            <w:col w:w="10219"/>
          </w:cols>
          <w:pgMar w:left="240" w:top="717" w:right="1440" w:bottom="1440" w:gutter="0" w:footer="0" w:header="0"/>
        </w:sectPr>
      </w:pPr>
    </w:p>
    <w:bookmarkStart w:id="2" w:name="page3"/>
    <w:bookmarkEnd w:id="2"/>
    <w:p>
      <w:pPr>
        <w:ind w:right="1879" w:firstLine="1264"/>
        <w:spacing w:after="0" w:line="272" w:lineRule="auto"/>
        <w:rPr>
          <w:sz w:val="20"/>
          <w:szCs w:val="20"/>
          <w:color w:val="auto"/>
        </w:rPr>
      </w:pPr>
      <w:r>
        <w:rPr>
          <w:rFonts w:ascii="Courier New" w:cs="Courier New" w:eastAsia="Courier New" w:hAnsi="Courier New"/>
          <w:sz w:val="16"/>
          <w:szCs w:val="16"/>
          <w:color w:val="auto"/>
        </w:rPr>
        <w:t>The offer is subject to reasonable satisfaction of the stated conditions, and the Company is limited to reasonable discretion in determining whether any condition has been satisfied. Conditions (1) and (3) under "Certain Conditions of the Offer" in the Offer to Purchase are clarified to refer, in each case, to "the reasonable judgment of Designs, Inc." rather than "the sole judgment of Designs, Inc." Condition (4) is clarified to provide as follows:</w:t>
      </w:r>
    </w:p>
    <w:p>
      <w:pPr>
        <w:spacing w:after="0" w:line="186" w:lineRule="exact"/>
        <w:rPr>
          <w:sz w:val="20"/>
          <w:szCs w:val="20"/>
          <w:color w:val="auto"/>
        </w:rPr>
      </w:pPr>
    </w:p>
    <w:p>
      <w:pPr>
        <w:ind w:left="1280" w:right="3359"/>
        <w:spacing w:after="0" w:line="237" w:lineRule="auto"/>
        <w:rPr>
          <w:sz w:val="20"/>
          <w:szCs w:val="20"/>
          <w:color w:val="auto"/>
        </w:rPr>
      </w:pPr>
      <w:r>
        <w:rPr>
          <w:rFonts w:ascii="Courier New" w:cs="Courier New" w:eastAsia="Courier New" w:hAnsi="Courier New"/>
          <w:sz w:val="18"/>
          <w:szCs w:val="18"/>
          <w:color w:val="auto"/>
        </w:rPr>
        <w:t>"(4) any change shall occur or be threatened in the business, condition (financial or otherwise), income, operations or prospects of Designs, Inc. and its subsidiaries, taken as a whole, other than voluntary action by Designs, Inc., which in the reasonable judgment of Designs, Inc. is or may be material to the consummation of the offer or otherwise material to Designs, Inc. and its subsidiaries, taken as a whole; or"</w:t>
      </w:r>
    </w:p>
    <w:p>
      <w:pPr>
        <w:spacing w:after="0" w:line="214"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For purposes of Condition (3), the Company would consider a decrease of more than 20% in the market price of the Company's shares to be a "significant decrease".</w:t>
      </w:r>
    </w:p>
    <w:p>
      <w:pPr>
        <w:spacing w:after="0" w:line="203" w:lineRule="exact"/>
        <w:rPr>
          <w:sz w:val="20"/>
          <w:szCs w:val="20"/>
          <w:color w:val="auto"/>
        </w:rPr>
      </w:pPr>
    </w:p>
    <w:p>
      <w:pPr>
        <w:ind w:left="1280" w:hanging="640"/>
        <w:spacing w:after="0"/>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U.S. Federal Income Tax Consequences. The Company</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withdraws its statement in the last paragraph under "Certain U.S. Federal Income Tax Consequences" in the Offer to Purchase that the tax discussion set forth therein is "for general information only."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Past Contacts, Transactions, Negotiations and Agreements.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5 of the Schedule TO is hereby amended and supplemented as follows:</w:t>
      </w:r>
    </w:p>
    <w:p>
      <w:pPr>
        <w:spacing w:after="0" w:line="207" w:lineRule="exact"/>
        <w:rPr>
          <w:sz w:val="20"/>
          <w:szCs w:val="20"/>
          <w:color w:val="auto"/>
        </w:rPr>
      </w:pPr>
    </w:p>
    <w:p>
      <w:pPr>
        <w:ind w:right="1779" w:firstLine="640"/>
        <w:spacing w:after="0" w:line="269" w:lineRule="auto"/>
        <w:tabs>
          <w:tab w:leader="none" w:pos="12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Past Contracts. As discussed in the Offer to Purchase, Jewelcor Management Inc., the Company's largest stockholder, engaged in certain discussions with the then-management of the Company regarding a possible acquisition. After those discussions in the spring of 1999 ended without agreement, Jewelcor stated that in its opinion the Company had failed to comply with Jewelcor's conditions and requests and to provide all of the information Jewelcor sought in connection with its due diligence. The then-management of the Company disagreed and later stated that it believed that Jewelcor had not demonstrated sufficient progress in obtaining financing and other matters. Jewelcor took issue with that description. For the positions expressed, see Amendment No. 3 to Jewelcor's Schedule 14A with respect to Designs, Inc. filed with the SEC on September 3, 1999, especially pages 18-20, and Designs, Inc.'s Schedule 14A filed with the SEC on August 30, 1999, especially pages 20-22, which are incorporated by reference herein for their descriptions of contacts between Jewelcor and the Company regarding a possible acquisition. Reference is made to the entire text of such documents for information concerning contacts between Jewelcor and the Company regarding the election of directors. At the October 4, 1999 Annual Meeting of Stockholders of the Company, stockholders voted to replace the entire incumbent Board of the Company with a slate of nominees proposed by Jewelcor. Jewelcor did not reinitiate any acquisition proposal thereafter. Additional information regarding contacts concerning the Company's directors is found in the Company's Proxy Statement on Schedule 14A for its 2000 Annual Meeting of Stockholders, filed with the SEC on June 1, 2000, which is also incorporated by reference herein.</w:t>
      </w:r>
    </w:p>
    <w:p>
      <w:pPr>
        <w:spacing w:after="0" w:line="200" w:lineRule="exact"/>
        <w:rPr>
          <w:sz w:val="20"/>
          <w:szCs w:val="20"/>
          <w:color w:val="auto"/>
        </w:rPr>
      </w:pPr>
    </w:p>
    <w:p>
      <w:pPr>
        <w:spacing w:after="0" w:line="38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Purposes of the Transaction and Plans or Proposals.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6 of the Schedule TO is hereby amended and supplemented as follows:</w:t>
      </w:r>
    </w:p>
    <w:p>
      <w:pPr>
        <w:spacing w:after="0" w:line="201" w:lineRule="exact"/>
        <w:rPr>
          <w:sz w:val="20"/>
          <w:szCs w:val="20"/>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Background and Purpose of the Offer. The Company's beliefs,</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stated in the Offer to Purchase, that its shares are undervalued in the public market, that the offer is consistent with the long-</w:t>
      </w:r>
    </w:p>
    <w:p>
      <w:pPr>
        <w:sectPr>
          <w:pgSz w:w="11900" w:h="16838" w:orient="portrait"/>
          <w:cols w:equalWidth="0" w:num="1">
            <w:col w:w="10219"/>
          </w:cols>
          <w:pgMar w:left="240" w:top="723"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term corporate strategy of seeking to increase stock value, that there has been limited liquidity in the marketplace for the Company's stock and that small purchases or sales can cause significant fluctuations in the stock price, represent only the beliefs and opinions of the Company's management and should be taken as such. Those beliefs are based upon, among other things, the Company's review of the recent trading prices of the Company's stock, the volatility of such prices and their response to trading activity, higher stock prices prevailing at other times in the Company's history, and management's opinions of the future potential for the Company's performance. Stockholders should rely on their own consideration of these and other matters in determining whether, and at what price, to tender shares.</w:t>
      </w:r>
    </w:p>
    <w:p>
      <w:pPr>
        <w:spacing w:after="0" w:line="216" w:lineRule="exact"/>
        <w:rPr>
          <w:sz w:val="20"/>
          <w:szCs w:val="20"/>
          <w:color w:val="auto"/>
        </w:rPr>
      </w:pPr>
    </w:p>
    <w:p>
      <w:pPr>
        <w:ind w:right="1779" w:firstLine="640"/>
        <w:spacing w:after="0" w:line="237"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Effects of the Offer. If a total of 1,500,000 shares are purchased pursuant to the offer, constituting approximately 9.5% of the total shares outstanding, each stockholder's remaining equity interest in the Company will proportionately increase by approximately 10.5%. That will proportionately increase both earnings per share and losses per share. Further, stockholders who do not tender shares in the offer will hold shares of a company whose bank indebtedness has increased by up to approximately $4,765,000 (assuming that the maximum aggregate purchase price and all fees and expenses are financed by borrowings under the Company's credit facility). Finally, liquidity problems may increase as a result of the offer.</w:t>
      </w:r>
    </w:p>
    <w:p>
      <w:pPr>
        <w:spacing w:after="0" w:line="215" w:lineRule="exact"/>
        <w:rPr>
          <w:sz w:val="20"/>
          <w:szCs w:val="20"/>
          <w:color w:val="auto"/>
        </w:rPr>
      </w:pPr>
    </w:p>
    <w:p>
      <w:pPr>
        <w:ind w:right="2099" w:firstLine="1264"/>
        <w:spacing w:after="0" w:line="237" w:lineRule="auto"/>
        <w:rPr>
          <w:sz w:val="20"/>
          <w:szCs w:val="20"/>
          <w:color w:val="auto"/>
        </w:rPr>
      </w:pPr>
      <w:r>
        <w:rPr>
          <w:rFonts w:ascii="Courier New" w:cs="Courier New" w:eastAsia="Courier New" w:hAnsi="Courier New"/>
          <w:sz w:val="18"/>
          <w:szCs w:val="18"/>
          <w:color w:val="auto"/>
        </w:rPr>
        <w:t>The Company's Board of Directors determined to commence the offer last month because, among other things, the Company had just announced a significant agreement with the landlord of its executive offices, as well as results for the third quarter. The Board did not consider any alternatives to the offer, after the Company had earlier pursued a publicly announced market stock repurchase program.</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7 of the Schedule TO is hereby amended and supplemented as follows:</w:t>
      </w:r>
    </w:p>
    <w:p>
      <w:pPr>
        <w:spacing w:after="0" w:line="207" w:lineRule="exact"/>
        <w:rPr>
          <w:sz w:val="20"/>
          <w:szCs w:val="20"/>
          <w:color w:val="auto"/>
        </w:rPr>
      </w:pPr>
    </w:p>
    <w:p>
      <w:pPr>
        <w:ind w:right="1779" w:firstLine="640"/>
        <w:spacing w:after="0" w:line="269" w:lineRule="auto"/>
        <w:tabs>
          <w:tab w:leader="none" w:pos="126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Restatement of Credit Facility. As the Company announced on December 12, 2000, it has entered into a definitive Second Amended and Restated Loan and Security Agreement with Fleet Retail Finance Inc., dated as of December 7, 2000, which, among other things, completes the anticipated definitive documentation of the agreement in principle between the Company and Fleet referred to under "Source and Amount of Funds" and elsewhere in the Offer to Purchase. The amendment, among other things, confirmed the Company's ability to use funds for the purchase of its stock, including pursuant to the offer. The amendment also provided for an extension of the credit facility to November 30, 2003, reduced the borrowing costs and tied future interest costs to excess borrowing availability, eliminated all existing financial performance covenants and adopted a minimum availability covenant, increased the amount that can potentially be borrowed by increasing the advance rate formula to 68% of the Company's eligible inventory, and reduced the total commitment from $50 million to $45 million. Borrowings under this credit facility bear interest at variable rates based on FleetBoston, N.A.'s prime rate or the London Interbank Offering Rate ("LIBOR"). These interest rates at October 28, 2000 were 9.50% for prime and 8.90% for LIBOR. Based upon sensitivity analysis as of October 28, 2000, a 10% increase in interest rates would result in a potential loss to future earnings of approximately $168,000 on an annualized basis.</w:t>
      </w:r>
    </w:p>
    <w:p>
      <w:pPr>
        <w:spacing w:after="0" w:line="394" w:lineRule="exact"/>
        <w:rPr>
          <w:rFonts w:ascii="Courier New" w:cs="Courier New" w:eastAsia="Courier New" w:hAnsi="Courier New"/>
          <w:sz w:val="16"/>
          <w:szCs w:val="16"/>
          <w:color w:val="auto"/>
        </w:rPr>
      </w:pPr>
    </w:p>
    <w:p>
      <w:pPr>
        <w:ind w:right="1879" w:firstLine="640"/>
        <w:spacing w:after="0" w:line="237" w:lineRule="auto"/>
        <w:tabs>
          <w:tab w:leader="none" w:pos="126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Additional Information Regarding Bank Financing and Financial Statements. For additional information regarding the Company's bank financing, reference is made to the Company's Quarterly Report on Form 10-Q for the fiscal quarter ended October 28, 2000, filed with the SEC on December 12, 2000, and to the text of the Second Amended and Restated Loan and Security Agreement filed as Exhibit 10.12 to that Form 10-Q, both of which are incorporated by reference herein. That Form</w:t>
      </w:r>
    </w:p>
    <w:p>
      <w:pPr>
        <w:sectPr>
          <w:pgSz w:w="11900" w:h="16838" w:orient="portrait"/>
          <w:cols w:equalWidth="0" w:num="1">
            <w:col w:w="10219"/>
          </w:cols>
          <w:pgMar w:left="240" w:top="723" w:right="1440" w:bottom="1440" w:gutter="0" w:footer="0" w:header="0"/>
        </w:sectPr>
      </w:pPr>
    </w:p>
    <w:bookmarkStart w:id="4" w:name="page5"/>
    <w:bookmarkEnd w:id="4"/>
    <w:p>
      <w:pPr>
        <w:ind w:right="1779"/>
        <w:spacing w:after="0" w:line="268" w:lineRule="auto"/>
        <w:rPr>
          <w:sz w:val="20"/>
          <w:szCs w:val="20"/>
          <w:color w:val="auto"/>
        </w:rPr>
      </w:pPr>
      <w:r>
        <w:rPr>
          <w:rFonts w:ascii="Courier New" w:cs="Courier New" w:eastAsia="Courier New" w:hAnsi="Courier New"/>
          <w:sz w:val="16"/>
          <w:szCs w:val="16"/>
          <w:color w:val="auto"/>
        </w:rPr>
        <w:t>10-Q, as well as the Company's Annual Report on Form 10-K for the fiscal year ended January 29, 2000 (which is also incorporated by reference herein) include, at pages 2-4 and 6 of the Form 10-Q and at pages 11-27 through 30 of the Form</w:t>
      </w:r>
    </w:p>
    <w:p>
      <w:pPr>
        <w:spacing w:after="0" w:line="1"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10-K, certain audited and unaudited financial information regarding the Company, which the Company also specifically incorporates by reference in response to Item 10 of this Schedule TO.</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Financial Statements.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See Item 7 of this Schedule 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12. 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12 is hereby amended by adding the following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12(a)(1)(G)</w:t>
            </w:r>
          </w:p>
        </w:tc>
        <w:tc>
          <w:tcPr>
            <w:tcW w:w="1780" w:type="dxa"/>
            <w:vAlign w:val="bottom"/>
          </w:tcPr>
          <w:p>
            <w:pPr>
              <w:ind w:left="360"/>
              <w:spacing w:after="0"/>
              <w:rPr>
                <w:sz w:val="20"/>
                <w:szCs w:val="20"/>
                <w:color w:val="auto"/>
              </w:rPr>
            </w:pPr>
            <w:r>
              <w:rPr>
                <w:rFonts w:ascii="Courier New" w:cs="Courier New" w:eastAsia="Courier New" w:hAnsi="Courier New"/>
                <w:sz w:val="18"/>
                <w:szCs w:val="18"/>
                <w:color w:val="auto"/>
                <w:w w:val="99"/>
              </w:rPr>
              <w:t>Supplement to</w:t>
            </w:r>
          </w:p>
        </w:tc>
        <w:tc>
          <w:tcPr>
            <w:tcW w:w="502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Offer to Purchase dated December 18, 2000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12(b)(1)</w:t>
            </w:r>
          </w:p>
        </w:tc>
        <w:tc>
          <w:tcPr>
            <w:tcW w:w="30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Amended and Restated Loan</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and Security Agreement,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dated as of</w:t>
            </w:r>
          </w:p>
        </w:tc>
      </w:tr>
      <w:tr>
        <w:trPr>
          <w:trHeight w:val="203"/>
        </w:trPr>
        <w:tc>
          <w:tcPr>
            <w:tcW w:w="1540" w:type="dxa"/>
            <w:vAlign w:val="bottom"/>
          </w:tcPr>
          <w:p>
            <w:pPr>
              <w:spacing w:after="0"/>
              <w:rPr>
                <w:sz w:val="17"/>
                <w:szCs w:val="17"/>
                <w:color w:val="auto"/>
              </w:rPr>
            </w:pPr>
          </w:p>
        </w:tc>
        <w:tc>
          <w:tcPr>
            <w:tcW w:w="306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9"/>
              </w:rPr>
              <w:t>December 7, 2000, between</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Designs, Inc. and Fleet</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Retail</w:t>
            </w:r>
          </w:p>
        </w:tc>
      </w:tr>
      <w:tr>
        <w:trPr>
          <w:trHeight w:val="203"/>
        </w:trPr>
        <w:tc>
          <w:tcPr>
            <w:tcW w:w="1540" w:type="dxa"/>
            <w:vAlign w:val="bottom"/>
          </w:tcPr>
          <w:p>
            <w:pPr>
              <w:spacing w:after="0"/>
              <w:rPr>
                <w:sz w:val="17"/>
                <w:szCs w:val="17"/>
                <w:color w:val="auto"/>
              </w:rPr>
            </w:pP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Finance Inc.,</w:t>
            </w:r>
          </w:p>
        </w:tc>
        <w:tc>
          <w:tcPr>
            <w:tcW w:w="3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as agent for the Lenders identified</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therein</w:t>
            </w:r>
          </w:p>
        </w:tc>
      </w:tr>
      <w:tr>
        <w:trPr>
          <w:trHeight w:val="203"/>
        </w:trPr>
        <w:tc>
          <w:tcPr>
            <w:tcW w:w="1540" w:type="dxa"/>
            <w:vAlign w:val="bottom"/>
          </w:tcPr>
          <w:p>
            <w:pPr>
              <w:spacing w:after="0"/>
              <w:rPr>
                <w:sz w:val="17"/>
                <w:szCs w:val="17"/>
                <w:color w:val="auto"/>
              </w:rPr>
            </w:pPr>
          </w:p>
        </w:tc>
        <w:tc>
          <w:tcPr>
            <w:tcW w:w="680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w w:val="97"/>
              </w:rPr>
              <w:t>(included as Exhibit 10.12 to Designs, Inc.'s Form 10-Q dated</w:t>
            </w:r>
          </w:p>
        </w:tc>
      </w:tr>
      <w:tr>
        <w:trPr>
          <w:trHeight w:val="203"/>
        </w:trPr>
        <w:tc>
          <w:tcPr>
            <w:tcW w:w="1540" w:type="dxa"/>
            <w:vAlign w:val="bottom"/>
          </w:tcPr>
          <w:p>
            <w:pPr>
              <w:spacing w:after="0"/>
              <w:rPr>
                <w:sz w:val="17"/>
                <w:szCs w:val="17"/>
                <w:color w:val="auto"/>
              </w:rPr>
            </w:pPr>
          </w:p>
        </w:tc>
        <w:tc>
          <w:tcPr>
            <w:tcW w:w="6800" w:type="dxa"/>
            <w:vAlign w:val="bottom"/>
            <w:gridSpan w:val="4"/>
          </w:tcPr>
          <w:p>
            <w:pPr>
              <w:ind w:left="360"/>
              <w:spacing w:after="0" w:line="203" w:lineRule="exact"/>
              <w:rPr>
                <w:sz w:val="20"/>
                <w:szCs w:val="20"/>
                <w:color w:val="auto"/>
              </w:rPr>
            </w:pPr>
            <w:r>
              <w:rPr>
                <w:rFonts w:ascii="Courier New" w:cs="Courier New" w:eastAsia="Courier New" w:hAnsi="Courier New"/>
                <w:sz w:val="18"/>
                <w:szCs w:val="18"/>
                <w:color w:val="auto"/>
              </w:rPr>
              <w:t>December 12, 2000 and incorporated herein by reference)</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99.1</w:t>
            </w: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Press Release</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Designs,</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Inc. dated December 15,</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99.2</w:t>
            </w:r>
          </w:p>
        </w:tc>
        <w:tc>
          <w:tcPr>
            <w:tcW w:w="1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Press Release</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Designs,</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Inc. dated December 18,</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bl>
    <w:p>
      <w:pPr>
        <w:sectPr>
          <w:pgSz w:w="11900" w:h="16838" w:orient="portrait"/>
          <w:cols w:equalWidth="0" w:num="1">
            <w:col w:w="10219"/>
          </w:cols>
          <w:pgMar w:left="240" w:top="723" w:right="1440" w:bottom="1440" w:gutter="0" w:footer="0" w:header="0"/>
        </w:sectPr>
      </w:pPr>
    </w:p>
    <w:bookmarkStart w:id="5" w:name="page6"/>
    <w:bookmarkEnd w:id="5"/>
    <w:p>
      <w:pPr>
        <w:ind w:right="1999" w:firstLine="1159"/>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December 18, 2000</w:t>
      </w:r>
    </w:p>
    <w:p>
      <w:pPr>
        <w:spacing w:after="0" w:line="201"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By: /s/ DENNIS HERNREICH</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Hernreich</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Title: Senior Vice President and</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925" w:right="1440" w:bottom="1440" w:gutter="0" w:footer="0" w:header="0"/>
        </w:sectPr>
      </w:pPr>
    </w:p>
    <w:bookmarkStart w:id="6" w:name="page7"/>
    <w:bookmarkEnd w:id="6"/>
    <w:p>
      <w:pPr>
        <w:jc w:val="center"/>
        <w:ind w:right="1779"/>
        <w:spacing w:after="0"/>
        <w:rPr>
          <w:sz w:val="20"/>
          <w:szCs w:val="20"/>
          <w:color w:val="auto"/>
        </w:rPr>
      </w:pPr>
      <w:r>
        <w:rPr>
          <w:rFonts w:ascii="Courier New" w:cs="Courier New" w:eastAsia="Courier New" w:hAnsi="Courier New"/>
          <w:sz w:val="18"/>
          <w:szCs w:val="18"/>
          <w:color w:val="auto"/>
        </w:rPr>
        <w:t>Supplement dated December 18, 2000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w:t>
      </w:r>
    </w:p>
    <w:p>
      <w:pPr>
        <w:jc w:val="center"/>
        <w:ind w:right="1779"/>
        <w:spacing w:after="0"/>
        <w:rPr>
          <w:sz w:val="20"/>
          <w:szCs w:val="20"/>
          <w:color w:val="auto"/>
        </w:rPr>
      </w:pPr>
      <w:r>
        <w:rPr>
          <w:rFonts w:ascii="Courier New" w:cs="Courier New" w:eastAsia="Courier New" w:hAnsi="Courier New"/>
          <w:sz w:val="18"/>
          <w:szCs w:val="18"/>
          <w:color w:val="auto"/>
        </w:rPr>
        <w:t>OFFER TO PURCHASE FOR CASH</w:t>
      </w:r>
    </w:p>
    <w:p>
      <w:pPr>
        <w:jc w:val="center"/>
        <w:ind w:right="1779"/>
        <w:spacing w:after="0" w:line="237" w:lineRule="auto"/>
        <w:rPr>
          <w:sz w:val="20"/>
          <w:szCs w:val="20"/>
          <w:color w:val="auto"/>
        </w:rPr>
      </w:pPr>
      <w:r>
        <w:rPr>
          <w:rFonts w:ascii="Courier New" w:cs="Courier New" w:eastAsia="Courier New" w:hAnsi="Courier New"/>
          <w:sz w:val="18"/>
          <w:szCs w:val="18"/>
          <w:color w:val="auto"/>
        </w:rPr>
        <w:t>by</w:t>
      </w:r>
    </w:p>
    <w:p>
      <w:pPr>
        <w:ind w:left="3580"/>
        <w:spacing w:after="0" w:line="238" w:lineRule="auto"/>
        <w:rPr>
          <w:sz w:val="20"/>
          <w:szCs w:val="20"/>
          <w:color w:val="auto"/>
        </w:rPr>
      </w:pPr>
      <w:r>
        <w:rPr>
          <w:rFonts w:ascii="Courier New" w:cs="Courier New" w:eastAsia="Courier New" w:hAnsi="Courier New"/>
          <w:sz w:val="18"/>
          <w:szCs w:val="18"/>
          <w:color w:val="auto"/>
        </w:rPr>
        <w:t>DESIGNS, INC.</w:t>
      </w:r>
    </w:p>
    <w:p>
      <w:pPr>
        <w:ind w:left="4120"/>
        <w:spacing w:after="0"/>
        <w:rPr>
          <w:sz w:val="20"/>
          <w:szCs w:val="20"/>
          <w:color w:val="auto"/>
        </w:rPr>
      </w:pPr>
      <w:r>
        <w:rPr>
          <w:rFonts w:ascii="Courier New" w:cs="Courier New" w:eastAsia="Courier New" w:hAnsi="Courier New"/>
          <w:sz w:val="18"/>
          <w:szCs w:val="18"/>
          <w:color w:val="auto"/>
        </w:rPr>
        <w:t>of</w:t>
      </w:r>
    </w:p>
    <w:p>
      <w:pPr>
        <w:ind w:left="1900"/>
        <w:spacing w:after="0" w:line="237" w:lineRule="auto"/>
        <w:rPr>
          <w:sz w:val="20"/>
          <w:szCs w:val="20"/>
          <w:color w:val="auto"/>
        </w:rPr>
      </w:pPr>
      <w:r>
        <w:rPr>
          <w:rFonts w:ascii="Courier New" w:cs="Courier New" w:eastAsia="Courier New" w:hAnsi="Courier New"/>
          <w:sz w:val="18"/>
          <w:szCs w:val="18"/>
          <w:color w:val="auto"/>
        </w:rPr>
        <w:t>Up to 1,500,000 Shares of Its Common Stock</w:t>
      </w:r>
    </w:p>
    <w:p>
      <w:pPr>
        <w:spacing w:after="0" w:line="5" w:lineRule="exact"/>
        <w:rPr>
          <w:sz w:val="20"/>
          <w:szCs w:val="20"/>
          <w:color w:val="auto"/>
        </w:rPr>
      </w:pPr>
    </w:p>
    <w:p>
      <w:pPr>
        <w:ind w:left="1800" w:right="3479" w:hanging="420"/>
        <w:spacing w:after="0" w:line="290" w:lineRule="auto"/>
        <w:rPr>
          <w:sz w:val="20"/>
          <w:szCs w:val="20"/>
          <w:color w:val="auto"/>
        </w:rPr>
      </w:pPr>
      <w:r>
        <w:rPr>
          <w:rFonts w:ascii="Courier New" w:cs="Courier New" w:eastAsia="Courier New" w:hAnsi="Courier New"/>
          <w:sz w:val="16"/>
          <w:szCs w:val="16"/>
          <w:color w:val="auto"/>
        </w:rPr>
        <w:t>At a Purchase Price Not Greater Than $3.00 Nor Less Than an Increased Minimum of $2.50 Per Share</w:t>
      </w:r>
    </w:p>
    <w:p>
      <w:pPr>
        <w:spacing w:after="0" w:line="170"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OFFER, PRORATION PERIOD AND WITHDRAWAL RIGHTS EXPIRE AT 5:00 P.M.,</w:t>
      </w:r>
    </w:p>
    <w:p>
      <w:pPr>
        <w:ind w:left="220"/>
        <w:spacing w:after="0"/>
        <w:rPr>
          <w:sz w:val="20"/>
          <w:szCs w:val="20"/>
          <w:color w:val="auto"/>
        </w:rPr>
      </w:pPr>
      <w:r>
        <w:rPr>
          <w:rFonts w:ascii="Courier New" w:cs="Courier New" w:eastAsia="Courier New" w:hAnsi="Courier New"/>
          <w:sz w:val="18"/>
          <w:szCs w:val="18"/>
          <w:color w:val="auto"/>
        </w:rPr>
        <w:t>EASTERN TIME, ON FRIDAY, DECEMBER 22, 2000, UNLESS THE OFFER IS EXTENDED.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Designs, Inc., a Delaware corporation (the "Company"), hereby supplements and amends its offer to purchase shares of its common stock, par value $0.01 per share, at a price not greater than $3.00 nor less than an increased minimum of $2.50 per share in cash, as specified by tendering stockholders, upon the terms and subject to the conditions set forth in the Offer to Purchase dated November 14, 2000, as supplemented by this Supplement, and the related Letter of Transmittal (which, as amended from time to time, together constitute the "offer").</w:t>
      </w:r>
    </w:p>
    <w:p>
      <w:pPr>
        <w:spacing w:after="0" w:line="21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Company will, upon the terms and subject to the conditions of the offer, determine a single per share price (not greater than $3.00 nor less than $2.50 per share), net to the seller in cash (the "Purchase Price"), that it will pay for shares validly tendered and not withdrawn pursuant to the offer, taking into account the number of shares so tendered and the prices specified by tendering stockholders. The Company will select the lowest Purchase Price that will allow it to buy 1,500,000 shares of its common stock validly tendered and not withdrawn pursuant to the offer (or such lesser number of shares as are validly tendered at prices not greater than $3.00 nor less than $2.50 per share, or were validly tendered prior to the date hereof at prices below $2.50 but not less than $2.20 per share). The Company will pay the Purchase Price for all shares validly tendered at prices at or below the Purchase Price and not withdrawn, upon the terms and subject to the conditions of the offer, including the terms thereof relating to proration and conditional tenders. Under applicable regulations of the Securities and Exchange Commission (the "SEC"), up to an additional 315,639 shares, or 2% of the outstanding shares, may be purchased without amending or extending the offer. Shares tendered at prices in excess of the Purchase Price and shares not purchased because of proration or conditional tenders will be returned.</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was advised by Equiserve Trust Company, the Depositary for the offer, that, as of December 15, 2000, a total of 3,472,996 shares were tendered in the offer. This includes 50,250 shares, tendered through notices of guaranteed delivery, which had not yet been received by the Depositary. Any stockholder who requires tender offer materials may contact D.F. King and Co., the Information Agent for the offer, at the address and telephone number indicated below.</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Procedures for tendering shares are set forth in Section 3 of the Offer to Purchase. Tendering stockholders may continue to use the Letter of Transmittal which was previously circulated. While that Letter of Transmittal indicates that the Company is offering to pay $2.20 to $3.00 per share, stockholders using that Letter of Transmittal will nevertheless be subject to the increased minimum of $2.50 per share.</w:t>
      </w:r>
    </w:p>
    <w:p>
      <w:pPr>
        <w:spacing w:after="0" w:line="210"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As the Company announced on December 12, 2000, it has entered into a definitive agreement with Fleet Retail Finance Inc. which, among other things, completes the anticipated definitive documentation of the agreement in principle referred to under "Source and Amount of Funds" and elsewhere in the Offer to Purchase. The amendment, among other things, confirmed the Company's ability to use funds for the purchase of its stock, including pursuant to the offer.</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Condition (4) under "Certain Conditions of the Offer" in the Offer to</w:t>
      </w:r>
    </w:p>
    <w:p>
      <w:pPr>
        <w:spacing w:after="0" w:line="238" w:lineRule="auto"/>
        <w:rPr>
          <w:sz w:val="20"/>
          <w:szCs w:val="20"/>
          <w:color w:val="auto"/>
        </w:rPr>
      </w:pPr>
      <w:r>
        <w:rPr>
          <w:rFonts w:ascii="Courier New" w:cs="Courier New" w:eastAsia="Courier New" w:hAnsi="Courier New"/>
          <w:sz w:val="18"/>
          <w:szCs w:val="18"/>
          <w:color w:val="auto"/>
        </w:rPr>
        <w:t>Purchase is clarified as follows:</w:t>
      </w:r>
    </w:p>
    <w:p>
      <w:pPr>
        <w:spacing w:after="0" w:line="202" w:lineRule="exact"/>
        <w:rPr>
          <w:sz w:val="20"/>
          <w:szCs w:val="20"/>
          <w:color w:val="auto"/>
        </w:rPr>
      </w:pP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any change shall occur or be</w:t>
      </w:r>
    </w:p>
    <w:p>
      <w:pPr>
        <w:ind w:left="1280"/>
        <w:spacing w:after="0" w:line="238" w:lineRule="auto"/>
        <w:rPr>
          <w:sz w:val="20"/>
          <w:szCs w:val="20"/>
          <w:color w:val="auto"/>
        </w:rPr>
      </w:pPr>
      <w:r>
        <w:rPr>
          <w:rFonts w:ascii="Courier New" w:cs="Courier New" w:eastAsia="Courier New" w:hAnsi="Courier New"/>
          <w:sz w:val="18"/>
          <w:szCs w:val="18"/>
          <w:color w:val="auto"/>
        </w:rPr>
        <w:t>threatened in the business, condition</w:t>
      </w:r>
    </w:p>
    <w:p>
      <w:pPr>
        <w:ind w:left="1280"/>
        <w:spacing w:after="0"/>
        <w:rPr>
          <w:sz w:val="20"/>
          <w:szCs w:val="20"/>
          <w:color w:val="auto"/>
        </w:rPr>
      </w:pPr>
      <w:r>
        <w:rPr>
          <w:rFonts w:ascii="Courier New" w:cs="Courier New" w:eastAsia="Courier New" w:hAnsi="Courier New"/>
          <w:sz w:val="18"/>
          <w:szCs w:val="18"/>
          <w:color w:val="auto"/>
        </w:rPr>
        <w:t>(financial or otherwise), income, operations or</w:t>
      </w:r>
    </w:p>
    <w:p>
      <w:pPr>
        <w:ind w:left="1280"/>
        <w:spacing w:after="0" w:line="237" w:lineRule="auto"/>
        <w:rPr>
          <w:sz w:val="20"/>
          <w:szCs w:val="20"/>
          <w:color w:val="auto"/>
        </w:rPr>
      </w:pPr>
      <w:r>
        <w:rPr>
          <w:rFonts w:ascii="Courier New" w:cs="Courier New" w:eastAsia="Courier New" w:hAnsi="Courier New"/>
          <w:sz w:val="18"/>
          <w:szCs w:val="18"/>
          <w:color w:val="auto"/>
        </w:rPr>
        <w:t>prospects of Designs, Inc. and its</w:t>
      </w:r>
    </w:p>
    <w:p>
      <w:pPr>
        <w:ind w:left="1280"/>
        <w:spacing w:after="0" w:line="238" w:lineRule="auto"/>
        <w:rPr>
          <w:sz w:val="20"/>
          <w:szCs w:val="20"/>
          <w:color w:val="auto"/>
        </w:rPr>
      </w:pPr>
      <w:r>
        <w:rPr>
          <w:rFonts w:ascii="Courier New" w:cs="Courier New" w:eastAsia="Courier New" w:hAnsi="Courier New"/>
          <w:sz w:val="18"/>
          <w:szCs w:val="18"/>
          <w:color w:val="auto"/>
        </w:rPr>
        <w:t>subsidiaries, taken as a whole, other than</w:t>
      </w:r>
    </w:p>
    <w:p>
      <w:pPr>
        <w:ind w:left="1280"/>
        <w:spacing w:after="0"/>
        <w:rPr>
          <w:sz w:val="20"/>
          <w:szCs w:val="20"/>
          <w:color w:val="auto"/>
        </w:rPr>
      </w:pPr>
      <w:r>
        <w:rPr>
          <w:rFonts w:ascii="Courier New" w:cs="Courier New" w:eastAsia="Courier New" w:hAnsi="Courier New"/>
          <w:sz w:val="18"/>
          <w:szCs w:val="18"/>
          <w:color w:val="auto"/>
        </w:rPr>
        <w:t>voluntary action by Designs, Inc., which in the</w:t>
      </w:r>
    </w:p>
    <w:p>
      <w:pPr>
        <w:ind w:left="1280"/>
        <w:spacing w:after="0" w:line="237" w:lineRule="auto"/>
        <w:rPr>
          <w:sz w:val="20"/>
          <w:szCs w:val="20"/>
          <w:color w:val="auto"/>
        </w:rPr>
      </w:pPr>
      <w:r>
        <w:rPr>
          <w:rFonts w:ascii="Courier New" w:cs="Courier New" w:eastAsia="Courier New" w:hAnsi="Courier New"/>
          <w:sz w:val="18"/>
          <w:szCs w:val="18"/>
          <w:color w:val="auto"/>
        </w:rPr>
        <w:t>reasonable judgment of Designs, Inc. is or may</w:t>
      </w:r>
    </w:p>
    <w:p>
      <w:pPr>
        <w:ind w:left="1280"/>
        <w:spacing w:after="0"/>
        <w:rPr>
          <w:sz w:val="20"/>
          <w:szCs w:val="20"/>
          <w:color w:val="auto"/>
        </w:rPr>
      </w:pPr>
      <w:r>
        <w:rPr>
          <w:rFonts w:ascii="Courier New" w:cs="Courier New" w:eastAsia="Courier New" w:hAnsi="Courier New"/>
          <w:sz w:val="18"/>
          <w:szCs w:val="18"/>
          <w:color w:val="auto"/>
        </w:rPr>
        <w:t>be material to the consummation of the offer or</w:t>
      </w:r>
    </w:p>
    <w:p>
      <w:pPr>
        <w:sectPr>
          <w:pgSz w:w="11900" w:h="16838" w:orient="portrait"/>
          <w:cols w:equalWidth="0" w:num="1">
            <w:col w:w="10219"/>
          </w:cols>
          <w:pgMar w:left="240" w:top="339" w:right="1440" w:bottom="0" w:gutter="0" w:footer="0" w:header="0"/>
        </w:sectPr>
      </w:pPr>
    </w:p>
    <w:bookmarkStart w:id="7" w:name="page8"/>
    <w:bookmarkEnd w:id="7"/>
    <w:p>
      <w:pPr>
        <w:ind w:left="1280"/>
        <w:spacing w:after="0"/>
        <w:rPr>
          <w:sz w:val="20"/>
          <w:szCs w:val="20"/>
          <w:color w:val="auto"/>
        </w:rPr>
      </w:pPr>
      <w:r>
        <w:rPr>
          <w:rFonts w:ascii="Courier New" w:cs="Courier New" w:eastAsia="Courier New" w:hAnsi="Courier New"/>
          <w:sz w:val="18"/>
          <w:szCs w:val="18"/>
          <w:color w:val="auto"/>
        </w:rPr>
        <w:t>otherwise material to Designs, Inc. and its</w:t>
      </w:r>
    </w:p>
    <w:p>
      <w:pPr>
        <w:ind w:left="1280"/>
        <w:spacing w:after="0" w:line="238" w:lineRule="auto"/>
        <w:rPr>
          <w:sz w:val="20"/>
          <w:szCs w:val="20"/>
          <w:color w:val="auto"/>
        </w:rPr>
      </w:pPr>
      <w:r>
        <w:rPr>
          <w:rFonts w:ascii="Courier New" w:cs="Courier New" w:eastAsia="Courier New" w:hAnsi="Courier New"/>
          <w:sz w:val="18"/>
          <w:szCs w:val="18"/>
          <w:color w:val="auto"/>
        </w:rPr>
        <w:t>subsidiaries, taken as a whole; or"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offer is subject to reasonable satisfaction of the stated conditions, and the Company is limited to reasonable discretion in determining whether any condition has been satisfied. Conditions (1) and (3) under "Certain Conditions of the Offer" in the Offer to Purchase are clarified to refer, in each case, to "the reasonable judgment of Designs, Inc." rather than "the sole judgment of Designs, Inc." as the relevant standard. All offer conditions, other than necessary government approvals, must be satisfied or waived prior to the expiration of the offer. The Company will not assert any conditions to the offer after expiration. For purposes of Condition (3), the Company would consider a decrease of more than 20% in the market price of the Company's shares to be a "significant decrease".</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For additional information regarding the Company's bank financing, reference is made to the Company's Quarterly Report on Form 10-Q for the fiscal quarter ended October 28, 2000, filed with the SEC on December 12, 2000, and to the text of the Second Amended and Restated Loan and Security Agreement filed as Exhibit 10.12 to that Form 10-Q, as well as to Amendment No. 1 to the Company's Tender Offer Statement on Schedule TO filed with the SEC on December 18, 2000, all of which are incorporated by reference herein.</w:t>
      </w:r>
    </w:p>
    <w:p>
      <w:pPr>
        <w:spacing w:after="0" w:line="21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has also filed with the SEC an Amendment No. 1 to Tender Offer Statement on Schedule TO dated December 18, 2000 which includes additional information with respect to the offer, which is incorporated by reference herein. Such amendment, together with the Schedule TO and any future amendments thereto (if any), as well as reports, proxy statements and other information regarding the Company, are available through the SEC's web site at http://www.sec.gov, and may also be obtained as described under "Where You Can Find More Information" in the Offer to Purchase.</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Except as otherwise set forth in this Supplement, the terms and conditions set forth in the Offer to Purchase and the Letter of Transmittal are applicable in all respects to the offer. The information set forth herein should be read in conjunction with the Offer to Purchase, and unless the context requires otherwise, terms not defined herein which are defined in the Offer to Purchase have the meanings ascribed to them in the Offer to Purchase.</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The Information Agent for the Offer is: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D.F. King &amp; Co., Inc.</w:t>
      </w:r>
    </w:p>
    <w:p>
      <w:pPr>
        <w:ind w:left="3480"/>
        <w:spacing w:after="0" w:line="238" w:lineRule="auto"/>
        <w:rPr>
          <w:sz w:val="20"/>
          <w:szCs w:val="20"/>
          <w:color w:val="auto"/>
        </w:rPr>
      </w:pPr>
      <w:r>
        <w:rPr>
          <w:rFonts w:ascii="Courier New" w:cs="Courier New" w:eastAsia="Courier New" w:hAnsi="Courier New"/>
          <w:sz w:val="18"/>
          <w:szCs w:val="18"/>
          <w:color w:val="auto"/>
        </w:rPr>
        <w:t>77 Water Street</w:t>
      </w:r>
    </w:p>
    <w:p>
      <w:pPr>
        <w:ind w:left="296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Banks and Brokers Call Collect: (212) 269-5550</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All Others Call Toll Free: (800) 755-7520</w:t>
      </w:r>
    </w:p>
    <w:p>
      <w:pPr>
        <w:sectPr>
          <w:pgSz w:w="11900" w:h="16838" w:orient="portrait"/>
          <w:cols w:equalWidth="0" w:num="1">
            <w:col w:w="10219"/>
          </w:cols>
          <w:pgMar w:left="240" w:top="136"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Seymour Holtzman, Chairman of the Board</w:t>
      </w:r>
    </w:p>
    <w:p>
      <w:pPr>
        <w:ind w:left="4120"/>
        <w:spacing w:after="0" w:line="238" w:lineRule="auto"/>
        <w:rPr>
          <w:sz w:val="20"/>
          <w:szCs w:val="20"/>
          <w:color w:val="auto"/>
        </w:rPr>
      </w:pPr>
      <w:r>
        <w:rPr>
          <w:rFonts w:ascii="Courier New" w:cs="Courier New" w:eastAsia="Courier New" w:hAnsi="Courier New"/>
          <w:sz w:val="18"/>
          <w:szCs w:val="18"/>
          <w:color w:val="auto"/>
        </w:rPr>
        <w:t>Jeff Unger, Investor Relations</w:t>
      </w:r>
    </w:p>
    <w:p>
      <w:pPr>
        <w:ind w:left="4120"/>
        <w:spacing w:after="0"/>
        <w:rPr>
          <w:sz w:val="20"/>
          <w:szCs w:val="20"/>
          <w:color w:val="auto"/>
        </w:rPr>
      </w:pPr>
      <w:r>
        <w:rPr>
          <w:rFonts w:ascii="Courier New" w:cs="Courier New" w:eastAsia="Courier New" w:hAnsi="Courier New"/>
          <w:sz w:val="18"/>
          <w:szCs w:val="18"/>
          <w:color w:val="auto"/>
        </w:rPr>
        <w:t>Designs, Inc.</w:t>
      </w:r>
    </w:p>
    <w:p>
      <w:pPr>
        <w:ind w:left="4120"/>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RJ Falkner &amp; Company, Inc.</w:t>
      </w:r>
    </w:p>
    <w:p>
      <w:pPr>
        <w:ind w:left="4120"/>
        <w:spacing w:after="0" w:line="238" w:lineRule="auto"/>
        <w:rPr>
          <w:sz w:val="20"/>
          <w:szCs w:val="20"/>
          <w:color w:val="auto"/>
        </w:rPr>
      </w:pPr>
      <w:r>
        <w:rPr>
          <w:rFonts w:ascii="Courier New" w:cs="Courier New" w:eastAsia="Courier New" w:hAnsi="Courier New"/>
          <w:sz w:val="18"/>
          <w:szCs w:val="18"/>
          <w:color w:val="auto"/>
        </w:rPr>
        <w:t>Investor Relations Counsel</w:t>
      </w:r>
    </w:p>
    <w:p>
      <w:pPr>
        <w:ind w:left="4120"/>
        <w:spacing w:after="0"/>
        <w:rPr>
          <w:sz w:val="20"/>
          <w:szCs w:val="20"/>
          <w:color w:val="auto"/>
        </w:rPr>
      </w:pPr>
      <w:r>
        <w:rPr>
          <w:rFonts w:ascii="Courier New" w:cs="Courier New" w:eastAsia="Courier New" w:hAnsi="Courier New"/>
          <w:sz w:val="18"/>
          <w:szCs w:val="18"/>
          <w:color w:val="auto"/>
        </w:rPr>
        <w:t>(800) 377-9893</w:t>
      </w:r>
    </w:p>
    <w:p>
      <w:pPr>
        <w:ind w:left="4120"/>
        <w:spacing w:after="0" w:line="237" w:lineRule="auto"/>
        <w:rPr>
          <w:sz w:val="20"/>
          <w:szCs w:val="20"/>
          <w:color w:val="auto"/>
        </w:rPr>
      </w:pPr>
      <w:r>
        <w:rPr>
          <w:rFonts w:ascii="Courier New" w:cs="Courier New" w:eastAsia="Courier New" w:hAnsi="Courier New"/>
          <w:sz w:val="18"/>
          <w:szCs w:val="18"/>
          <w:color w:val="auto"/>
        </w:rPr>
        <w:t>info@rjfalkner.com</w:t>
      </w:r>
    </w:p>
    <w:p>
      <w:pPr>
        <w:spacing w:after="0" w:line="200" w:lineRule="exact"/>
        <w:rPr>
          <w:sz w:val="20"/>
          <w:szCs w:val="20"/>
          <w:color w:val="auto"/>
        </w:rPr>
      </w:pP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DESIGNS, INC. ANNOUNCES EXTENSION OF DUTCH AUCTION TENDER OFFER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(Needham, MA, December 15, 2000) --Designs, Inc. (NASDAQ/NMS: DESI), operator of Levi's(R) and Dockers(R) Outlet By Designs stores, today announced that it has extended the expiration date of its "Dutch Auction" tender offer for the Company's common stock to 5:00 p.m., EST, on December 21, 2000.</w:t>
      </w:r>
    </w:p>
    <w:p>
      <w:pPr>
        <w:spacing w:after="0" w:line="207" w:lineRule="exact"/>
        <w:rPr>
          <w:sz w:val="20"/>
          <w:szCs w:val="20"/>
          <w:color w:val="auto"/>
        </w:rPr>
      </w:pPr>
    </w:p>
    <w:p>
      <w:pPr>
        <w:ind w:right="1779" w:firstLine="1159"/>
        <w:spacing w:after="0" w:line="275" w:lineRule="auto"/>
        <w:rPr>
          <w:sz w:val="20"/>
          <w:szCs w:val="20"/>
          <w:color w:val="auto"/>
        </w:rPr>
      </w:pPr>
      <w:r>
        <w:rPr>
          <w:rFonts w:ascii="Courier New" w:cs="Courier New" w:eastAsia="Courier New" w:hAnsi="Courier New"/>
          <w:sz w:val="16"/>
          <w:szCs w:val="16"/>
          <w:color w:val="auto"/>
        </w:rPr>
        <w:t>Designs, Inc. was advised by Equiserve Trust Company, the Depositary for the offer, that, as of December 14, 2000, a total of 3,565,656 shares were tendered in the offer. This includes 114,910 shares, tendered through notices of guaranteed delivery, which have not yet been received by the Depositary.</w:t>
      </w:r>
    </w:p>
    <w:p>
      <w:pPr>
        <w:spacing w:after="0" w:line="182" w:lineRule="exact"/>
        <w:rPr>
          <w:sz w:val="20"/>
          <w:szCs w:val="20"/>
          <w:color w:val="auto"/>
        </w:rPr>
      </w:pPr>
    </w:p>
    <w:p>
      <w:pPr>
        <w:ind w:right="1779" w:firstLine="1159"/>
        <w:spacing w:after="0" w:line="271" w:lineRule="auto"/>
        <w:rPr>
          <w:sz w:val="20"/>
          <w:szCs w:val="20"/>
          <w:color w:val="auto"/>
        </w:rPr>
      </w:pPr>
      <w:r>
        <w:rPr>
          <w:rFonts w:ascii="Courier New" w:cs="Courier New" w:eastAsia="Courier New" w:hAnsi="Courier New"/>
          <w:sz w:val="16"/>
          <w:szCs w:val="16"/>
          <w:color w:val="auto"/>
        </w:rPr>
        <w:t>The terms of the Offer dated November 14, 2000, provide that Designs, Inc. will select the lowest Purchase Price that will allow it to buy 1,500,000 shares of its common stock validly tendered and not withdrawn pursuant to the offer. Under applicable regulations of the Securities and Exchange Commission, up to an additional 315,639 shares, or 2% of the outstanding shares, may be purchased without further amending or extending the offer. Any shareholder who requires tender offer materials may contact D.F. King and Co., the Information Agent for the offer, at the address and telephone number indicated below.</w:t>
      </w:r>
    </w:p>
    <w:p>
      <w:pPr>
        <w:spacing w:after="0" w:line="186" w:lineRule="exact"/>
        <w:rPr>
          <w:sz w:val="20"/>
          <w:szCs w:val="20"/>
          <w:color w:val="auto"/>
        </w:rPr>
      </w:pPr>
    </w:p>
    <w:p>
      <w:pPr>
        <w:ind w:right="1779" w:firstLine="1159"/>
        <w:spacing w:after="0" w:line="236" w:lineRule="auto"/>
        <w:rPr>
          <w:sz w:val="20"/>
          <w:szCs w:val="20"/>
          <w:color w:val="auto"/>
        </w:rPr>
      </w:pPr>
      <w:r>
        <w:rPr>
          <w:rFonts w:ascii="Courier New" w:cs="Courier New" w:eastAsia="Courier New" w:hAnsi="Courier New"/>
          <w:sz w:val="18"/>
          <w:szCs w:val="18"/>
          <w:color w:val="auto"/>
        </w:rPr>
        <w:t>Neither Designs, Inc. nor its Board of Directors is making any recommendation to shareholders as to whether to tender or refrain from tendering their shares or as to the purchase price on any tender.</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THIS PRESS RELEASE IS FOR INFORMATIONAL PURPOSES ONLY AND IS NOT AN OFFER TO BUY OR THE SOLICITATION OF AN OFFER TO SELL ANY SHARES OF DESIGNS, INC.'S COMMON STOCK. THE SOLICITATION OF OFFERS TO BUY DESIGNS, INC. COMMON STOCK WILL ONLY BE MADE PURSUANT TO AN OFFER TO PURCHASE AND RELATED MATERIALS DISTRIBUTED TO SHAREHOLDERS BY DESIGNS, INC. SHAREHOLDERS SHOULD CAREFULLY READ THOSE MATERIALS BECAUSE THEY CONTAIN IMPORTANT INFORMATION, INCLUDING THE VARIOUS TERMS AND CONDITIONS OF THE OFFER. SHAREHOLDERS CAN OBTAIN COPIES OF THE OFFER TO PURCHASE, RELATED MATERIALS AND OTHER DOCUMENTS FILED WITH THE SECURITIES AND EXCHANGE COMMISSION THROUGH THE COMMISSION'S WEB SITE AT http://www.sec.gov</w:t>
      </w:r>
    </w:p>
    <w:p>
      <w:pPr>
        <w:spacing w:after="0" w:line="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WITHOUT CHARGE. SHAREHOLDERS CAN ALSO OBTAIN COPIES OF THE OFFER TO PURCHASE AND RELATED MATERIALS, WITHOUT CHARGE, FROM DESIGNS, INC. BY ORAL OR WRITTEN REQUEST TO: DESIGNS, INC. ATTENTION: DENNIS HERNREICH, SENIOR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VICE PRESIDENT AND CHIEF FINANCIAL OFFICER, 66 B STREET, NEEDHAM, MASSACHUSETTS, 02494, OR FROM THE COMPANY'S INFORMATION AGENT, D.F. KING AND CO., INC., AT 77 WATER STREET, NEW YORK, N.Y. 10005, TELEPHONE 800-758-5880.</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214"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Designs, Inc. operates 108 Levi's(R)Outlet by Designs and Dockers(R)Outlet by Designs stores. These stores are located in outlet parks and malls throughout the eastern United States and Puerto Rico.</w:t>
      </w:r>
    </w:p>
    <w:p>
      <w:pPr>
        <w:sectPr>
          <w:pgSz w:w="11900" w:h="16838" w:orient="portrait"/>
          <w:cols w:equalWidth="0" w:num="1">
            <w:col w:w="10219"/>
          </w:cols>
          <w:pgMar w:left="240" w:top="339" w:right="1440" w:bottom="566" w:gutter="0" w:footer="0" w:header="0"/>
        </w:sectPr>
      </w:pPr>
    </w:p>
    <w:bookmarkStart w:id="9" w:name="page10"/>
    <w:bookmarkEnd w:id="9"/>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Seymour Holtzman, Chairman of the Board</w:t>
      </w:r>
    </w:p>
    <w:p>
      <w:pPr>
        <w:ind w:left="2640"/>
        <w:spacing w:after="0" w:line="238" w:lineRule="auto"/>
        <w:rPr>
          <w:sz w:val="20"/>
          <w:szCs w:val="20"/>
          <w:color w:val="auto"/>
        </w:rPr>
      </w:pPr>
      <w:r>
        <w:rPr>
          <w:rFonts w:ascii="Courier New" w:cs="Courier New" w:eastAsia="Courier New" w:hAnsi="Courier New"/>
          <w:sz w:val="18"/>
          <w:szCs w:val="18"/>
          <w:color w:val="auto"/>
        </w:rPr>
        <w:t>Jeff Unger, Investor Relations</w:t>
      </w:r>
    </w:p>
    <w:p>
      <w:pPr>
        <w:ind w:left="2640"/>
        <w:spacing w:after="0"/>
        <w:rPr>
          <w:sz w:val="20"/>
          <w:szCs w:val="20"/>
          <w:color w:val="auto"/>
        </w:rPr>
      </w:pPr>
      <w:r>
        <w:rPr>
          <w:rFonts w:ascii="Courier New" w:cs="Courier New" w:eastAsia="Courier New" w:hAnsi="Courier New"/>
          <w:sz w:val="18"/>
          <w:szCs w:val="18"/>
          <w:color w:val="auto"/>
        </w:rPr>
        <w:t>Designs, Inc.</w:t>
      </w:r>
    </w:p>
    <w:p>
      <w:pPr>
        <w:ind w:left="2640"/>
        <w:spacing w:after="0" w:line="237" w:lineRule="auto"/>
        <w:rPr>
          <w:sz w:val="20"/>
          <w:szCs w:val="20"/>
          <w:color w:val="auto"/>
        </w:rPr>
      </w:pPr>
      <w:r>
        <w:rPr>
          <w:rFonts w:ascii="Courier New" w:cs="Courier New" w:eastAsia="Courier New" w:hAnsi="Courier New"/>
          <w:sz w:val="18"/>
          <w:szCs w:val="18"/>
          <w:color w:val="auto"/>
        </w:rPr>
        <w:t>(781) 444-7222</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RJ Falkner &amp; Company, Inc.</w:t>
      </w:r>
    </w:p>
    <w:p>
      <w:pPr>
        <w:ind w:left="2860"/>
        <w:spacing w:after="0" w:line="238" w:lineRule="auto"/>
        <w:rPr>
          <w:sz w:val="20"/>
          <w:szCs w:val="20"/>
          <w:color w:val="auto"/>
        </w:rPr>
      </w:pPr>
      <w:r>
        <w:rPr>
          <w:rFonts w:ascii="Courier New" w:cs="Courier New" w:eastAsia="Courier New" w:hAnsi="Courier New"/>
          <w:sz w:val="18"/>
          <w:szCs w:val="18"/>
          <w:color w:val="auto"/>
        </w:rPr>
        <w:t>Investor Relations Counsel</w:t>
      </w:r>
    </w:p>
    <w:p>
      <w:pPr>
        <w:spacing w:after="0" w:line="5" w:lineRule="exact"/>
        <w:rPr>
          <w:sz w:val="20"/>
          <w:szCs w:val="20"/>
          <w:color w:val="auto"/>
        </w:rPr>
      </w:pPr>
    </w:p>
    <w:p>
      <w:pPr>
        <w:ind w:left="2640" w:right="5679" w:firstLine="2"/>
        <w:spacing w:after="0" w:line="290" w:lineRule="auto"/>
        <w:tabs>
          <w:tab w:leader="none" w:pos="327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377-9893 info@rjfalkner.com</w:t>
      </w:r>
    </w:p>
    <w:p>
      <w:pPr>
        <w:spacing w:after="0" w:line="372" w:lineRule="exact"/>
        <w:rPr>
          <w:sz w:val="20"/>
          <w:szCs w:val="20"/>
          <w:color w:val="auto"/>
        </w:rPr>
      </w:pPr>
    </w:p>
    <w:p>
      <w:pPr>
        <w:ind w:left="3160" w:right="2419" w:hanging="2948"/>
        <w:spacing w:after="0" w:line="235" w:lineRule="auto"/>
        <w:rPr>
          <w:sz w:val="20"/>
          <w:szCs w:val="20"/>
          <w:color w:val="auto"/>
        </w:rPr>
      </w:pPr>
      <w:r>
        <w:rPr>
          <w:rFonts w:ascii="Courier New" w:cs="Courier New" w:eastAsia="Courier New" w:hAnsi="Courier New"/>
          <w:sz w:val="18"/>
          <w:szCs w:val="18"/>
          <w:color w:val="auto"/>
        </w:rPr>
        <w:t>DESIGNS, INC. ANNOUNCES INCREASE IN MINIMUM PRICE AND EXTENSION OF DUTCH AUCTION TENDER OFFER</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(Needham, MA, December 18, 2000) -- Designs, Inc. (NASDAQ/NMS: DESI), operator of Levi's(R) and Dockers(R) Outlet By Designs stores, today announced that it has increased the minimum price in the price range specified in its pending "Dutch Auction" tender offer for the Company's common stock to $2.50 per share. The Company has also extended the expiration date for its offer to 5:00 p.m., EST, on Friday, December 22, 2000. In increasing the minimum price the Company accommodated regulatory considerations regarding the range of prices in offers of this nature.</w:t>
      </w:r>
    </w:p>
    <w:p>
      <w:pPr>
        <w:spacing w:after="0" w:line="212"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Designs, Inc. was advised by Equiserve Trust Company, the Depositary for the offer, that, as of December 15, 2000, a total of 3,472,996 shares were tendered in the offer. This includes 50,250 shares, tendered through notices of guaranteed delivery, which have not yet been received by the Depositary.</w:t>
      </w:r>
    </w:p>
    <w:p>
      <w:pPr>
        <w:spacing w:after="0" w:line="18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The terms of the offer are set forth in the Company's Offer to Purchase dated November 14, 2000, as supplemented by a Supplement dated December 18, 2000. Under the terms of the offer, the Company will select the lowest single per-share purchase price that will allow it to buy 1,500,000 shares of its common stock validly tendered and not withdrawn prior to the expiration date. Under applicable SEC regulations, up to an additional 315,639 shares, or 2% of the outstanding shares, may be purchased without further amending or extending the offer. Any shareholder who requires tender offer materials may contact D.F. King and Co., the Information Agent for the offer, at the address and telephone number indicated below.</w:t>
      </w:r>
    </w:p>
    <w:p>
      <w:pPr>
        <w:spacing w:after="0" w:line="215"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Neither Designs, Inc. nor its Board of Directors is making any recommendation to shareholders as to whether to tender or refrain from tendering their shares or as to the purchase price on any tender.</w:t>
      </w:r>
    </w:p>
    <w:p>
      <w:pPr>
        <w:spacing w:after="0" w:line="209" w:lineRule="exact"/>
        <w:rPr>
          <w:sz w:val="20"/>
          <w:szCs w:val="20"/>
          <w:color w:val="auto"/>
        </w:rPr>
      </w:pPr>
    </w:p>
    <w:p>
      <w:pPr>
        <w:ind w:right="2099"/>
        <w:spacing w:after="0" w:line="270" w:lineRule="auto"/>
        <w:rPr>
          <w:sz w:val="20"/>
          <w:szCs w:val="20"/>
          <w:color w:val="auto"/>
        </w:rPr>
      </w:pPr>
      <w:r>
        <w:rPr>
          <w:rFonts w:ascii="Courier New" w:cs="Courier New" w:eastAsia="Courier New" w:hAnsi="Courier New"/>
          <w:sz w:val="16"/>
          <w:szCs w:val="16"/>
          <w:color w:val="auto"/>
        </w:rPr>
        <w:t>THIS PRESS RELEASE IS FOR INFORMATIONAL PURPOSES ONLY AND IS NOT AN OFFER TO BUY OR THE SOLICITATION OF AN OFFER TO SELL ANY SHARES OF DESIGNS, INC.'S COMMON STOCK. THE SOLICITATION OF OFFERS TO BUY DESIGNS, INC. COMMON STOCK WILL ONLY BE MADE PURSUANT TO AN OFFER TO PURCHASE AND RELATED MATERIALS DISTRIBUTED TO SHAREHOLDERS BY DESIGNS, INC. SHAREHOLDERS SHOULD CAREFULLY READ THOSE MATERIALS BECAUSE THEY CONTAIN IMPORTANT INFORMATION, INCLUDING THE VARIOUS TERMS AND CONDITIONS OF THE OFFER. SHAREHOLDERS CAN OBTAIN COPIES OF THE OFFER TO PURCHASE, RELATED MATERIALS AND OTHER DOCUMENTS FILED WITH THE SECURITIES AND EXCHANGE COMMISSION THROUGH THE COMMISSION'S WEB SITE AT http://www.sec.gov WITHOUT CHARGE. SHAREHOLDERS CAN ALSO OBTAIN COPIES OF THE OFFER TO PURCHASE AND RELATED MATERIALS, WITHOUT CHARGE, FROM DESIGNS, INC. BY ORAL OR WRITTEN REQUEST TO: DESIGNS, INC. ATTENTION: DENNIS HERNREICH, SENIOR VICE PRESIDENT AND CHIEF FINANCIAL OFFICER, 66 B STREET, NEEDHAM, MASSACHUSETTS, 02494, OR FROM THE COMPANY'S INFORMATION AGENT, 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KING AND CO., INC., AT 77 WATER STREET, NEW YORK, N.Y. 10005, TELEPHONE 800-758-5880.</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21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Designs, Inc. operates 106 Levi's(R)Outlet by Designs and Dockers(R)Outlet by Designs stores. These stores are located in outlet parks and malls throughout the eastern United States and Puerto Rico.</w:t>
      </w:r>
    </w:p>
    <w:p>
      <w:pPr>
        <w:sectPr>
          <w:pgSz w:w="11900" w:h="16838" w:orient="portrait"/>
          <w:cols w:equalWidth="0" w:num="1">
            <w:col w:w="10219"/>
          </w:cols>
          <w:pgMar w:left="240" w:top="136" w:right="1440" w:bottom="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212"/>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o"/>
      <w:numFmt w:val="bullet"/>
      <w:start w:val="1"/>
    </w:lvl>
  </w:abstractNum>
  <w:abstractNum w:abstractNumId="4">
    <w:nsid w:val="7545E146"/>
    <w:multiLevelType w:val="hybridMultilevel"/>
    <w:lvl w:ilvl="0">
      <w:lvlJc w:val="left"/>
      <w:lvlText w:val="o"/>
      <w:numFmt w:val="bullet"/>
      <w:start w:val="1"/>
    </w:lvl>
  </w:abstractNum>
  <w:abstractNum w:abstractNumId="5">
    <w:nsid w:val="515F007C"/>
    <w:multiLevelType w:val="hybridMultilevel"/>
    <w:lvl w:ilvl="0">
      <w:lvlJc w:val="left"/>
      <w:lvlText w:val="o"/>
      <w:numFmt w:val="bullet"/>
      <w:start w:val="1"/>
    </w:lvl>
  </w:abstractNum>
  <w:abstractNum w:abstractNumId="6">
    <w:nsid w:val="5BD062C2"/>
    <w:multiLevelType w:val="hybridMultilevel"/>
    <w:lvl w:ilvl="0">
      <w:lvlJc w:val="left"/>
      <w:lvlText w:val="o"/>
      <w:numFmt w:val="bullet"/>
      <w:start w:val="1"/>
    </w:lvl>
  </w:abstractNum>
  <w:abstractNum w:abstractNumId="7">
    <w:nsid w:val="12200854"/>
    <w:multiLevelType w:val="hybridMultilevel"/>
    <w:lvl w:ilvl="0">
      <w:lvlJc w:val="left"/>
      <w:lvlText w:val="o"/>
      <w:numFmt w:val="bullet"/>
      <w:start w:val="1"/>
    </w:lvl>
  </w:abstractNum>
  <w:abstractNum w:abstractNumId="8">
    <w:nsid w:val="4DB127F8"/>
    <w:multiLevelType w:val="hybridMultilevel"/>
    <w:lvl w:ilvl="0">
      <w:lvlJc w:val="left"/>
      <w:lvlText w:val="o"/>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2019-12-20T01:07:00Z</dcterms:created>
  <dcterms:modified xsi:type="dcterms:W3CDTF">2019-12-20T01:07:00Z</dcterms:modified>
</cp:coreProperties>
</file>