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2"/>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652"/>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 w:lineRule="exact"/>
        <w:rPr>
          <w:sz w:val="24"/>
          <w:szCs w:val="24"/>
          <w:color w:val="auto"/>
        </w:rPr>
      </w:pPr>
    </w:p>
    <w:p>
      <w:pPr>
        <w:ind w:left="3952"/>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2574925</wp:posOffset>
            </wp:positionH>
            <wp:positionV relativeFrom="paragraph">
              <wp:posOffset>137160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79" w:lineRule="exact"/>
        <w:rPr>
          <w:sz w:val="24"/>
          <w:szCs w:val="24"/>
          <w:color w:val="auto"/>
        </w:rPr>
      </w:pPr>
    </w:p>
    <w:p>
      <w:pPr>
        <w:jc w:val="center"/>
        <w:ind w:right="-652"/>
        <w:spacing w:after="0"/>
        <w:rPr>
          <w:sz w:val="20"/>
          <w:szCs w:val="20"/>
          <w:color w:val="auto"/>
        </w:rPr>
      </w:pPr>
      <w:r>
        <w:rPr>
          <w:rFonts w:ascii="Times New Roman" w:cs="Times New Roman" w:eastAsia="Times New Roman" w:hAnsi="Times New Roman"/>
          <w:sz w:val="32"/>
          <w:szCs w:val="32"/>
          <w:b w:val="1"/>
          <w:bCs w:val="1"/>
          <w:color w:val="auto"/>
        </w:rPr>
        <w:t>SCHEDULE 14D-9</w:t>
      </w:r>
    </w:p>
    <w:p>
      <w:pPr>
        <w:spacing w:after="0" w:line="45" w:lineRule="exact"/>
        <w:rPr>
          <w:sz w:val="24"/>
          <w:szCs w:val="24"/>
          <w:color w:val="auto"/>
        </w:rPr>
      </w:pPr>
    </w:p>
    <w:p>
      <w:pPr>
        <w:jc w:val="center"/>
        <w:ind w:right="-652"/>
        <w:spacing w:after="0"/>
        <w:rPr>
          <w:sz w:val="20"/>
          <w:szCs w:val="20"/>
          <w:color w:val="auto"/>
        </w:rPr>
      </w:pPr>
      <w:r>
        <w:rPr>
          <w:rFonts w:ascii="Times New Roman" w:cs="Times New Roman" w:eastAsia="Times New Roman" w:hAnsi="Times New Roman"/>
          <w:sz w:val="18"/>
          <w:szCs w:val="18"/>
          <w:b w:val="1"/>
          <w:bCs w:val="1"/>
          <w:color w:val="auto"/>
        </w:rPr>
        <w:t>(Rule 14d-101)</w:t>
      </w:r>
    </w:p>
    <w:p>
      <w:pPr>
        <w:spacing w:after="0" w:line="210" w:lineRule="exact"/>
        <w:rPr>
          <w:sz w:val="24"/>
          <w:szCs w:val="24"/>
          <w:color w:val="auto"/>
        </w:rPr>
      </w:pPr>
    </w:p>
    <w:p>
      <w:pPr>
        <w:jc w:val="center"/>
        <w:ind w:right="-652"/>
        <w:spacing w:after="0"/>
        <w:rPr>
          <w:sz w:val="20"/>
          <w:szCs w:val="20"/>
          <w:color w:val="auto"/>
        </w:rPr>
      </w:pPr>
      <w:r>
        <w:rPr>
          <w:rFonts w:ascii="Times New Roman" w:cs="Times New Roman" w:eastAsia="Times New Roman" w:hAnsi="Times New Roman"/>
          <w:sz w:val="20"/>
          <w:szCs w:val="20"/>
          <w:b w:val="1"/>
          <w:bCs w:val="1"/>
          <w:color w:val="auto"/>
        </w:rPr>
        <w:t>SOLICITATION/RECOMMENDATION STATEMENT</w:t>
      </w:r>
    </w:p>
    <w:p>
      <w:pPr>
        <w:spacing w:after="0" w:line="26" w:lineRule="exact"/>
        <w:rPr>
          <w:sz w:val="24"/>
          <w:szCs w:val="24"/>
          <w:color w:val="auto"/>
        </w:rPr>
      </w:pPr>
    </w:p>
    <w:p>
      <w:pPr>
        <w:jc w:val="center"/>
        <w:ind w:right="-652"/>
        <w:spacing w:after="0"/>
        <w:rPr>
          <w:sz w:val="20"/>
          <w:szCs w:val="20"/>
          <w:color w:val="auto"/>
        </w:rPr>
      </w:pPr>
      <w:r>
        <w:rPr>
          <w:rFonts w:ascii="Times New Roman" w:cs="Times New Roman" w:eastAsia="Times New Roman" w:hAnsi="Times New Roman"/>
          <w:sz w:val="20"/>
          <w:szCs w:val="20"/>
          <w:b w:val="1"/>
          <w:bCs w:val="1"/>
          <w:color w:val="auto"/>
        </w:rPr>
        <w:t>UNDER SECTION 14(d)(4)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2574925</wp:posOffset>
            </wp:positionH>
            <wp:positionV relativeFrom="paragraph">
              <wp:posOffset>137160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1" w:lineRule="exact"/>
        <w:rPr>
          <w:sz w:val="24"/>
          <w:szCs w:val="24"/>
          <w:color w:val="auto"/>
        </w:rPr>
      </w:pPr>
    </w:p>
    <w:p>
      <w:pPr>
        <w:jc w:val="center"/>
        <w:ind w:right="-652"/>
        <w:spacing w:after="0"/>
        <w:rPr>
          <w:sz w:val="20"/>
          <w:szCs w:val="20"/>
          <w:color w:val="auto"/>
        </w:rPr>
      </w:pPr>
      <w:r>
        <w:rPr>
          <w:rFonts w:ascii="Times New Roman" w:cs="Times New Roman" w:eastAsia="Times New Roman" w:hAnsi="Times New Roman"/>
          <w:sz w:val="36"/>
          <w:szCs w:val="36"/>
          <w:b w:val="1"/>
          <w:bCs w:val="1"/>
          <w:color w:val="auto"/>
        </w:rPr>
        <w:t>DESTINATION XL GROUP, INC.</w:t>
      </w:r>
    </w:p>
    <w:p>
      <w:pPr>
        <w:spacing w:after="0" w:line="51" w:lineRule="exact"/>
        <w:rPr>
          <w:sz w:val="24"/>
          <w:szCs w:val="24"/>
          <w:color w:val="auto"/>
        </w:rPr>
      </w:pPr>
    </w:p>
    <w:p>
      <w:pPr>
        <w:ind w:left="4092"/>
        <w:spacing w:after="0"/>
        <w:rPr>
          <w:sz w:val="20"/>
          <w:szCs w:val="20"/>
          <w:color w:val="auto"/>
        </w:rPr>
      </w:pPr>
      <w:r>
        <w:rPr>
          <w:rFonts w:ascii="Times New Roman" w:cs="Times New Roman" w:eastAsia="Times New Roman" w:hAnsi="Times New Roman"/>
          <w:sz w:val="18"/>
          <w:szCs w:val="18"/>
          <w:b w:val="1"/>
          <w:bCs w:val="1"/>
          <w:color w:val="auto"/>
        </w:rPr>
        <w:t>(Name of Subject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2574925</wp:posOffset>
            </wp:positionH>
            <wp:positionV relativeFrom="paragraph">
              <wp:posOffset>141605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8" w:lineRule="exact"/>
        <w:rPr>
          <w:sz w:val="24"/>
          <w:szCs w:val="24"/>
          <w:color w:val="auto"/>
        </w:rPr>
      </w:pPr>
    </w:p>
    <w:p>
      <w:pPr>
        <w:jc w:val="center"/>
        <w:ind w:right="-652"/>
        <w:spacing w:after="0"/>
        <w:rPr>
          <w:sz w:val="20"/>
          <w:szCs w:val="20"/>
          <w:color w:val="auto"/>
        </w:rPr>
      </w:pPr>
      <w:r>
        <w:rPr>
          <w:rFonts w:ascii="Times New Roman" w:cs="Times New Roman" w:eastAsia="Times New Roman" w:hAnsi="Times New Roman"/>
          <w:sz w:val="36"/>
          <w:szCs w:val="36"/>
          <w:b w:val="1"/>
          <w:bCs w:val="1"/>
          <w:color w:val="auto"/>
        </w:rPr>
        <w:t>DESTINATION XL GROUP, INC.</w:t>
      </w:r>
    </w:p>
    <w:p>
      <w:pPr>
        <w:spacing w:after="0" w:line="51" w:lineRule="exact"/>
        <w:rPr>
          <w:sz w:val="24"/>
          <w:szCs w:val="24"/>
          <w:color w:val="auto"/>
        </w:rPr>
      </w:pPr>
    </w:p>
    <w:p>
      <w:pPr>
        <w:ind w:left="3852"/>
        <w:spacing w:after="0"/>
        <w:rPr>
          <w:sz w:val="20"/>
          <w:szCs w:val="20"/>
          <w:color w:val="auto"/>
        </w:rPr>
      </w:pPr>
      <w:r>
        <w:rPr>
          <w:rFonts w:ascii="Times New Roman" w:cs="Times New Roman" w:eastAsia="Times New Roman" w:hAnsi="Times New Roman"/>
          <w:sz w:val="18"/>
          <w:szCs w:val="18"/>
          <w:b w:val="1"/>
          <w:bCs w:val="1"/>
          <w:color w:val="auto"/>
        </w:rPr>
        <w:t>(Name of Person Filing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2574925</wp:posOffset>
            </wp:positionH>
            <wp:positionV relativeFrom="paragraph">
              <wp:posOffset>141605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jc w:val="center"/>
        <w:ind w:right="-652"/>
        <w:spacing w:after="0"/>
        <w:rPr>
          <w:sz w:val="20"/>
          <w:szCs w:val="20"/>
          <w:color w:val="auto"/>
        </w:rPr>
      </w:pPr>
      <w:r>
        <w:rPr>
          <w:rFonts w:ascii="Times New Roman" w:cs="Times New Roman" w:eastAsia="Times New Roman" w:hAnsi="Times New Roman"/>
          <w:sz w:val="20"/>
          <w:szCs w:val="20"/>
          <w:b w:val="1"/>
          <w:bCs w:val="1"/>
          <w:color w:val="auto"/>
        </w:rPr>
        <w:t>COMMON STOCK, PAR VALUE $0.01 PER SHARE</w:t>
      </w:r>
    </w:p>
    <w:p>
      <w:pPr>
        <w:spacing w:after="0" w:line="28" w:lineRule="exact"/>
        <w:rPr>
          <w:sz w:val="24"/>
          <w:szCs w:val="24"/>
          <w:color w:val="auto"/>
        </w:rPr>
      </w:pPr>
    </w:p>
    <w:p>
      <w:pPr>
        <w:jc w:val="center"/>
        <w:ind w:right="-652"/>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197" w:lineRule="exact"/>
        <w:rPr>
          <w:sz w:val="24"/>
          <w:szCs w:val="24"/>
          <w:color w:val="auto"/>
        </w:rPr>
      </w:pPr>
    </w:p>
    <w:p>
      <w:pPr>
        <w:jc w:val="center"/>
        <w:ind w:right="-652"/>
        <w:spacing w:after="0"/>
        <w:rPr>
          <w:sz w:val="20"/>
          <w:szCs w:val="20"/>
          <w:color w:val="auto"/>
        </w:rPr>
      </w:pPr>
      <w:r>
        <w:rPr>
          <w:rFonts w:ascii="Times New Roman" w:cs="Times New Roman" w:eastAsia="Times New Roman" w:hAnsi="Times New Roman"/>
          <w:sz w:val="20"/>
          <w:szCs w:val="20"/>
          <w:b w:val="1"/>
          <w:bCs w:val="1"/>
          <w:color w:val="auto"/>
        </w:rPr>
        <w:t>25065K104</w:t>
      </w:r>
    </w:p>
    <w:p>
      <w:pPr>
        <w:spacing w:after="0" w:line="28" w:lineRule="exact"/>
        <w:rPr>
          <w:sz w:val="24"/>
          <w:szCs w:val="24"/>
          <w:color w:val="auto"/>
        </w:rPr>
      </w:pPr>
    </w:p>
    <w:p>
      <w:pPr>
        <w:jc w:val="center"/>
        <w:ind w:right="-652"/>
        <w:spacing w:after="0"/>
        <w:rPr>
          <w:sz w:val="20"/>
          <w:szCs w:val="20"/>
          <w:color w:val="auto"/>
        </w:rPr>
      </w:pPr>
      <w:r>
        <w:rPr>
          <w:rFonts w:ascii="Times New Roman" w:cs="Times New Roman" w:eastAsia="Times New Roman" w:hAnsi="Times New Roman"/>
          <w:sz w:val="18"/>
          <w:szCs w:val="18"/>
          <w:b w:val="1"/>
          <w:bCs w:val="1"/>
          <w:color w:val="auto"/>
        </w:rPr>
        <w:t>(CUSIP Number of Class of Securities)</w:t>
      </w:r>
    </w:p>
    <w:p>
      <w:pPr>
        <w:spacing w:after="0" w:line="197" w:lineRule="exact"/>
        <w:rPr>
          <w:sz w:val="24"/>
          <w:szCs w:val="24"/>
          <w:color w:val="auto"/>
        </w:rPr>
      </w:pPr>
    </w:p>
    <w:p>
      <w:pPr>
        <w:jc w:val="center"/>
        <w:ind w:right="-652"/>
        <w:spacing w:after="0"/>
        <w:rPr>
          <w:sz w:val="20"/>
          <w:szCs w:val="20"/>
          <w:color w:val="auto"/>
        </w:rPr>
      </w:pPr>
      <w:r>
        <w:rPr>
          <w:rFonts w:ascii="Times New Roman" w:cs="Times New Roman" w:eastAsia="Times New Roman" w:hAnsi="Times New Roman"/>
          <w:sz w:val="20"/>
          <w:szCs w:val="20"/>
          <w:b w:val="1"/>
          <w:bCs w:val="1"/>
          <w:color w:val="auto"/>
        </w:rPr>
        <w:t>Robert S. Molloy</w:t>
      </w:r>
    </w:p>
    <w:p>
      <w:pPr>
        <w:spacing w:after="0" w:line="25" w:lineRule="exact"/>
        <w:rPr>
          <w:sz w:val="24"/>
          <w:szCs w:val="24"/>
          <w:color w:val="auto"/>
        </w:rPr>
      </w:pPr>
    </w:p>
    <w:p>
      <w:pPr>
        <w:jc w:val="center"/>
        <w:ind w:right="-652"/>
        <w:spacing w:after="0"/>
        <w:rPr>
          <w:sz w:val="20"/>
          <w:szCs w:val="20"/>
          <w:color w:val="auto"/>
        </w:rPr>
      </w:pPr>
      <w:r>
        <w:rPr>
          <w:rFonts w:ascii="Times New Roman" w:cs="Times New Roman" w:eastAsia="Times New Roman" w:hAnsi="Times New Roman"/>
          <w:sz w:val="20"/>
          <w:szCs w:val="20"/>
          <w:b w:val="1"/>
          <w:bCs w:val="1"/>
          <w:color w:val="auto"/>
        </w:rPr>
        <w:t>General Counsel and Secretary</w:t>
      </w:r>
    </w:p>
    <w:p>
      <w:pPr>
        <w:jc w:val="center"/>
        <w:ind w:right="-652"/>
        <w:spacing w:after="0"/>
        <w:rPr>
          <w:sz w:val="20"/>
          <w:szCs w:val="20"/>
          <w:color w:val="auto"/>
        </w:rPr>
      </w:pPr>
      <w:r>
        <w:rPr>
          <w:rFonts w:ascii="Times New Roman" w:cs="Times New Roman" w:eastAsia="Times New Roman" w:hAnsi="Times New Roman"/>
          <w:sz w:val="20"/>
          <w:szCs w:val="20"/>
          <w:b w:val="1"/>
          <w:bCs w:val="1"/>
          <w:color w:val="auto"/>
        </w:rPr>
        <w:t>Destination XL Group, Inc.</w:t>
      </w:r>
    </w:p>
    <w:p>
      <w:pPr>
        <w:jc w:val="center"/>
        <w:ind w:right="-652"/>
        <w:spacing w:after="0"/>
        <w:rPr>
          <w:sz w:val="20"/>
          <w:szCs w:val="20"/>
          <w:color w:val="auto"/>
        </w:rPr>
      </w:pPr>
      <w:r>
        <w:rPr>
          <w:rFonts w:ascii="Times New Roman" w:cs="Times New Roman" w:eastAsia="Times New Roman" w:hAnsi="Times New Roman"/>
          <w:sz w:val="20"/>
          <w:szCs w:val="20"/>
          <w:b w:val="1"/>
          <w:bCs w:val="1"/>
          <w:color w:val="auto"/>
        </w:rPr>
        <w:t>555 Turnpike Street</w:t>
      </w:r>
    </w:p>
    <w:p>
      <w:pPr>
        <w:jc w:val="center"/>
        <w:ind w:right="-652"/>
        <w:spacing w:after="0"/>
        <w:rPr>
          <w:sz w:val="20"/>
          <w:szCs w:val="20"/>
          <w:color w:val="auto"/>
        </w:rPr>
      </w:pPr>
      <w:r>
        <w:rPr>
          <w:rFonts w:ascii="Times New Roman" w:cs="Times New Roman" w:eastAsia="Times New Roman" w:hAnsi="Times New Roman"/>
          <w:sz w:val="20"/>
          <w:szCs w:val="20"/>
          <w:b w:val="1"/>
          <w:bCs w:val="1"/>
          <w:color w:val="auto"/>
        </w:rPr>
        <w:t>Canton, Massachusetts 02021</w:t>
      </w:r>
    </w:p>
    <w:p>
      <w:pPr>
        <w:jc w:val="center"/>
        <w:ind w:right="-652"/>
        <w:spacing w:after="0"/>
        <w:rPr>
          <w:sz w:val="20"/>
          <w:szCs w:val="20"/>
          <w:color w:val="auto"/>
        </w:rPr>
      </w:pPr>
      <w:r>
        <w:rPr>
          <w:rFonts w:ascii="Times New Roman" w:cs="Times New Roman" w:eastAsia="Times New Roman" w:hAnsi="Times New Roman"/>
          <w:sz w:val="20"/>
          <w:szCs w:val="20"/>
          <w:b w:val="1"/>
          <w:bCs w:val="1"/>
          <w:color w:val="auto"/>
        </w:rPr>
        <w:t>(781) 828-9300</w:t>
      </w:r>
    </w:p>
    <w:p>
      <w:pPr>
        <w:spacing w:after="0" w:line="194" w:lineRule="exact"/>
        <w:rPr>
          <w:sz w:val="24"/>
          <w:szCs w:val="24"/>
          <w:color w:val="auto"/>
        </w:rPr>
      </w:pPr>
    </w:p>
    <w:p>
      <w:pPr>
        <w:jc w:val="center"/>
        <w:ind w:right="-652"/>
        <w:spacing w:after="0"/>
        <w:rPr>
          <w:sz w:val="20"/>
          <w:szCs w:val="20"/>
          <w:color w:val="auto"/>
        </w:rPr>
      </w:pPr>
      <w:r>
        <w:rPr>
          <w:rFonts w:ascii="Times New Roman" w:cs="Times New Roman" w:eastAsia="Times New Roman" w:hAnsi="Times New Roman"/>
          <w:sz w:val="18"/>
          <w:szCs w:val="18"/>
          <w:b w:val="1"/>
          <w:bCs w:val="1"/>
          <w:color w:val="auto"/>
        </w:rPr>
        <w:t>(Name, address and telephone numbers of person authorized to receive notices and communications</w:t>
      </w:r>
    </w:p>
    <w:p>
      <w:pPr>
        <w:spacing w:after="0" w:line="31" w:lineRule="exact"/>
        <w:rPr>
          <w:sz w:val="24"/>
          <w:szCs w:val="24"/>
          <w:color w:val="auto"/>
        </w:rPr>
      </w:pPr>
    </w:p>
    <w:p>
      <w:pPr>
        <w:jc w:val="center"/>
        <w:ind w:right="-652"/>
        <w:spacing w:after="0"/>
        <w:rPr>
          <w:sz w:val="20"/>
          <w:szCs w:val="20"/>
          <w:color w:val="auto"/>
        </w:rPr>
      </w:pPr>
      <w:r>
        <w:rPr>
          <w:rFonts w:ascii="Times New Roman" w:cs="Times New Roman" w:eastAsia="Times New Roman" w:hAnsi="Times New Roman"/>
          <w:sz w:val="18"/>
          <w:szCs w:val="18"/>
          <w:b w:val="1"/>
          <w:bCs w:val="1"/>
          <w:color w:val="auto"/>
        </w:rPr>
        <w:t>on behalf of the persons filing statement)</w:t>
      </w:r>
    </w:p>
    <w:p>
      <w:pPr>
        <w:spacing w:after="0" w:line="198" w:lineRule="exact"/>
        <w:rPr>
          <w:sz w:val="24"/>
          <w:szCs w:val="24"/>
          <w:color w:val="auto"/>
        </w:rPr>
      </w:pPr>
    </w:p>
    <w:p>
      <w:pPr>
        <w:jc w:val="center"/>
        <w:ind w:right="-652"/>
        <w:spacing w:after="0"/>
        <w:rPr>
          <w:sz w:val="20"/>
          <w:szCs w:val="20"/>
          <w:color w:val="auto"/>
        </w:rPr>
      </w:pPr>
      <w:r>
        <w:rPr>
          <w:rFonts w:ascii="Times New Roman" w:cs="Times New Roman" w:eastAsia="Times New Roman" w:hAnsi="Times New Roman"/>
          <w:sz w:val="20"/>
          <w:szCs w:val="20"/>
          <w:b w:val="1"/>
          <w:bCs w:val="1"/>
          <w:i w:val="1"/>
          <w:iCs w:val="1"/>
          <w:color w:val="auto"/>
        </w:rPr>
        <w:t>With copies to:</w:t>
      </w:r>
    </w:p>
    <w:p>
      <w:pPr>
        <w:spacing w:after="0" w:line="229" w:lineRule="exact"/>
        <w:rPr>
          <w:sz w:val="24"/>
          <w:szCs w:val="24"/>
          <w:color w:val="auto"/>
        </w:rPr>
      </w:pPr>
    </w:p>
    <w:p>
      <w:pPr>
        <w:jc w:val="center"/>
        <w:ind w:right="-652"/>
        <w:spacing w:after="0"/>
        <w:rPr>
          <w:sz w:val="20"/>
          <w:szCs w:val="20"/>
          <w:color w:val="auto"/>
        </w:rPr>
      </w:pPr>
      <w:r>
        <w:rPr>
          <w:rFonts w:ascii="Times New Roman" w:cs="Times New Roman" w:eastAsia="Times New Roman" w:hAnsi="Times New Roman"/>
          <w:sz w:val="20"/>
          <w:szCs w:val="20"/>
          <w:b w:val="1"/>
          <w:bCs w:val="1"/>
          <w:color w:val="auto"/>
        </w:rPr>
        <w:t>Brian H. Blaney</w:t>
      </w:r>
    </w:p>
    <w:p>
      <w:pPr>
        <w:spacing w:after="0" w:line="25" w:lineRule="exact"/>
        <w:rPr>
          <w:sz w:val="24"/>
          <w:szCs w:val="24"/>
          <w:color w:val="auto"/>
        </w:rPr>
      </w:pPr>
    </w:p>
    <w:p>
      <w:pPr>
        <w:jc w:val="center"/>
        <w:ind w:right="-652"/>
        <w:spacing w:after="0"/>
        <w:rPr>
          <w:sz w:val="20"/>
          <w:szCs w:val="20"/>
          <w:color w:val="auto"/>
        </w:rPr>
      </w:pPr>
      <w:r>
        <w:rPr>
          <w:rFonts w:ascii="Times New Roman" w:cs="Times New Roman" w:eastAsia="Times New Roman" w:hAnsi="Times New Roman"/>
          <w:sz w:val="20"/>
          <w:szCs w:val="20"/>
          <w:b w:val="1"/>
          <w:bCs w:val="1"/>
          <w:color w:val="auto"/>
        </w:rPr>
        <w:t>Katherine A. Beck</w:t>
      </w:r>
    </w:p>
    <w:p>
      <w:pPr>
        <w:jc w:val="center"/>
        <w:ind w:right="-652"/>
        <w:spacing w:after="0"/>
        <w:rPr>
          <w:sz w:val="20"/>
          <w:szCs w:val="20"/>
          <w:color w:val="auto"/>
        </w:rPr>
      </w:pPr>
      <w:r>
        <w:rPr>
          <w:rFonts w:ascii="Times New Roman" w:cs="Times New Roman" w:eastAsia="Times New Roman" w:hAnsi="Times New Roman"/>
          <w:sz w:val="20"/>
          <w:szCs w:val="20"/>
          <w:b w:val="1"/>
          <w:bCs w:val="1"/>
          <w:color w:val="auto"/>
        </w:rPr>
        <w:t>Greenberg Traurig, LLP</w:t>
      </w:r>
    </w:p>
    <w:p>
      <w:pPr>
        <w:jc w:val="center"/>
        <w:ind w:right="-652"/>
        <w:spacing w:after="0"/>
        <w:rPr>
          <w:sz w:val="20"/>
          <w:szCs w:val="20"/>
          <w:color w:val="auto"/>
        </w:rPr>
      </w:pPr>
      <w:r>
        <w:rPr>
          <w:rFonts w:ascii="Times New Roman" w:cs="Times New Roman" w:eastAsia="Times New Roman" w:hAnsi="Times New Roman"/>
          <w:sz w:val="20"/>
          <w:szCs w:val="20"/>
          <w:b w:val="1"/>
          <w:bCs w:val="1"/>
          <w:color w:val="auto"/>
        </w:rPr>
        <w:t>2375 E. Camelback Rd., Suite 800</w:t>
      </w:r>
    </w:p>
    <w:p>
      <w:pPr>
        <w:jc w:val="center"/>
        <w:ind w:right="-652"/>
        <w:spacing w:after="0"/>
        <w:rPr>
          <w:sz w:val="20"/>
          <w:szCs w:val="20"/>
          <w:color w:val="auto"/>
        </w:rPr>
      </w:pPr>
      <w:r>
        <w:rPr>
          <w:rFonts w:ascii="Times New Roman" w:cs="Times New Roman" w:eastAsia="Times New Roman" w:hAnsi="Times New Roman"/>
          <w:sz w:val="20"/>
          <w:szCs w:val="20"/>
          <w:b w:val="1"/>
          <w:bCs w:val="1"/>
          <w:color w:val="auto"/>
        </w:rPr>
        <w:t>Phoenix, Arizona 85016</w:t>
      </w:r>
    </w:p>
    <w:p>
      <w:pPr>
        <w:jc w:val="center"/>
        <w:ind w:right="-652"/>
        <w:spacing w:after="0"/>
        <w:rPr>
          <w:sz w:val="20"/>
          <w:szCs w:val="20"/>
          <w:color w:val="auto"/>
        </w:rPr>
      </w:pPr>
      <w:r>
        <w:rPr>
          <w:rFonts w:ascii="Times New Roman" w:cs="Times New Roman" w:eastAsia="Times New Roman" w:hAnsi="Times New Roman"/>
          <w:sz w:val="20"/>
          <w:szCs w:val="20"/>
          <w:b w:val="1"/>
          <w:bCs w:val="1"/>
          <w:color w:val="auto"/>
        </w:rPr>
        <w:t>(602) 445-8000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2574925</wp:posOffset>
            </wp:positionH>
            <wp:positionV relativeFrom="paragraph">
              <wp:posOffset>325755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432" w:hanging="432"/>
        <w:spacing w:after="0"/>
        <w:tabs>
          <w:tab w:leader="none" w:pos="432"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Check the box if the filing relates solely to preliminary communications made before the commencement of a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-291465</wp:posOffset>
            </wp:positionH>
            <wp:positionV relativeFrom="paragraph">
              <wp:posOffset>766445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91"/>
          </w:cols>
          <w:pgMar w:left="768" w:top="1114" w:right="1440" w:bottom="1440" w:gutter="0" w:footer="0" w:header="0"/>
        </w:sectPr>
      </w:pPr>
    </w:p>
    <w:bookmarkStart w:id="1" w:name="page2"/>
    <w:bookmarkEnd w:id="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Destination XL Group, Inc. to Review Unsolicited Tender Offer From Zodiac Partners II</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No Shareholder Action Required at this Time</w:t>
      </w:r>
    </w:p>
    <w:p>
      <w:pPr>
        <w:spacing w:after="0" w:line="223"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CANTON, Mass., May 22, 2026 </w:t>
      </w:r>
      <w:r>
        <w:rPr>
          <w:rFonts w:ascii="Times New Roman" w:cs="Times New Roman" w:eastAsia="Times New Roman" w:hAnsi="Times New Roman"/>
          <w:sz w:val="18"/>
          <w:szCs w:val="18"/>
          <w:color w:val="auto"/>
        </w:rPr>
        <w:t>-- Destination XL Group, Inc. (“DXL”) (NASDAQ: DXLG), the leading integrated commerce retailer of Big + Tall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men’s clothing and shoes, today issued the following statement with respect to the unsolicited $0.82 per share in cash tender offer (the “Offer”) made by Zodiac Partners II, LLC ("Zodiac") on May 12, 2026:</w:t>
      </w:r>
    </w:p>
    <w:p>
      <w:pPr>
        <w:spacing w:after="0" w:line="175" w:lineRule="exact"/>
        <w:rPr>
          <w:sz w:val="20"/>
          <w:szCs w:val="20"/>
          <w:color w:val="auto"/>
        </w:rPr>
      </w:pPr>
    </w:p>
    <w:p>
      <w:pPr>
        <w:ind w:left="760" w:right="220"/>
        <w:spacing w:after="0" w:line="266" w:lineRule="auto"/>
        <w:rPr>
          <w:sz w:val="20"/>
          <w:szCs w:val="20"/>
          <w:color w:val="auto"/>
        </w:rPr>
      </w:pPr>
      <w:r>
        <w:rPr>
          <w:rFonts w:ascii="Times New Roman" w:cs="Times New Roman" w:eastAsia="Times New Roman" w:hAnsi="Times New Roman"/>
          <w:sz w:val="18"/>
          <w:szCs w:val="18"/>
          <w:color w:val="auto"/>
        </w:rPr>
        <w:t>The DXL Board of Directors is carefully evaluating the Offer with its independent financial and legal advisors in furtherance of its fiduciary duties and in light of the Company’s merger agreement with FBB Holdings I, Inc. (“FullBeauty”). The Board will make a recommendation to shareholders in due course.</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DXL shareholders are advised to take no action at this time pending the Board's review of the Offer.</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DXL will advise shareholders of the Board's position regarding the Offer within ten business days of the date of Zodiac’s Offer by filing a Solicitation/Recommendation Statement on Schedule 14D-9 with the U.S. Securities and Exchange Commission (the "SEC"), which will also be published on DXL's investor relations website at investor.dxl.com.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Guggenheim Securities, LLC is acting as financial advisor to DXL, Greenberg Traurig, LLP is acting as its legal advisor and Joele Frank, Wilkinson Brimmer Katcher is serving as its strategic communications advisor.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Destination XL Group, Inc.</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Destination XL Group, Inc. is the leading retailer of Men’s Big + Tall apparel that provides the Big + Tall man the freedom to choose his own style. Subsidiaries of Destination XL Group, Inc. operate DXL Big + Tall retail and outlet stores and Casual Male XL retail and outlet stores throughout the United States, and an e-commerce website, DXL.COM, and mobile app, which offer a multi-channel solution similar to the DXL store experience with the most extensive selection of online products available anywhere for Big + Tall men. The Company is headquartered in Canton, Massachusetts, and its common stock is listed on the Nasdaq Global Market under the symbol "DXLG." For more information, please visit the Company's investor relations website: https://investor.dxl.com.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Investor.relations@dxlg.com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603-933-0541</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about the Zodiac Tender Offer and Where to Find It</w:t>
      </w:r>
    </w:p>
    <w:p>
      <w:pPr>
        <w:spacing w:after="0" w:line="22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DXL intends to file a solicitation/recommendation statement on Schedule 14D-9 with respect to the tender offer with the Securities and Exchange Commission (the “SEC”) within 10 business days of the commencement of the Zodiac tender offer. INVESTORS AND SECURITY HOLDERS ARE ADVISED TO READ ALL RELEVANT DOCUMENTS FILED WITH THE SEC, INCLUDING THE SOLICITATION/RECOMMENDATION STATEMENT AND ANY OTHER RELEVANT DOCUMENTS WHEN THEY BECOME AVAILABLE BECAUSE THEY WILL CONTAIN IMPORTANT INFORMATION ABOUT THE TENDER OFFER. Investors and security holders may obtain free copies of the solicitation/recommendation statement (when available) as well as other filings by DXL, without charge, at the SEC’s website, http://www.sec.gov, or by accessing DXL’s website at investor.dxl.com. In addition, documents filed with the SEC by DXL will be available free of charge by writing to DXL at 555 Turnpike Street, Canton, Massachusetts 02021, Attention: Corporate Secretary.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about the Merger and Where to Find It</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communication does not constitute an offer to sell or the solicitation of an offer to buy any securities or a solicitation of any vote or approval. This communication may be deemed to be solicitation material in respect of the proposed merger (the “Merger”) between DXL and FullBeauty. In connection with the Merger, DXL intends to file a proxy statement (the “Proxy Statement”), which will be distributed to the stockholders of DXL in connection with their votes on the issuance of DXL Common Stock in the Merger. INVESTORS AND SECURITY HOLDERS ARE ADVISED TO READ THE PROXY STATEMENT WHEN IT BECOMES AVAILABLE (AND ANY OTHER DOCUMENTS FILED WITH THE SECURITIES AND EXCHANGE COMMISSION (THE “SEC”) IN CONNECTION WITH THE MERGER OR INCORPORATED BY</w:t>
      </w:r>
    </w:p>
    <w:p>
      <w:pPr>
        <w:spacing w:after="0" w:line="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22" w:right="399" w:bottom="1440" w:gutter="0" w:footer="0" w:header="0"/>
        </w:sectPr>
      </w:pPr>
    </w:p>
    <w:bookmarkStart w:id="2" w:name="page3"/>
    <w:bookmarkEnd w:id="2"/>
    <w:p>
      <w:pPr>
        <w:ind w:right="100"/>
        <w:spacing w:after="0" w:line="258" w:lineRule="auto"/>
        <w:rPr>
          <w:sz w:val="20"/>
          <w:szCs w:val="20"/>
          <w:color w:val="auto"/>
        </w:rPr>
      </w:pPr>
      <w:r>
        <w:rPr>
          <w:rFonts w:ascii="Times New Roman" w:cs="Times New Roman" w:eastAsia="Times New Roman" w:hAnsi="Times New Roman"/>
          <w:sz w:val="18"/>
          <w:szCs w:val="18"/>
          <w:color w:val="auto"/>
        </w:rPr>
        <w:t>REFERENCE INTO THE PROXY STATEMENT) BECAUSE SUCH DOCUMENTS WILL CONTAIN IMPORTANT INFORMATION REGARDING THE MERGER AND RELATED MATTERS. Investors and security holders will be able to obtain these documents, and any other documents DXL has filed with the SEC, free of charge at the SEC’s website, www.sec.gov, or by accessing DXL’s website at investor.dxl.com. In addition, documents filed with the SEC by DXL will be available free of charge by writing to DXL at 555 Turnpike Street, Canton, Massachusetts 02021, Attention: Corporate Secretary.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DXL and certain of its directors and executive officers may be deemed to be participants in the solicitation of proxies from the stockholders of DXL in connection with the Merger. Information about DXL’s directors and executive officers, including a description of their direct or indirect interests, by security holdings or otherwise, is set forth in DXL’s proxy statement for its 2025 annual meeting of stockholders, which was filed with the SEC on June 30, 2025, including under the headings “Director Compensation,” “Compensation Discussion and Analysis,” “Executive Compensation,” “Security Ownership of Management.” To the extent holdings of DXL Common Stock by the directors and executive officers of DXL have changed from the amounts of DXL Common Stock held by such persons as reflected therein, such changes have been or will be reflected on Initial Statements of Beneficial Ownership of Securities on Form 3, Statements of Changes in Beneficial Ownership on Form 4 or Annual Statements of Changes in Beneficial Ownership of Securities on Form 5, in each case filed with the SEC, including the Form 4s filed by each of the non-executive directors on August 6, 2025, the Form 4s filed by each of the executive officers on September 3, 2025 and the Form 4s filed by each of the non-executive directors on November 5, 2025.</w:t>
      </w:r>
    </w:p>
    <w:p>
      <w:pPr>
        <w:spacing w:after="0" w:line="18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FBB and its chief executive officer may be deemed to be participants in the solicitation of proxies from the stockholders of DXL in connection with the Merger. Information about FBB and its chief executive officer can be found in the Form 8-K filed by DXL with the SEC on December 11, 2025.</w:t>
      </w:r>
    </w:p>
    <w:p>
      <w:pPr>
        <w:spacing w:after="0" w:line="162"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Additional information regarding the participants in the proxy solicitation and a description of their direct and indirect interests, by security holdings or otherwise, will be contained in the Proxy Statement regarding the Merger when it becomes available. Free copies of this document may be obtained as described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addition to historical information, this document contains forward-looking statements within the meaning of Section 27A of the Securities Act of 1933, as amended, and Section 21E of the Securities Exchange Act of 1934, as amended. These forward-looking statements, including statements as to the expected timing, are based on current expectations, estimates and beliefs of DXL management. Words such as “anticipates,” “believes,” “estimates,” “expects,” “intends,” “plans,” “seeks” and variations of such words and similar expressions are intended to identify such forward-looking statements, which generally are not historical in nature. With respect to any such forward-looking statements, DXL claims the protection provided for in the Private Securities Litigation Reform Act of 1995. Although we believe the expectations reflected in any forward-looking statements are based on reasonable assumptions, we can give no assurance that our expectations will be attained and therefore, actual outcomes and results may differ materially from what is expressed or forecasted in such forward-looking statements. These forward-looking statements could be affected by factors including, without limitation, the risks and factors detailed in reports filed with the SEC by DXL from time to time, including those discussed under the heading “Risk Factors” in DXL’s most recently filed Annual Report on Form 10-K. These documents are available through our website or through the SEC’s Electronic Data Gathering and Analysis Retrieval (EDGAR) system at http://www.sec.gov. Neither DXL undertakes any duty to update any forward-looking statements contained herein, whether as a result of new information or developments, future events or otherwise, except as required by law. Readers are cautioned not to place undue reliance on any of these forward-looking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0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2026-05-22T16:37:25Z</dcterms:created>
  <dcterms:modified xsi:type="dcterms:W3CDTF">2026-05-22T16:37:25Z</dcterms:modified>
</cp:coreProperties>
</file>