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ind w:left="2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2860"/>
        <w:spacing w:after="0"/>
        <w:tabs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  <w:tab/>
        <w:t>20549</w:t>
      </w:r>
    </w:p>
    <w:p>
      <w:pPr>
        <w:ind w:left="2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ind w:left="3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</w:t>
      </w:r>
    </w:p>
    <w:p>
      <w:pPr>
        <w:ind w:left="2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640"/>
        <w:spacing w:after="0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April 25, 2006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0-15898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(Commission File Number)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CASUAL MALE RETAIL GROUP, INC.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(State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04-2623104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(IRS Employer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300" w:space="720"/>
            <w:col w:w="4199"/>
          </w:cols>
          <w:pgMar w:left="240" w:top="447" w:right="1440" w:bottom="1440" w:gutter="0" w:footer="0" w:header="0"/>
          <w:type w:val="continuous"/>
        </w:sect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2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555 Turnpike Street, Canton, Massachusetts 02021</w:t>
      </w:r>
    </w:p>
    <w:p>
      <w:pPr>
        <w:jc w:val="center"/>
        <w:ind w:right="21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registrant's principal executive office)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800" w:hanging="632"/>
        <w:spacing w:after="0"/>
        <w:tabs>
          <w:tab w:leader="none" w:pos="380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828-9300</w:t>
      </w:r>
    </w:p>
    <w:p>
      <w:pPr>
        <w:ind w:left="22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number)</w:t>
      </w:r>
    </w:p>
    <w:p>
      <w:pPr>
        <w:ind w:left="23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right="2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209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Written communications pursuant to Rule 425 under the Securities Act (17 CFR 230.425)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20" w:right="2839" w:hanging="412"/>
        <w:spacing w:after="0" w:line="235" w:lineRule="auto"/>
        <w:tabs>
          <w:tab w:leader="none" w:pos="209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Soliciting material pursuant to Rule 14a-12 under the Exchange Act (17 CFR 240.14a-12)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20" w:right="2739" w:hanging="412"/>
        <w:spacing w:after="0" w:line="235" w:lineRule="auto"/>
        <w:tabs>
          <w:tab w:leader="none" w:pos="209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Pre-commencement communications pursuant to Rule 14d-2(b) under the Exchange Act(17 CFR 240.14d-2(b))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20" w:right="2739" w:hanging="412"/>
        <w:spacing w:after="0" w:line="235" w:lineRule="auto"/>
        <w:tabs>
          <w:tab w:leader="none" w:pos="209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Pre-commencement communications pursuant to Rule 13e-4(c) under the Exchange Act(17 CFR 240.13e-4(c))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1580" w:right="2619" w:hanging="1579"/>
        <w:spacing w:after="0" w:line="235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5.02.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Departure of Directors or Principal Officers; Election of Directors; Appointment of Principal Officers.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April 25, 2006, James P. Frain informed Casual Male Retail Group, Inc. (the "Company") that he will not stand for re-election to the Company's Board of Directors when his term expires at the Company's upcoming annual meeting of stockholders. His decision not to stand for re-election was not due to any disagreement on any matters relating to the Company's operations, policies or practices. Mr. Frain has recently opened a consulting firm for the apparel industry. It is expected that the Company and Mr. Frain will enter into a consulting arrangement, whereby Mr. Frain will provide expertise on marketing issues.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registrant has duly caused this report to be signed on its behalf by the undersigned, thereunto duly authorized.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CASUAL MALE RETAIL GROUP, INC.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Dennis R. Hernreich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860"/>
        <w:spacing w:after="0"/>
        <w:tabs>
          <w:tab w:leader="none" w:pos="55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</w:t>
        <w:tab/>
        <w:t>Dennis R. Hernreich</w:t>
      </w:r>
    </w:p>
    <w:p>
      <w:pPr>
        <w:ind w:left="4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Executive Vice President</w:t>
      </w: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April 27, 2006</w:t>
      </w:r>
    </w:p>
    <w:sectPr>
      <w:pgSz w:w="11900" w:h="16838" w:orient="portrait"/>
      <w:cols w:equalWidth="0" w:num="1">
        <w:col w:w="10219"/>
      </w:cols>
      <w:pgMar w:left="2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(%1)"/>
      <w:numFmt w:val="decimal"/>
      <w:start w:val="781"/>
    </w:lvl>
  </w:abstractNum>
  <w:abstractNum w:abstractNumId="1">
    <w:nsid w:val="2AE8944A"/>
    <w:multiLevelType w:val="hybridMultilevel"/>
    <w:lvl w:ilvl="0">
      <w:lvlJc w:val="left"/>
      <w:lvlText w:val="[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[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[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2019-12-19T22:11:58Z</dcterms:created>
  <dcterms:modified xsi:type="dcterms:W3CDTF">2019-12-19T22:11:58Z</dcterms:modified>
</cp:coreProperties>
</file>