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161290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8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48"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Date of Report (Date of earliest event reported): May 25,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222885</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98"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DESTINATION XL GROUP, INC.</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247650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1" w:lineRule="exact"/>
        <w:rPr>
          <w:sz w:val="24"/>
          <w:szCs w:val="24"/>
          <w:color w:val="auto"/>
        </w:rPr>
      </w:pPr>
    </w:p>
    <w:tbl>
      <w:tblPr>
        <w:tblLayout w:type="fixed"/>
        <w:tblInd w:w="1160" w:type="dxa"/>
        <w:tblCellMar>
          <w:top w:w="0" w:type="dxa"/>
          <w:left w:w="0" w:type="dxa"/>
          <w:bottom w:w="0" w:type="dxa"/>
          <w:right w:w="0" w:type="dxa"/>
        </w:tblCellMar>
      </w:tblPr>
      <w:tr>
        <w:trPr>
          <w:trHeight w:val="234"/>
        </w:trPr>
        <w:tc>
          <w:tcPr>
            <w:tcW w:w="3020" w:type="dxa"/>
            <w:vAlign w:val="bottom"/>
          </w:tcPr>
          <w:p>
            <w:pPr>
              <w:jc w:val="center"/>
              <w:ind w:right="621"/>
              <w:spacing w:after="0"/>
              <w:rPr>
                <w:sz w:val="20"/>
                <w:szCs w:val="20"/>
                <w:color w:val="auto"/>
              </w:rPr>
            </w:pPr>
            <w:r>
              <w:rPr>
                <w:rFonts w:ascii="Arial" w:cs="Arial" w:eastAsia="Arial" w:hAnsi="Arial"/>
                <w:sz w:val="18"/>
                <w:szCs w:val="18"/>
                <w:b w:val="1"/>
                <w:bCs w:val="1"/>
                <w:color w:val="auto"/>
                <w:w w:val="91"/>
              </w:rPr>
              <w:t>Delaware</w:t>
            </w:r>
          </w:p>
        </w:tc>
        <w:tc>
          <w:tcPr>
            <w:tcW w:w="3240" w:type="dxa"/>
            <w:vAlign w:val="bottom"/>
          </w:tcPr>
          <w:p>
            <w:pPr>
              <w:jc w:val="right"/>
              <w:ind w:right="1341"/>
              <w:spacing w:after="0"/>
              <w:rPr>
                <w:sz w:val="20"/>
                <w:szCs w:val="20"/>
                <w:color w:val="auto"/>
              </w:rPr>
            </w:pPr>
            <w:r>
              <w:rPr>
                <w:rFonts w:ascii="Arial" w:cs="Arial" w:eastAsia="Arial" w:hAnsi="Arial"/>
                <w:sz w:val="18"/>
                <w:szCs w:val="18"/>
                <w:b w:val="1"/>
                <w:bCs w:val="1"/>
                <w:color w:val="auto"/>
              </w:rPr>
              <w:t>01-34219</w:t>
            </w:r>
          </w:p>
        </w:tc>
        <w:tc>
          <w:tcPr>
            <w:tcW w:w="2060" w:type="dxa"/>
            <w:vAlign w:val="bottom"/>
          </w:tcPr>
          <w:p>
            <w:pPr>
              <w:jc w:val="right"/>
              <w:ind w:right="24"/>
              <w:spacing w:after="0"/>
              <w:rPr>
                <w:sz w:val="20"/>
                <w:szCs w:val="20"/>
                <w:color w:val="auto"/>
              </w:rPr>
            </w:pPr>
            <w:r>
              <w:rPr>
                <w:rFonts w:ascii="Arial" w:cs="Arial" w:eastAsia="Arial" w:hAnsi="Arial"/>
                <w:sz w:val="18"/>
                <w:szCs w:val="18"/>
                <w:b w:val="1"/>
                <w:bCs w:val="1"/>
                <w:color w:val="auto"/>
              </w:rPr>
              <w:t>04-2623104</w:t>
            </w:r>
          </w:p>
        </w:tc>
      </w:tr>
      <w:tr>
        <w:trPr>
          <w:trHeight w:val="163"/>
        </w:trPr>
        <w:tc>
          <w:tcPr>
            <w:tcW w:w="3020" w:type="dxa"/>
            <w:vAlign w:val="bottom"/>
          </w:tcPr>
          <w:p>
            <w:pPr>
              <w:jc w:val="center"/>
              <w:ind w:right="621"/>
              <w:spacing w:after="0"/>
              <w:rPr>
                <w:sz w:val="20"/>
                <w:szCs w:val="20"/>
                <w:color w:val="auto"/>
              </w:rPr>
            </w:pPr>
            <w:r>
              <w:rPr>
                <w:rFonts w:ascii="Arial" w:cs="Arial" w:eastAsia="Arial" w:hAnsi="Arial"/>
                <w:sz w:val="13"/>
                <w:szCs w:val="13"/>
                <w:b w:val="1"/>
                <w:bCs w:val="1"/>
                <w:color w:val="auto"/>
                <w:w w:val="95"/>
              </w:rPr>
              <w:t>(State or Other Jurisdiction</w:t>
            </w:r>
          </w:p>
        </w:tc>
        <w:tc>
          <w:tcPr>
            <w:tcW w:w="3240" w:type="dxa"/>
            <w:vAlign w:val="bottom"/>
          </w:tcPr>
          <w:p>
            <w:pPr>
              <w:jc w:val="center"/>
              <w:ind w:right="221"/>
              <w:spacing w:after="0"/>
              <w:rPr>
                <w:sz w:val="20"/>
                <w:szCs w:val="20"/>
                <w:color w:val="auto"/>
              </w:rPr>
            </w:pPr>
            <w:r>
              <w:rPr>
                <w:rFonts w:ascii="Arial" w:cs="Arial" w:eastAsia="Arial" w:hAnsi="Arial"/>
                <w:sz w:val="13"/>
                <w:szCs w:val="13"/>
                <w:b w:val="1"/>
                <w:bCs w:val="1"/>
                <w:color w:val="auto"/>
                <w:w w:val="95"/>
              </w:rPr>
              <w:t>(Commission File Number)</w:t>
            </w:r>
          </w:p>
        </w:tc>
        <w:tc>
          <w:tcPr>
            <w:tcW w:w="2060" w:type="dxa"/>
            <w:vAlign w:val="bottom"/>
          </w:tcPr>
          <w:p>
            <w:pPr>
              <w:jc w:val="center"/>
              <w:ind w:left="924"/>
              <w:spacing w:after="0"/>
              <w:rPr>
                <w:sz w:val="20"/>
                <w:szCs w:val="20"/>
                <w:color w:val="auto"/>
              </w:rPr>
            </w:pPr>
            <w:r>
              <w:rPr>
                <w:rFonts w:ascii="Arial" w:cs="Arial" w:eastAsia="Arial" w:hAnsi="Arial"/>
                <w:sz w:val="13"/>
                <w:szCs w:val="13"/>
                <w:b w:val="1"/>
                <w:bCs w:val="1"/>
                <w:color w:val="auto"/>
                <w:w w:val="96"/>
              </w:rPr>
              <w:t>(IRS Employer</w:t>
            </w:r>
          </w:p>
        </w:tc>
      </w:tr>
      <w:tr>
        <w:trPr>
          <w:trHeight w:val="174"/>
        </w:trPr>
        <w:tc>
          <w:tcPr>
            <w:tcW w:w="3020" w:type="dxa"/>
            <w:vAlign w:val="bottom"/>
          </w:tcPr>
          <w:p>
            <w:pPr>
              <w:jc w:val="center"/>
              <w:ind w:right="621"/>
              <w:spacing w:after="0"/>
              <w:rPr>
                <w:sz w:val="20"/>
                <w:szCs w:val="20"/>
                <w:color w:val="auto"/>
              </w:rPr>
            </w:pPr>
            <w:r>
              <w:rPr>
                <w:rFonts w:ascii="Arial" w:cs="Arial" w:eastAsia="Arial" w:hAnsi="Arial"/>
                <w:sz w:val="13"/>
                <w:szCs w:val="13"/>
                <w:b w:val="1"/>
                <w:bCs w:val="1"/>
                <w:color w:val="auto"/>
                <w:w w:val="96"/>
              </w:rPr>
              <w:t>of Incorporation)</w:t>
            </w:r>
          </w:p>
        </w:tc>
        <w:tc>
          <w:tcPr>
            <w:tcW w:w="3240" w:type="dxa"/>
            <w:vAlign w:val="bottom"/>
          </w:tcPr>
          <w:p>
            <w:pPr>
              <w:spacing w:after="0"/>
              <w:rPr>
                <w:sz w:val="15"/>
                <w:szCs w:val="15"/>
                <w:color w:val="auto"/>
              </w:rPr>
            </w:pPr>
          </w:p>
        </w:tc>
        <w:tc>
          <w:tcPr>
            <w:tcW w:w="2060" w:type="dxa"/>
            <w:vAlign w:val="bottom"/>
          </w:tcPr>
          <w:p>
            <w:pPr>
              <w:jc w:val="center"/>
              <w:ind w:left="924"/>
              <w:spacing w:after="0"/>
              <w:rPr>
                <w:sz w:val="20"/>
                <w:szCs w:val="20"/>
                <w:color w:val="auto"/>
              </w:rPr>
            </w:pPr>
            <w:r>
              <w:rPr>
                <w:rFonts w:ascii="Arial" w:cs="Arial" w:eastAsia="Arial" w:hAnsi="Arial"/>
                <w:sz w:val="13"/>
                <w:szCs w:val="13"/>
                <w:b w:val="1"/>
                <w:bCs w:val="1"/>
                <w:color w:val="auto"/>
                <w:w w:val="96"/>
              </w:rPr>
              <w:t>Identification No.)</w:t>
            </w:r>
          </w:p>
        </w:tc>
      </w:tr>
      <w:tr>
        <w:trPr>
          <w:trHeight w:val="473"/>
        </w:trPr>
        <w:tc>
          <w:tcPr>
            <w:tcW w:w="3020" w:type="dxa"/>
            <w:vAlign w:val="bottom"/>
          </w:tcPr>
          <w:p>
            <w:pPr>
              <w:jc w:val="center"/>
              <w:ind w:right="621"/>
              <w:spacing w:after="0"/>
              <w:rPr>
                <w:sz w:val="20"/>
                <w:szCs w:val="20"/>
                <w:color w:val="auto"/>
              </w:rPr>
            </w:pPr>
            <w:r>
              <w:rPr>
                <w:rFonts w:ascii="Arial" w:cs="Arial" w:eastAsia="Arial" w:hAnsi="Arial"/>
                <w:sz w:val="18"/>
                <w:szCs w:val="18"/>
                <w:b w:val="1"/>
                <w:bCs w:val="1"/>
                <w:color w:val="auto"/>
                <w:w w:val="90"/>
              </w:rPr>
              <w:t>555 Turnpike Street</w:t>
            </w:r>
          </w:p>
        </w:tc>
        <w:tc>
          <w:tcPr>
            <w:tcW w:w="324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243"/>
        </w:trPr>
        <w:tc>
          <w:tcPr>
            <w:tcW w:w="3020" w:type="dxa"/>
            <w:vAlign w:val="bottom"/>
          </w:tcPr>
          <w:p>
            <w:pPr>
              <w:jc w:val="center"/>
              <w:ind w:right="621"/>
              <w:spacing w:after="0"/>
              <w:rPr>
                <w:sz w:val="20"/>
                <w:szCs w:val="20"/>
                <w:color w:val="auto"/>
              </w:rPr>
            </w:pPr>
            <w:r>
              <w:rPr>
                <w:rFonts w:ascii="Arial" w:cs="Arial" w:eastAsia="Arial" w:hAnsi="Arial"/>
                <w:sz w:val="18"/>
                <w:szCs w:val="18"/>
                <w:b w:val="1"/>
                <w:bCs w:val="1"/>
                <w:color w:val="auto"/>
                <w:w w:val="87"/>
              </w:rPr>
              <w:t>Canton, Massachusetts</w:t>
            </w:r>
          </w:p>
        </w:tc>
        <w:tc>
          <w:tcPr>
            <w:tcW w:w="3240" w:type="dxa"/>
            <w:vAlign w:val="bottom"/>
          </w:tcPr>
          <w:p>
            <w:pPr>
              <w:spacing w:after="0"/>
              <w:rPr>
                <w:sz w:val="21"/>
                <w:szCs w:val="21"/>
                <w:color w:val="auto"/>
              </w:rPr>
            </w:pPr>
          </w:p>
        </w:tc>
        <w:tc>
          <w:tcPr>
            <w:tcW w:w="2060" w:type="dxa"/>
            <w:vAlign w:val="bottom"/>
          </w:tcPr>
          <w:p>
            <w:pPr>
              <w:jc w:val="right"/>
              <w:ind w:right="224"/>
              <w:spacing w:after="0"/>
              <w:rPr>
                <w:sz w:val="20"/>
                <w:szCs w:val="20"/>
                <w:color w:val="auto"/>
              </w:rPr>
            </w:pPr>
            <w:r>
              <w:rPr>
                <w:rFonts w:ascii="Arial" w:cs="Arial" w:eastAsia="Arial" w:hAnsi="Arial"/>
                <w:sz w:val="18"/>
                <w:szCs w:val="18"/>
                <w:b w:val="1"/>
                <w:bCs w:val="1"/>
                <w:color w:val="auto"/>
              </w:rPr>
              <w:t>02021</w:t>
            </w:r>
          </w:p>
        </w:tc>
      </w:tr>
      <w:tr>
        <w:trPr>
          <w:trHeight w:val="188"/>
        </w:trPr>
        <w:tc>
          <w:tcPr>
            <w:tcW w:w="3020" w:type="dxa"/>
            <w:vAlign w:val="bottom"/>
          </w:tcPr>
          <w:p>
            <w:pPr>
              <w:jc w:val="center"/>
              <w:ind w:right="621"/>
              <w:spacing w:after="0"/>
              <w:rPr>
                <w:sz w:val="20"/>
                <w:szCs w:val="20"/>
                <w:color w:val="auto"/>
              </w:rPr>
            </w:pPr>
            <w:r>
              <w:rPr>
                <w:rFonts w:ascii="Arial" w:cs="Arial" w:eastAsia="Arial" w:hAnsi="Arial"/>
                <w:sz w:val="13"/>
                <w:szCs w:val="13"/>
                <w:b w:val="1"/>
                <w:bCs w:val="1"/>
                <w:color w:val="auto"/>
                <w:w w:val="93"/>
              </w:rPr>
              <w:t>(Address of Principal Executive Offices)</w:t>
            </w:r>
          </w:p>
        </w:tc>
        <w:tc>
          <w:tcPr>
            <w:tcW w:w="3240" w:type="dxa"/>
            <w:vAlign w:val="bottom"/>
          </w:tcPr>
          <w:p>
            <w:pPr>
              <w:spacing w:after="0"/>
              <w:rPr>
                <w:sz w:val="16"/>
                <w:szCs w:val="16"/>
                <w:color w:val="auto"/>
              </w:rPr>
            </w:pPr>
          </w:p>
        </w:tc>
        <w:tc>
          <w:tcPr>
            <w:tcW w:w="2060" w:type="dxa"/>
            <w:vAlign w:val="bottom"/>
          </w:tcPr>
          <w:p>
            <w:pPr>
              <w:jc w:val="center"/>
              <w:ind w:left="924"/>
              <w:spacing w:after="0"/>
              <w:rPr>
                <w:sz w:val="20"/>
                <w:szCs w:val="20"/>
                <w:color w:val="auto"/>
              </w:rPr>
            </w:pPr>
            <w:r>
              <w:rPr>
                <w:rFonts w:ascii="Arial" w:cs="Arial" w:eastAsia="Arial" w:hAnsi="Arial"/>
                <w:sz w:val="13"/>
                <w:szCs w:val="13"/>
                <w:b w:val="1"/>
                <w:bCs w:val="1"/>
                <w:color w:val="auto"/>
                <w:w w:val="96"/>
              </w:rPr>
              <w:t>(Zip Code)</w:t>
            </w:r>
          </w:p>
        </w:tc>
      </w:tr>
    </w:tbl>
    <w:p>
      <w:pPr>
        <w:spacing w:after="0" w:line="200" w:lineRule="exact"/>
        <w:rPr>
          <w:sz w:val="24"/>
          <w:szCs w:val="24"/>
          <w:color w:val="auto"/>
        </w:rPr>
      </w:pPr>
    </w:p>
    <w:p>
      <w:pPr>
        <w:spacing w:after="0" w:line="25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Registrant’s Telephone Number, Including Area Code: 781 828-9300</w:t>
      </w:r>
    </w:p>
    <w:p>
      <w:pPr>
        <w:spacing w:after="0" w:line="200" w:lineRule="exact"/>
        <w:rPr>
          <w:sz w:val="24"/>
          <w:szCs w:val="24"/>
          <w:color w:val="auto"/>
        </w:rPr>
      </w:pPr>
    </w:p>
    <w:p>
      <w:pPr>
        <w:spacing w:after="0" w:line="200" w:lineRule="exact"/>
        <w:rPr>
          <w:sz w:val="24"/>
          <w:szCs w:val="24"/>
          <w:color w:val="auto"/>
        </w:rPr>
      </w:pPr>
    </w:p>
    <w:p>
      <w:pPr>
        <w:spacing w:after="0" w:line="263"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247650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16"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12"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3"/>
              </w:rPr>
              <w:t>Trading</w:t>
            </w:r>
          </w:p>
        </w:tc>
        <w:tc>
          <w:tcPr>
            <w:tcW w:w="140" w:type="dxa"/>
            <w:vAlign w:val="bottom"/>
          </w:tcPr>
          <w:p>
            <w:pPr>
              <w:spacing w:after="0"/>
              <w:rPr>
                <w:sz w:val="18"/>
                <w:szCs w:val="18"/>
                <w:color w:val="auto"/>
              </w:rPr>
            </w:pPr>
          </w:p>
        </w:tc>
        <w:tc>
          <w:tcPr>
            <w:tcW w:w="5020" w:type="dxa"/>
            <w:vAlign w:val="bottom"/>
          </w:tcPr>
          <w:p>
            <w:pPr>
              <w:spacing w:after="0"/>
              <w:rPr>
                <w:sz w:val="18"/>
                <w:szCs w:val="18"/>
                <w:color w:val="auto"/>
              </w:rPr>
            </w:pPr>
          </w:p>
        </w:tc>
      </w:tr>
      <w:tr>
        <w:trPr>
          <w:trHeight w:val="241"/>
        </w:trPr>
        <w:tc>
          <w:tcPr>
            <w:tcW w:w="4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Title of each class</w:t>
            </w:r>
          </w:p>
        </w:tc>
        <w:tc>
          <w:tcPr>
            <w:tcW w:w="16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Symbol(s)</w:t>
            </w:r>
          </w:p>
        </w:tc>
        <w:tc>
          <w:tcPr>
            <w:tcW w:w="140" w:type="dxa"/>
            <w:vAlign w:val="bottom"/>
          </w:tcPr>
          <w:p>
            <w:pPr>
              <w:spacing w:after="0"/>
              <w:rPr>
                <w:sz w:val="20"/>
                <w:szCs w:val="20"/>
                <w:color w:val="auto"/>
              </w:rPr>
            </w:pPr>
          </w:p>
        </w:tc>
        <w:tc>
          <w:tcPr>
            <w:tcW w:w="5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30"/>
        </w:trPr>
        <w:tc>
          <w:tcPr>
            <w:tcW w:w="4240" w:type="dxa"/>
            <w:vAlign w:val="bottom"/>
          </w:tcPr>
          <w:p>
            <w:pPr>
              <w:jc w:val="center"/>
              <w:spacing w:after="0"/>
              <w:rPr>
                <w:sz w:val="20"/>
                <w:szCs w:val="20"/>
                <w:color w:val="auto"/>
              </w:rPr>
            </w:pPr>
            <w:r>
              <w:rPr>
                <w:rFonts w:ascii="Arial" w:cs="Arial" w:eastAsia="Arial" w:hAnsi="Arial"/>
                <w:sz w:val="18"/>
                <w:szCs w:val="18"/>
                <w:color w:val="auto"/>
                <w:w w:val="89"/>
              </w:rPr>
              <w:t>Common Stock, par value $0.01 per share</w:t>
            </w:r>
          </w:p>
        </w:tc>
        <w:tc>
          <w:tcPr>
            <w:tcW w:w="16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rPr>
              <w:t>DXLG</w:t>
            </w:r>
          </w:p>
        </w:tc>
        <w:tc>
          <w:tcPr>
            <w:tcW w:w="140" w:type="dxa"/>
            <w:vAlign w:val="bottom"/>
          </w:tcPr>
          <w:p>
            <w:pPr>
              <w:spacing w:after="0"/>
              <w:rPr>
                <w:sz w:val="20"/>
                <w:szCs w:val="20"/>
                <w:color w:val="auto"/>
              </w:rPr>
            </w:pPr>
          </w:p>
        </w:tc>
        <w:tc>
          <w:tcPr>
            <w:tcW w:w="5020" w:type="dxa"/>
            <w:vAlign w:val="bottom"/>
          </w:tcPr>
          <w:p>
            <w:pPr>
              <w:jc w:val="center"/>
              <w:spacing w:after="0"/>
              <w:rPr>
                <w:sz w:val="20"/>
                <w:szCs w:val="20"/>
                <w:color w:val="auto"/>
              </w:rPr>
            </w:pPr>
            <w:r>
              <w:rPr>
                <w:rFonts w:ascii="Arial" w:cs="Arial" w:eastAsia="Arial" w:hAnsi="Arial"/>
                <w:sz w:val="18"/>
                <w:szCs w:val="18"/>
                <w:color w:val="auto"/>
                <w:w w:val="91"/>
              </w:rPr>
              <w:t>The Nasdaq Stock Market LLC</w:t>
            </w:r>
          </w:p>
        </w:tc>
      </w:tr>
    </w:tbl>
    <w:p>
      <w:pPr>
        <w:spacing w:after="0" w:line="214"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7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6" w:lineRule="exact"/>
        <w:rPr>
          <w:sz w:val="24"/>
          <w:szCs w:val="24"/>
          <w:color w:val="auto"/>
        </w:rPr>
      </w:pPr>
    </w:p>
    <w:p>
      <w:pPr>
        <w:ind w:right="16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338455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On May 25, 2023, Destination XL Group, Inc. (the “Company”) issued a press release announcing the Company’s operating results for the first quarter of fiscal 2023. A copy of this press release is furnished herewith as Exhibit 99.1.</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An audio webcast to discuss the Company’s operating results for the first quarter of fiscal 2023 will be held today, Thursday, May 25, 2023 at 9:00 a.m. ET.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Interested parties can access the webcast on the Company's website at www.dxl.com under the Investor Relations section.</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2420" w:type="dxa"/>
            <w:vAlign w:val="bottom"/>
            <w:gridSpan w:val="2"/>
          </w:tcPr>
          <w:p>
            <w:pPr>
              <w:ind w:left="520"/>
              <w:spacing w:after="0"/>
              <w:rPr>
                <w:sz w:val="20"/>
                <w:szCs w:val="20"/>
                <w:color w:val="auto"/>
              </w:rPr>
            </w:pPr>
            <w:r>
              <w:rPr>
                <w:rFonts w:ascii="Arial" w:cs="Arial" w:eastAsia="Arial" w:hAnsi="Arial"/>
                <w:sz w:val="18"/>
                <w:szCs w:val="18"/>
                <w:color w:val="auto"/>
              </w:rPr>
              <w:t>(d) Exhibits</w:t>
            </w:r>
          </w:p>
        </w:tc>
        <w:tc>
          <w:tcPr>
            <w:tcW w:w="88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242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8800" w:type="dxa"/>
            <w:vAlign w:val="bottom"/>
            <w:gridSpan w:val="5"/>
          </w:tcPr>
          <w:p>
            <w:pPr>
              <w:spacing w:after="0"/>
              <w:rPr>
                <w:sz w:val="20"/>
                <w:szCs w:val="20"/>
                <w:color w:val="auto"/>
              </w:rPr>
            </w:pPr>
            <w:r>
              <w:rPr>
                <w:rFonts w:ascii="Arial" w:cs="Arial" w:eastAsia="Arial" w:hAnsi="Arial"/>
                <w:sz w:val="18"/>
                <w:szCs w:val="18"/>
                <w:b w:val="1"/>
                <w:bCs w:val="1"/>
                <w:color w:val="auto"/>
              </w:rPr>
              <w:t>Description</w:t>
            </w:r>
          </w:p>
        </w:tc>
      </w:tr>
      <w:tr>
        <w:trPr>
          <w:trHeight w:val="20"/>
        </w:trPr>
        <w:tc>
          <w:tcPr>
            <w:tcW w:w="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840" w:type="dxa"/>
            <w:vAlign w:val="bottom"/>
          </w:tcPr>
          <w:p>
            <w:pPr>
              <w:spacing w:after="0"/>
              <w:rPr>
                <w:sz w:val="20"/>
                <w:szCs w:val="20"/>
                <w:color w:val="auto"/>
              </w:rPr>
            </w:pPr>
            <w:r>
              <w:rPr>
                <w:rFonts w:ascii="Arial" w:cs="Arial" w:eastAsia="Arial" w:hAnsi="Arial"/>
                <w:sz w:val="18"/>
                <w:szCs w:val="18"/>
                <w:color w:val="auto"/>
              </w:rPr>
              <w:t>99.1</w:t>
            </w:r>
          </w:p>
        </w:tc>
        <w:tc>
          <w:tcPr>
            <w:tcW w:w="1580" w:type="dxa"/>
            <w:vAlign w:val="bottom"/>
          </w:tcPr>
          <w:p>
            <w:pPr>
              <w:spacing w:after="0"/>
              <w:rPr>
                <w:sz w:val="19"/>
                <w:szCs w:val="19"/>
                <w:color w:val="auto"/>
              </w:rPr>
            </w:pPr>
          </w:p>
        </w:tc>
        <w:tc>
          <w:tcPr>
            <w:tcW w:w="8800" w:type="dxa"/>
            <w:vAlign w:val="bottom"/>
            <w:gridSpan w:val="5"/>
          </w:tcPr>
          <w:p>
            <w:pPr>
              <w:spacing w:after="0"/>
              <w:rPr>
                <w:sz w:val="20"/>
                <w:szCs w:val="20"/>
                <w:color w:val="auto"/>
              </w:rPr>
            </w:pPr>
            <w:r>
              <w:rPr>
                <w:rFonts w:ascii="Arial" w:cs="Arial" w:eastAsia="Arial" w:hAnsi="Arial"/>
                <w:sz w:val="18"/>
                <w:szCs w:val="18"/>
                <w:color w:val="0000FF"/>
              </w:rPr>
              <w:t>Press release dated May 25, 2023 announcing first quarter of fiscal 2023 results.</w:t>
            </w:r>
          </w:p>
        </w:tc>
      </w:tr>
      <w:tr>
        <w:trPr>
          <w:trHeight w:val="20"/>
        </w:trPr>
        <w:tc>
          <w:tcPr>
            <w:tcW w:w="860" w:type="dxa"/>
            <w:vAlign w:val="bottom"/>
            <w:gridSpan w:val="2"/>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620" w:type="dxa"/>
            <w:vAlign w:val="bottom"/>
            <w:gridSpan w:val="2"/>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66"/>
        </w:trPr>
        <w:tc>
          <w:tcPr>
            <w:tcW w:w="860" w:type="dxa"/>
            <w:vAlign w:val="bottom"/>
            <w:gridSpan w:val="2"/>
          </w:tcPr>
          <w:p>
            <w:pPr>
              <w:ind w:left="20"/>
              <w:spacing w:after="0"/>
              <w:rPr>
                <w:sz w:val="20"/>
                <w:szCs w:val="20"/>
                <w:color w:val="auto"/>
              </w:rPr>
            </w:pPr>
            <w:r>
              <w:rPr>
                <w:rFonts w:ascii="Arial" w:cs="Arial" w:eastAsia="Arial" w:hAnsi="Arial"/>
                <w:sz w:val="18"/>
                <w:szCs w:val="18"/>
                <w:color w:val="auto"/>
              </w:rPr>
              <w:t>104</w:t>
            </w:r>
          </w:p>
        </w:tc>
        <w:tc>
          <w:tcPr>
            <w:tcW w:w="1580" w:type="dxa"/>
            <w:vAlign w:val="bottom"/>
          </w:tcPr>
          <w:p>
            <w:pPr>
              <w:spacing w:after="0"/>
              <w:rPr>
                <w:sz w:val="24"/>
                <w:szCs w:val="24"/>
                <w:color w:val="auto"/>
              </w:rPr>
            </w:pPr>
          </w:p>
        </w:tc>
        <w:tc>
          <w:tcPr>
            <w:tcW w:w="878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w w:val="90"/>
              </w:rPr>
              <w:t>Cover Page Interactive Data File – The cover page interactive data file does not appear in the interactive data file because</w:t>
            </w:r>
          </w:p>
        </w:tc>
        <w:tc>
          <w:tcPr>
            <w:tcW w:w="2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8800" w:type="dxa"/>
            <w:vAlign w:val="bottom"/>
            <w:gridSpan w:val="5"/>
          </w:tcPr>
          <w:p>
            <w:pPr>
              <w:spacing w:after="0" w:line="196" w:lineRule="exact"/>
              <w:rPr>
                <w:sz w:val="20"/>
                <w:szCs w:val="20"/>
                <w:color w:val="auto"/>
              </w:rPr>
            </w:pPr>
            <w:r>
              <w:rPr>
                <w:rFonts w:ascii="Arial" w:cs="Arial" w:eastAsia="Arial" w:hAnsi="Arial"/>
                <w:sz w:val="18"/>
                <w:szCs w:val="18"/>
                <w:color w:val="auto"/>
              </w:rPr>
              <w:t>its XBRL tags are embedded within the Inline XBRL document.</w:t>
            </w:r>
          </w:p>
        </w:tc>
      </w:tr>
      <w:tr>
        <w:trPr>
          <w:trHeight w:val="797"/>
        </w:trPr>
        <w:tc>
          <w:tcPr>
            <w:tcW w:w="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880" w:type="dxa"/>
            <w:vAlign w:val="bottom"/>
            <w:tcBorders>
              <w:top w:val="single" w:sz="8" w:color="auto"/>
              <w:bottom w:val="single" w:sz="8" w:color="9A9A9A"/>
            </w:tcBorders>
          </w:tcPr>
          <w:p>
            <w:pPr>
              <w:spacing w:after="0"/>
              <w:rPr>
                <w:sz w:val="24"/>
                <w:szCs w:val="24"/>
                <w:color w:val="auto"/>
              </w:rPr>
            </w:pPr>
          </w:p>
        </w:tc>
        <w:tc>
          <w:tcPr>
            <w:tcW w:w="3740" w:type="dxa"/>
            <w:vAlign w:val="bottom"/>
            <w:tcBorders>
              <w:top w:val="single" w:sz="8" w:color="auto"/>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30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51"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Destination XL Group, Inc.</w:t>
      </w:r>
    </w:p>
    <w:p>
      <w:pPr>
        <w:spacing w:after="0" w:line="200" w:lineRule="exact"/>
        <w:rPr>
          <w:sz w:val="20"/>
          <w:szCs w:val="20"/>
          <w:color w:val="auto"/>
        </w:rPr>
      </w:pPr>
    </w:p>
    <w:p>
      <w:pPr>
        <w:spacing w:after="0" w:line="228" w:lineRule="exact"/>
        <w:rPr>
          <w:sz w:val="20"/>
          <w:szCs w:val="20"/>
          <w:color w:val="auto"/>
        </w:rPr>
      </w:pPr>
    </w:p>
    <w:p>
      <w:pPr>
        <w:ind w:left="20"/>
        <w:spacing w:after="0"/>
        <w:tabs>
          <w:tab w:leader="none" w:pos="700" w:val="left"/>
          <w:tab w:leader="none" w:pos="5620" w:val="left"/>
          <w:tab w:leader="none" w:pos="60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May 25,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Robert S. Molloy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23495</wp:posOffset>
            </wp:positionV>
            <wp:extent cx="326644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66440" cy="8255"/>
                    </a:xfrm>
                    <a:prstGeom prst="rect">
                      <a:avLst/>
                    </a:prstGeom>
                    <a:noFill/>
                  </pic:spPr>
                </pic:pic>
              </a:graphicData>
            </a:graphic>
          </wp:anchor>
        </w:drawing>
      </w:r>
    </w:p>
    <w:p>
      <w:pPr>
        <w:spacing w:after="0" w:line="4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General Counsel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319405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 w:name="page4"/>
    <w:bookmarkEnd w:id="3"/>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3234690</wp:posOffset>
            </wp:positionH>
            <wp:positionV relativeFrom="page">
              <wp:posOffset>88900</wp:posOffset>
            </wp:positionV>
            <wp:extent cx="1054100" cy="5918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054100" cy="591820"/>
                    </a:xfrm>
                    <a:prstGeom prst="rect">
                      <a:avLst/>
                    </a:prstGeom>
                    <a:noFill/>
                  </pic:spPr>
                </pic:pic>
              </a:graphicData>
            </a:graphic>
          </wp:anchor>
        </w:drawing>
        <w:t>Exhibit 99.1</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Destination XL Group, Inc. Reports First Quarter Financial Results</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First Quarter Comparable Sales up 0.6%;</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First Quarter Net Income $7.0 million, EPS $0.11 per diluted share;</w:t>
      </w:r>
    </w:p>
    <w:p>
      <w:pPr>
        <w:jc w:val="center"/>
        <w:spacing w:after="0"/>
        <w:rPr>
          <w:sz w:val="20"/>
          <w:szCs w:val="20"/>
          <w:color w:val="auto"/>
        </w:rPr>
      </w:pPr>
      <w:r>
        <w:rPr>
          <w:rFonts w:ascii="Arial" w:cs="Arial" w:eastAsia="Arial" w:hAnsi="Arial"/>
          <w:sz w:val="18"/>
          <w:szCs w:val="18"/>
          <w:i w:val="1"/>
          <w:iCs w:val="1"/>
          <w:color w:val="auto"/>
        </w:rPr>
        <w:t>Confirms Lower End of Guidance</w:t>
      </w:r>
    </w:p>
    <w:p>
      <w:pPr>
        <w:spacing w:after="0" w:line="182" w:lineRule="exact"/>
        <w:rPr>
          <w:sz w:val="20"/>
          <w:szCs w:val="20"/>
          <w:color w:val="auto"/>
        </w:rPr>
      </w:pPr>
    </w:p>
    <w:p>
      <w:pPr>
        <w:ind w:right="120"/>
        <w:spacing w:after="0" w:line="250" w:lineRule="auto"/>
        <w:rPr>
          <w:sz w:val="20"/>
          <w:szCs w:val="20"/>
          <w:color w:val="auto"/>
        </w:rPr>
      </w:pPr>
      <w:r>
        <w:rPr>
          <w:rFonts w:ascii="Arial" w:cs="Arial" w:eastAsia="Arial" w:hAnsi="Arial"/>
          <w:sz w:val="20"/>
          <w:szCs w:val="20"/>
          <w:color w:val="auto"/>
        </w:rPr>
        <w:t>CANTON, Mass., May 25, 2023 – Destination XL Group, Inc. (NASDAQ: DXLG), the leading integrated-commerce specialty retailer of Big + Tall men’s clothing and shoes, today reported operating results for the first quarter of fiscal 2023, and provided an update on sales and earnings guidance for the fiscal year.</w:t>
      </w:r>
    </w:p>
    <w:p>
      <w:pPr>
        <w:spacing w:after="0" w:line="11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First Quarter Financial Highlights</w:t>
      </w:r>
    </w:p>
    <w:p>
      <w:pPr>
        <w:spacing w:after="0" w:line="154" w:lineRule="exact"/>
        <w:rPr>
          <w:sz w:val="20"/>
          <w:szCs w:val="20"/>
          <w:color w:val="auto"/>
        </w:rPr>
      </w:pPr>
    </w:p>
    <w:p>
      <w:pPr>
        <w:ind w:left="760" w:right="120" w:hanging="378"/>
        <w:spacing w:after="0" w:line="260" w:lineRule="auto"/>
        <w:tabs>
          <w:tab w:leader="none" w:pos="760" w:val="left"/>
        </w:tabs>
        <w:numPr>
          <w:ilvl w:val="0"/>
          <w:numId w:val="2"/>
        </w:numPr>
        <w:rPr>
          <w:rFonts w:ascii="Arial" w:cs="Arial" w:eastAsia="Arial" w:hAnsi="Arial"/>
          <w:sz w:val="20"/>
          <w:szCs w:val="20"/>
          <w:color w:val="auto"/>
        </w:rPr>
      </w:pPr>
      <w:r>
        <w:rPr>
          <w:rFonts w:ascii="Arial" w:cs="Arial" w:eastAsia="Arial" w:hAnsi="Arial"/>
          <w:sz w:val="20"/>
          <w:szCs w:val="20"/>
          <w:color w:val="auto"/>
        </w:rPr>
        <w:t>Total sales for the first quarter were $125.4 million, down 1.7% from $127.7 million in the first quarter of fiscal 2022. Comparable sales for the first quarter of fiscal 2023 increased 0.6% as compared to the first quarter of fiscal 2022.</w:t>
      </w:r>
    </w:p>
    <w:p>
      <w:pPr>
        <w:spacing w:after="0" w:line="136" w:lineRule="exact"/>
        <w:rPr>
          <w:rFonts w:ascii="Arial" w:cs="Arial" w:eastAsia="Arial" w:hAnsi="Arial"/>
          <w:sz w:val="20"/>
          <w:szCs w:val="20"/>
          <w:color w:val="auto"/>
        </w:rPr>
      </w:pPr>
    </w:p>
    <w:p>
      <w:pPr>
        <w:ind w:left="760" w:right="40" w:hanging="378"/>
        <w:spacing w:after="0" w:line="246" w:lineRule="auto"/>
        <w:tabs>
          <w:tab w:leader="none" w:pos="760" w:val="left"/>
        </w:tabs>
        <w:numPr>
          <w:ilvl w:val="0"/>
          <w:numId w:val="2"/>
        </w:numPr>
        <w:rPr>
          <w:rFonts w:ascii="Arial" w:cs="Arial" w:eastAsia="Arial" w:hAnsi="Arial"/>
          <w:sz w:val="20"/>
          <w:szCs w:val="20"/>
          <w:color w:val="auto"/>
        </w:rPr>
      </w:pPr>
      <w:r>
        <w:rPr>
          <w:rFonts w:ascii="Arial" w:cs="Arial" w:eastAsia="Arial" w:hAnsi="Arial"/>
          <w:sz w:val="20"/>
          <w:szCs w:val="20"/>
          <w:color w:val="auto"/>
        </w:rPr>
        <w:t>Net income for the first quarter was $0.11 per diluted share, as compared to net income of $0.20 per diluted share in the first quarter of fiscal 2022. On a comparative basis, adjusted net income (a non-GAAP measure), which assumes a normalized tax rate of 26% and adjusts for any asset impairments (gains), was $0.14 per diluted share for the first quarter of fiscal 2022, as compared to $0.11 per diluted share for the first quarter of fiscal 2023.</w:t>
      </w:r>
    </w:p>
    <w:p>
      <w:pPr>
        <w:spacing w:after="0" w:line="150" w:lineRule="exact"/>
        <w:rPr>
          <w:rFonts w:ascii="Arial" w:cs="Arial" w:eastAsia="Arial" w:hAnsi="Arial"/>
          <w:sz w:val="20"/>
          <w:szCs w:val="20"/>
          <w:color w:val="auto"/>
        </w:rPr>
      </w:pPr>
    </w:p>
    <w:p>
      <w:pPr>
        <w:ind w:left="760" w:right="120" w:hanging="378"/>
        <w:spacing w:after="0" w:line="260" w:lineRule="auto"/>
        <w:tabs>
          <w:tab w:leader="none" w:pos="760" w:val="left"/>
        </w:tabs>
        <w:numPr>
          <w:ilvl w:val="0"/>
          <w:numId w:val="2"/>
        </w:numPr>
        <w:rPr>
          <w:rFonts w:ascii="Arial" w:cs="Arial" w:eastAsia="Arial" w:hAnsi="Arial"/>
          <w:sz w:val="20"/>
          <w:szCs w:val="20"/>
          <w:color w:val="auto"/>
        </w:rPr>
      </w:pPr>
      <w:r>
        <w:rPr>
          <w:rFonts w:ascii="Arial" w:cs="Arial" w:eastAsia="Arial" w:hAnsi="Arial"/>
          <w:sz w:val="20"/>
          <w:szCs w:val="20"/>
          <w:color w:val="auto"/>
        </w:rPr>
        <w:t>Adjusted EBITDA (a non-GAAP measure) for the first quarter was $12.6 million, or 10.1% of sales, as compared to $17.3 million, or 13.5% of sales in the first quarter of fiscal 2022.</w:t>
      </w:r>
    </w:p>
    <w:p>
      <w:pPr>
        <w:spacing w:after="0" w:line="149" w:lineRule="exact"/>
        <w:rPr>
          <w:rFonts w:ascii="Arial" w:cs="Arial" w:eastAsia="Arial" w:hAnsi="Arial"/>
          <w:sz w:val="20"/>
          <w:szCs w:val="20"/>
          <w:color w:val="auto"/>
        </w:rPr>
      </w:pPr>
    </w:p>
    <w:p>
      <w:pPr>
        <w:ind w:left="760" w:right="40" w:hanging="378"/>
        <w:spacing w:after="0" w:line="250" w:lineRule="auto"/>
        <w:tabs>
          <w:tab w:leader="none" w:pos="760" w:val="left"/>
        </w:tabs>
        <w:numPr>
          <w:ilvl w:val="0"/>
          <w:numId w:val="2"/>
        </w:numPr>
        <w:rPr>
          <w:rFonts w:ascii="Arial" w:cs="Arial" w:eastAsia="Arial" w:hAnsi="Arial"/>
          <w:sz w:val="20"/>
          <w:szCs w:val="20"/>
          <w:color w:val="auto"/>
        </w:rPr>
      </w:pPr>
      <w:r>
        <w:rPr>
          <w:rFonts w:ascii="Arial" w:cs="Arial" w:eastAsia="Arial" w:hAnsi="Arial"/>
          <w:sz w:val="20"/>
          <w:szCs w:val="20"/>
          <w:color w:val="auto"/>
        </w:rPr>
        <w:t>Total cash and investments were $46.0 million at April 29, 2023, as compared to $7.5 million at April 30, 2022, with no outstanding debt for either period. Availability under our credit facility was $93.8 million at April 29, 2023, as compared to $85.0 million at April 30, 2022.</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Management’s Comments</w:t>
      </w:r>
    </w:p>
    <w:p>
      <w:pPr>
        <w:spacing w:after="0" w:line="151" w:lineRule="exact"/>
        <w:rPr>
          <w:sz w:val="20"/>
          <w:szCs w:val="20"/>
          <w:color w:val="auto"/>
        </w:rPr>
      </w:pPr>
    </w:p>
    <w:p>
      <w:pPr>
        <w:ind w:right="60"/>
        <w:spacing w:after="0" w:line="265" w:lineRule="auto"/>
        <w:rPr>
          <w:sz w:val="20"/>
          <w:szCs w:val="20"/>
          <w:color w:val="auto"/>
        </w:rPr>
      </w:pPr>
      <w:r>
        <w:rPr>
          <w:rFonts w:ascii="Arial" w:cs="Arial" w:eastAsia="Arial" w:hAnsi="Arial"/>
          <w:sz w:val="17"/>
          <w:szCs w:val="17"/>
          <w:color w:val="auto"/>
        </w:rPr>
        <w:t>“We are pleased to report our 9</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consecutive quarter of positive comp sales growth. While this has been a more challenging growth quarter affected by broader macro headwinds that have impacted consumer spending, we remain focused on our vision to provide Big + Tall men the</w:t>
      </w:r>
    </w:p>
    <w:p>
      <w:pPr>
        <w:spacing w:after="0" w:line="1" w:lineRule="exact"/>
        <w:rPr>
          <w:sz w:val="20"/>
          <w:szCs w:val="20"/>
          <w:color w:val="auto"/>
        </w:rPr>
      </w:pPr>
    </w:p>
    <w:p>
      <w:pPr>
        <w:ind w:right="80"/>
        <w:spacing w:after="0" w:line="226" w:lineRule="auto"/>
        <w:rPr>
          <w:sz w:val="20"/>
          <w:szCs w:val="20"/>
          <w:color w:val="auto"/>
        </w:rPr>
      </w:pPr>
      <w:r>
        <w:rPr>
          <w:rFonts w:ascii="Arial" w:cs="Arial" w:eastAsia="Arial" w:hAnsi="Arial"/>
          <w:sz w:val="20"/>
          <w:szCs w:val="20"/>
          <w:color w:val="auto"/>
        </w:rPr>
        <w:t xml:space="preserve">freedom to choose their own style. Our brand’s positioning campaign to the Big + Tall consumer is “Wear What You Want </w:t>
      </w:r>
      <w:r>
        <w:rPr>
          <w:rFonts w:ascii="Arial" w:cs="Arial" w:eastAsia="Arial" w:hAnsi="Arial"/>
          <w:sz w:val="26"/>
          <w:szCs w:val="26"/>
          <w:color w:val="auto"/>
          <w:vertAlign w:val="superscript"/>
        </w:rPr>
        <w:t>SM</w:t>
      </w:r>
      <w:r>
        <w:rPr>
          <w:rFonts w:ascii="Arial" w:cs="Arial" w:eastAsia="Arial" w:hAnsi="Arial"/>
          <w:sz w:val="20"/>
          <w:szCs w:val="20"/>
          <w:color w:val="auto"/>
        </w:rPr>
        <w:t>”. This campaign is driven by DXL’s competitively differentiated position in Fit, Assortment, and Experience. We remain incredibly excited and enthusiastic about our ability to be the haven for the Big + Tall customer whether he is shopping online or in-store. After all, Big + Tall is all that we do!” said Harvey Kanter, President, and Chief Executive Officer.</w:t>
      </w:r>
    </w:p>
    <w:p>
      <w:pPr>
        <w:spacing w:after="0" w:line="88" w:lineRule="exact"/>
        <w:rPr>
          <w:sz w:val="20"/>
          <w:szCs w:val="20"/>
          <w:color w:val="auto"/>
        </w:rPr>
      </w:pPr>
    </w:p>
    <w:p>
      <w:pPr>
        <w:ind w:right="120"/>
        <w:spacing w:after="0" w:line="316" w:lineRule="auto"/>
        <w:rPr>
          <w:sz w:val="20"/>
          <w:szCs w:val="20"/>
          <w:color w:val="auto"/>
        </w:rPr>
      </w:pPr>
      <w:r>
        <w:rPr>
          <w:rFonts w:ascii="Arial" w:cs="Arial" w:eastAsia="Arial" w:hAnsi="Arial"/>
          <w:sz w:val="16"/>
          <w:szCs w:val="16"/>
          <w:color w:val="auto"/>
        </w:rPr>
        <w:t>“We believe the work that we have done over the past two years to transform and reposition the DXL brand has enabled us to mitigate some of the inherent risk in the broader economy. We believe that our positive comp for the quarter is outperforming the overall retail apparel market, which gives us confidence that the DXL concept is still resonating in the minds of Big + Tall consumers. On an operating level and from a consumer-facing perspective, we plan to continue driving marketing initiatives to engage the consumer more profoundly and in more personalized and more relevant ways. Conversely, from a back-end perspective, we continue to run our inventory lean as demonstrated by the quarter end inventory, which was 11% below pre-pandemic levels, and turnover, which was up over 25% from the first quarter of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154940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8" w:right="339" w:bottom="1440" w:gutter="0" w:footer="0" w:header="0"/>
        </w:sectPr>
      </w:pPr>
    </w:p>
    <w:bookmarkStart w:id="5" w:name="page6"/>
    <w:bookmarkEnd w:id="5"/>
    <w:p>
      <w:pPr>
        <w:ind w:right="140"/>
        <w:spacing w:after="0" w:line="246" w:lineRule="auto"/>
        <w:rPr>
          <w:sz w:val="20"/>
          <w:szCs w:val="20"/>
          <w:color w:val="auto"/>
        </w:rPr>
      </w:pPr>
      <w:r>
        <w:rPr>
          <w:rFonts w:ascii="Arial" w:cs="Arial" w:eastAsia="Arial" w:hAnsi="Arial"/>
          <w:sz w:val="20"/>
          <w:szCs w:val="20"/>
          <w:color w:val="auto"/>
        </w:rPr>
        <w:t>“Lastly, it cannot go without saying how well the team has managed the business in the current environment. As noted, our inventory is in a healthy position, and we expect to continue to maintain our low promotional cadence. With cash on hand, no outstanding debt and full availability under our credit facility, we are continuing to pursue our strategic initiatives this year as we look to further grow our business," Kanter concluded.</w:t>
      </w:r>
    </w:p>
    <w:p>
      <w:pPr>
        <w:spacing w:after="0" w:line="118" w:lineRule="exact"/>
        <w:rPr>
          <w:sz w:val="20"/>
          <w:szCs w:val="20"/>
          <w:color w:val="auto"/>
        </w:rPr>
      </w:pPr>
    </w:p>
    <w:p>
      <w:pPr>
        <w:ind w:left="40"/>
        <w:spacing w:after="0"/>
        <w:rPr>
          <w:sz w:val="20"/>
          <w:szCs w:val="20"/>
          <w:color w:val="auto"/>
        </w:rPr>
      </w:pPr>
      <w:r>
        <w:rPr>
          <w:rFonts w:ascii="Arial" w:cs="Arial" w:eastAsia="Arial" w:hAnsi="Arial"/>
          <w:sz w:val="20"/>
          <w:szCs w:val="20"/>
          <w:b w:val="1"/>
          <w:bCs w:val="1"/>
          <w:u w:val="single" w:color="auto"/>
          <w:color w:val="auto"/>
        </w:rPr>
        <w:t>First Quarter Results</w:t>
      </w:r>
    </w:p>
    <w:p>
      <w:pPr>
        <w:spacing w:after="0" w:line="11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Sales</w:t>
      </w:r>
    </w:p>
    <w:p>
      <w:pPr>
        <w:spacing w:after="0" w:line="148" w:lineRule="exact"/>
        <w:rPr>
          <w:sz w:val="20"/>
          <w:szCs w:val="20"/>
          <w:color w:val="auto"/>
        </w:rPr>
      </w:pPr>
    </w:p>
    <w:p>
      <w:pPr>
        <w:spacing w:after="0" w:line="269" w:lineRule="auto"/>
        <w:rPr>
          <w:sz w:val="20"/>
          <w:szCs w:val="20"/>
          <w:color w:val="auto"/>
        </w:rPr>
      </w:pPr>
      <w:r>
        <w:rPr>
          <w:rFonts w:ascii="Arial" w:cs="Arial" w:eastAsia="Arial" w:hAnsi="Arial"/>
          <w:sz w:val="19"/>
          <w:szCs w:val="19"/>
          <w:color w:val="auto"/>
        </w:rPr>
        <w:t>Total sales for the first quarter of fiscal 2023 were $125.4 million, as compared to $127.7 million in the first quarter of fiscal 2022. Comparable sales for the first quarter were up 0.6% with comparable sales from our stores up 1.5% and our direct business down 1.6%. This increase in comparable sales was offset by sales from closed stores and a decrease in non-comparable sales.</w:t>
      </w:r>
    </w:p>
    <w:p>
      <w:pPr>
        <w:spacing w:after="0" w:line="62" w:lineRule="exact"/>
        <w:rPr>
          <w:sz w:val="20"/>
          <w:szCs w:val="20"/>
          <w:color w:val="auto"/>
        </w:rPr>
      </w:pPr>
    </w:p>
    <w:p>
      <w:pPr>
        <w:ind w:right="60"/>
        <w:spacing w:after="0" w:line="263" w:lineRule="auto"/>
        <w:rPr>
          <w:sz w:val="20"/>
          <w:szCs w:val="20"/>
          <w:color w:val="auto"/>
        </w:rPr>
      </w:pPr>
      <w:r>
        <w:rPr>
          <w:rFonts w:ascii="Arial" w:cs="Arial" w:eastAsia="Arial" w:hAnsi="Arial"/>
          <w:sz w:val="19"/>
          <w:szCs w:val="19"/>
          <w:color w:val="auto"/>
        </w:rPr>
        <w:t>Sales for the quarter started off strong with a comparable sales increase of 9.1% in February. However, we saw a comparable sales decline in March of (2.8)% and in April of (1.9)%. The slowdown in sales was primarily driven by decreases in traffic, both to our stores and web, but was partially offset by increased dollars per transaction and conversion. Throughout the quarter, our stores performed better than our direct business, but we continued to see sales growth from online marketplaces and our mobile app.</w:t>
      </w:r>
    </w:p>
    <w:p>
      <w:pPr>
        <w:spacing w:after="0" w:line="6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Gross Margin</w:t>
      </w:r>
    </w:p>
    <w:p>
      <w:pPr>
        <w:spacing w:after="0" w:line="135" w:lineRule="exact"/>
        <w:rPr>
          <w:sz w:val="20"/>
          <w:szCs w:val="20"/>
          <w:color w:val="auto"/>
        </w:rPr>
      </w:pPr>
    </w:p>
    <w:p>
      <w:pPr>
        <w:ind w:right="380"/>
        <w:spacing w:after="0" w:line="260" w:lineRule="auto"/>
        <w:rPr>
          <w:sz w:val="20"/>
          <w:szCs w:val="20"/>
          <w:color w:val="auto"/>
        </w:rPr>
      </w:pPr>
      <w:r>
        <w:rPr>
          <w:rFonts w:ascii="Arial" w:cs="Arial" w:eastAsia="Arial" w:hAnsi="Arial"/>
          <w:sz w:val="20"/>
          <w:szCs w:val="20"/>
          <w:color w:val="auto"/>
        </w:rPr>
        <w:t>For the first quarter of fiscal 2023, our gross margin rate, inclusive of occupancy costs, was 48.6% as compared to a gross margin rate of 50.0% for the first quarter of fiscal 2022.</w:t>
      </w:r>
    </w:p>
    <w:p>
      <w:pPr>
        <w:spacing w:after="0" w:line="69" w:lineRule="exact"/>
        <w:rPr>
          <w:sz w:val="20"/>
          <w:szCs w:val="20"/>
          <w:color w:val="auto"/>
        </w:rPr>
      </w:pPr>
    </w:p>
    <w:p>
      <w:pPr>
        <w:spacing w:after="0" w:line="316" w:lineRule="auto"/>
        <w:rPr>
          <w:sz w:val="20"/>
          <w:szCs w:val="20"/>
          <w:color w:val="auto"/>
        </w:rPr>
      </w:pPr>
      <w:r>
        <w:rPr>
          <w:rFonts w:ascii="Arial" w:cs="Arial" w:eastAsia="Arial" w:hAnsi="Arial"/>
          <w:sz w:val="16"/>
          <w:szCs w:val="16"/>
          <w:color w:val="auto"/>
        </w:rPr>
        <w:t>Our gross margin rate decreased by 140-basis points, with a decrease in merchandise margin of 110-basis points and an increase of 30-basis points in occupancy costs primarily due to the deleveraging of sales. The decrease in merchandise margin of 110-basis points was due to increased costs on certain private-label merchandise, much of which we absorbed rather than passing on to the customer through price increases. We also experienced increased shipping costs related to direct-to-consumer shipments and costs related to our loyalty program with more sales tendered with loyalty certificates, as compared to the first quarter of fiscal 2022. These cost increases were partially offset by lower inbound freight costs. For the year, we expect gross margin rates to be approximately 100-basis points lower than fiscal 2022.</w:t>
      </w:r>
    </w:p>
    <w:p>
      <w:pPr>
        <w:spacing w:after="0" w:line="14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Selling, General &amp; Administrative</w:t>
      </w:r>
    </w:p>
    <w:p>
      <w:pPr>
        <w:spacing w:after="0" w:line="148" w:lineRule="exact"/>
        <w:rPr>
          <w:sz w:val="20"/>
          <w:szCs w:val="20"/>
          <w:color w:val="auto"/>
        </w:rPr>
      </w:pPr>
    </w:p>
    <w:p>
      <w:pPr>
        <w:ind w:right="40"/>
        <w:spacing w:after="0" w:line="260" w:lineRule="auto"/>
        <w:rPr>
          <w:sz w:val="20"/>
          <w:szCs w:val="20"/>
          <w:color w:val="auto"/>
        </w:rPr>
      </w:pPr>
      <w:r>
        <w:rPr>
          <w:rFonts w:ascii="Arial" w:cs="Arial" w:eastAsia="Arial" w:hAnsi="Arial"/>
          <w:sz w:val="20"/>
          <w:szCs w:val="20"/>
          <w:color w:val="auto"/>
        </w:rPr>
        <w:t>As a percentage of sales, SG&amp;A (selling, general and administrative) expenses for the first quarter of fiscal 2023 were 38.5% as compared to 36.5% for the first quarter of fiscal 2022.</w:t>
      </w:r>
    </w:p>
    <w:p>
      <w:pPr>
        <w:spacing w:after="0" w:line="109" w:lineRule="exact"/>
        <w:rPr>
          <w:sz w:val="20"/>
          <w:szCs w:val="20"/>
          <w:color w:val="auto"/>
        </w:rPr>
      </w:pPr>
    </w:p>
    <w:p>
      <w:pPr>
        <w:jc w:val="both"/>
        <w:ind w:right="140"/>
        <w:spacing w:after="0" w:line="291" w:lineRule="auto"/>
        <w:rPr>
          <w:sz w:val="20"/>
          <w:szCs w:val="20"/>
          <w:color w:val="auto"/>
        </w:rPr>
      </w:pPr>
      <w:r>
        <w:rPr>
          <w:rFonts w:ascii="Arial" w:cs="Arial" w:eastAsia="Arial" w:hAnsi="Arial"/>
          <w:sz w:val="18"/>
          <w:szCs w:val="18"/>
          <w:color w:val="auto"/>
        </w:rPr>
        <w:t>On a dollar basis, SG&amp;A expenses increased by $1.7 million as compared to the first quarter of fiscal 2022. The increase was primarily due to an increase in payroll-related costs from new positions added in the past year to support our long- range plan growth initiatives and merit increases implemented last year. We also saw increases in benefit costs over the first quarter of the prior year.</w:t>
      </w:r>
    </w:p>
    <w:p>
      <w:pPr>
        <w:spacing w:after="0" w:line="71" w:lineRule="exact"/>
        <w:rPr>
          <w:sz w:val="20"/>
          <w:szCs w:val="20"/>
          <w:color w:val="auto"/>
        </w:rPr>
      </w:pPr>
    </w:p>
    <w:p>
      <w:pPr>
        <w:ind w:right="20"/>
        <w:spacing w:after="0" w:line="255" w:lineRule="auto"/>
        <w:rPr>
          <w:sz w:val="20"/>
          <w:szCs w:val="20"/>
          <w:color w:val="auto"/>
        </w:rPr>
      </w:pPr>
      <w:r>
        <w:rPr>
          <w:rFonts w:ascii="Arial" w:cs="Arial" w:eastAsia="Arial" w:hAnsi="Arial"/>
          <w:sz w:val="19"/>
          <w:szCs w:val="19"/>
          <w:color w:val="auto"/>
        </w:rPr>
        <w:t>Management views SG&amp;A expenses through two primary cost centers: Customer Facing Costs and Corporate Support Costs. Customer Facing Costs, which include store payroll, marketing and other store and direct operating costs, represented 21.1% of sales in the first quarter of fiscal 2023 as compared to 20.2% of sales in the first quarter of fiscal 2022. Corporate Support Costs, which include the distribution center and corporate overhead costs, represented 17.4% of sales in the first quarter of fiscal 2023 as compared to 16.3% of sales in the first quarter of fiscal 2022. Marketing costs for the first quarter were 5.5% of sales as compared to 5.3% of sales for the first quarter of fiscal 2022. For fiscal 2023, marketing costs are expected to be approximately 5.7% of sales.</w:t>
      </w:r>
    </w:p>
    <w:p>
      <w:pPr>
        <w:jc w:val="center"/>
        <w:ind w:right="-59"/>
        <w:spacing w:after="0" w:line="222" w:lineRule="auto"/>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229870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7" w:right="379" w:bottom="1440" w:gutter="0" w:footer="0" w:header="0"/>
        </w:sectPr>
      </w:pPr>
    </w:p>
    <w:bookmarkStart w:id="6" w:name="page7"/>
    <w:bookmarkEnd w:id="6"/>
    <w:p>
      <w:pPr>
        <w:spacing w:after="0"/>
        <w:rPr>
          <w:sz w:val="20"/>
          <w:szCs w:val="20"/>
          <w:color w:val="auto"/>
        </w:rPr>
      </w:pPr>
      <w:r>
        <w:rPr>
          <w:rFonts w:ascii="Arial" w:cs="Arial" w:eastAsia="Arial" w:hAnsi="Arial"/>
          <w:sz w:val="20"/>
          <w:szCs w:val="20"/>
          <w:i w:val="1"/>
          <w:iCs w:val="1"/>
          <w:color w:val="auto"/>
        </w:rPr>
        <w:t>Interest Income (Expense), Net</w:t>
      </w:r>
    </w:p>
    <w:p>
      <w:pPr>
        <w:spacing w:after="0" w:line="108" w:lineRule="exact"/>
        <w:rPr>
          <w:sz w:val="20"/>
          <w:szCs w:val="20"/>
          <w:color w:val="auto"/>
        </w:rPr>
      </w:pPr>
    </w:p>
    <w:p>
      <w:pPr>
        <w:ind w:right="20"/>
        <w:spacing w:after="0" w:line="246" w:lineRule="auto"/>
        <w:rPr>
          <w:sz w:val="20"/>
          <w:szCs w:val="20"/>
          <w:color w:val="auto"/>
        </w:rPr>
      </w:pPr>
      <w:r>
        <w:rPr>
          <w:rFonts w:ascii="Arial" w:cs="Arial" w:eastAsia="Arial" w:hAnsi="Arial"/>
          <w:sz w:val="20"/>
          <w:szCs w:val="20"/>
          <w:color w:val="auto"/>
        </w:rPr>
        <w:t>Net interest income for the first quarter of fiscal 2023 was $0.3 million, as compared to interest expense of $0.1 million for the first quarter of fiscal 2022. For the first quarter of fiscal 2023, interest income was earned from investments in U.S. government-backed investments and money market accounts. Interest costs for both periods were minimal because we had no outstanding debt and no borrowings under our credit facility during either period.</w:t>
      </w:r>
    </w:p>
    <w:p>
      <w:pPr>
        <w:spacing w:after="0" w:line="8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Income Taxes</w:t>
      </w:r>
    </w:p>
    <w:p>
      <w:pPr>
        <w:spacing w:after="0" w:line="108" w:lineRule="exact"/>
        <w:rPr>
          <w:sz w:val="20"/>
          <w:szCs w:val="20"/>
          <w:color w:val="auto"/>
        </w:rPr>
      </w:pPr>
    </w:p>
    <w:p>
      <w:pPr>
        <w:ind w:right="180"/>
        <w:spacing w:after="0" w:line="246" w:lineRule="auto"/>
        <w:rPr>
          <w:sz w:val="20"/>
          <w:szCs w:val="20"/>
          <w:color w:val="auto"/>
        </w:rPr>
      </w:pPr>
      <w:r>
        <w:rPr>
          <w:rFonts w:ascii="Arial" w:cs="Arial" w:eastAsia="Arial" w:hAnsi="Arial"/>
          <w:sz w:val="20"/>
          <w:szCs w:val="20"/>
          <w:color w:val="auto"/>
        </w:rPr>
        <w:t>As a result of the valuation allowance against our deferred tax assets being substantially released during fiscal 2022, we have returned to a normal tax provision for fiscal 2023. Accordingly, for the first quarter of fiscal 2023, the effective tax rate was 26.6% as compared to 0.8% for the first quarter of fiscal 2022. The effective tax rate for the first quarter of fiscal 2022 was reduced from the statutory rate due to the utilization of fully reserved net operating loss carryforwards ("NOLs").</w:t>
      </w:r>
    </w:p>
    <w:p>
      <w:pPr>
        <w:spacing w:after="0" w:line="8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Net Income</w:t>
      </w:r>
    </w:p>
    <w:p>
      <w:pPr>
        <w:spacing w:after="0" w:line="148" w:lineRule="exact"/>
        <w:rPr>
          <w:sz w:val="20"/>
          <w:szCs w:val="20"/>
          <w:color w:val="auto"/>
        </w:rPr>
      </w:pPr>
    </w:p>
    <w:p>
      <w:pPr>
        <w:ind w:right="100"/>
        <w:spacing w:after="0" w:line="260" w:lineRule="auto"/>
        <w:rPr>
          <w:sz w:val="20"/>
          <w:szCs w:val="20"/>
          <w:color w:val="auto"/>
        </w:rPr>
      </w:pPr>
      <w:r>
        <w:rPr>
          <w:rFonts w:ascii="Arial" w:cs="Arial" w:eastAsia="Arial" w:hAnsi="Arial"/>
          <w:sz w:val="20"/>
          <w:szCs w:val="20"/>
          <w:color w:val="auto"/>
        </w:rPr>
        <w:t>For the first quarter of fiscal 2023, net income was $7.0 million, or $0.11 per diluted share, as compared to net income for the first quarter of fiscal 2022 of $13.4 million, or $0.20 per diluted share.</w:t>
      </w:r>
    </w:p>
    <w:p>
      <w:pPr>
        <w:spacing w:after="0" w:line="69" w:lineRule="exact"/>
        <w:rPr>
          <w:sz w:val="20"/>
          <w:szCs w:val="20"/>
          <w:color w:val="auto"/>
        </w:rPr>
      </w:pPr>
    </w:p>
    <w:p>
      <w:pPr>
        <w:ind w:right="80"/>
        <w:spacing w:after="0" w:line="246" w:lineRule="auto"/>
        <w:rPr>
          <w:sz w:val="20"/>
          <w:szCs w:val="20"/>
          <w:color w:val="auto"/>
        </w:rPr>
      </w:pPr>
      <w:r>
        <w:rPr>
          <w:rFonts w:ascii="Arial" w:cs="Arial" w:eastAsia="Arial" w:hAnsi="Arial"/>
          <w:sz w:val="20"/>
          <w:szCs w:val="20"/>
          <w:color w:val="auto"/>
        </w:rPr>
        <w:t>On a non-GAAP basis, assuming a normalized tax rate of 26% and adjusting for asset impairment (gain), if any, adjusted net income for the first quarter of fiscal 2023 was $7.0 million, or $0.11 per diluted share, as compared to $9.7 million, or $0.14 per diluted share, for the first quarter of fiscal 2022. There was no asset impairment (gain) for the first quarter of fiscal 2023 and a gain of $0.4 million for the first quarter of fiscal 2022.</w:t>
      </w:r>
    </w:p>
    <w:p>
      <w:pPr>
        <w:spacing w:after="0" w:line="8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Adjusted EBITDA</w:t>
      </w:r>
    </w:p>
    <w:p>
      <w:pPr>
        <w:spacing w:after="0" w:line="108" w:lineRule="exact"/>
        <w:rPr>
          <w:sz w:val="20"/>
          <w:szCs w:val="20"/>
          <w:color w:val="auto"/>
        </w:rPr>
      </w:pPr>
    </w:p>
    <w:p>
      <w:pPr>
        <w:ind w:right="340"/>
        <w:spacing w:after="0" w:line="260" w:lineRule="auto"/>
        <w:rPr>
          <w:sz w:val="20"/>
          <w:szCs w:val="20"/>
          <w:color w:val="auto"/>
        </w:rPr>
      </w:pPr>
      <w:r>
        <w:rPr>
          <w:rFonts w:ascii="Arial" w:cs="Arial" w:eastAsia="Arial" w:hAnsi="Arial"/>
          <w:sz w:val="20"/>
          <w:szCs w:val="20"/>
          <w:color w:val="auto"/>
        </w:rPr>
        <w:t>Adjusted EBITDA, a non-GAAP measure, for the first quarter of fiscal 2023 was $12.6 million, as compared to $17.3 million for the first quarter of fiscal 2022.</w:t>
      </w:r>
    </w:p>
    <w:p>
      <w:pPr>
        <w:spacing w:after="0" w:line="9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Cash Flow</w:t>
      </w:r>
    </w:p>
    <w:p>
      <w:pPr>
        <w:spacing w:after="0" w:line="148" w:lineRule="exact"/>
        <w:rPr>
          <w:sz w:val="20"/>
          <w:szCs w:val="20"/>
          <w:color w:val="auto"/>
        </w:rPr>
      </w:pPr>
    </w:p>
    <w:p>
      <w:pPr>
        <w:ind w:right="40"/>
        <w:spacing w:after="0" w:line="263" w:lineRule="auto"/>
        <w:rPr>
          <w:sz w:val="20"/>
          <w:szCs w:val="20"/>
          <w:color w:val="auto"/>
        </w:rPr>
      </w:pPr>
      <w:r>
        <w:rPr>
          <w:rFonts w:ascii="Arial" w:cs="Arial" w:eastAsia="Arial" w:hAnsi="Arial"/>
          <w:sz w:val="19"/>
          <w:szCs w:val="19"/>
          <w:color w:val="auto"/>
        </w:rPr>
        <w:t>Cash flow from operations for the first three months of fiscal 2023 was $(4.2) million as compared to $(1.5) million for the first three months of fiscal 2022. Free cash flow was $(5.9) million for the first three months of fiscal 2023 as compared to $(2.7) million for the first three months of fiscal 2022. The first quarter is historically a period of net cash use as we build our seasonal inventories and pay out prior year performance incentive accruals. The year-over-year decrease in free cash flow was primarily due to our lower earnings.</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9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960" w:type="dxa"/>
            <w:vAlign w:val="bottom"/>
            <w:gridSpan w:val="5"/>
          </w:tcPr>
          <w:p>
            <w:pPr>
              <w:jc w:val="right"/>
              <w:ind w:right="1788"/>
              <w:spacing w:after="0"/>
              <w:rPr>
                <w:sz w:val="20"/>
                <w:szCs w:val="20"/>
                <w:color w:val="auto"/>
              </w:rPr>
            </w:pPr>
            <w:r>
              <w:rPr>
                <w:rFonts w:ascii="Arial" w:cs="Arial" w:eastAsia="Arial" w:hAnsi="Arial"/>
                <w:sz w:val="14"/>
                <w:szCs w:val="14"/>
                <w:color w:val="auto"/>
              </w:rPr>
              <w:t>For the three months ended</w:t>
            </w:r>
          </w:p>
        </w:tc>
      </w:tr>
      <w:tr>
        <w:trPr>
          <w:trHeight w:val="181"/>
        </w:trPr>
        <w:tc>
          <w:tcPr>
            <w:tcW w:w="594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340" w:type="dxa"/>
            <w:vAlign w:val="bottom"/>
          </w:tcPr>
          <w:p>
            <w:pPr>
              <w:spacing w:after="0"/>
              <w:rPr>
                <w:sz w:val="15"/>
                <w:szCs w:val="15"/>
                <w:color w:val="auto"/>
              </w:rPr>
            </w:pPr>
          </w:p>
        </w:tc>
        <w:tc>
          <w:tcPr>
            <w:tcW w:w="2140" w:type="dxa"/>
            <w:vAlign w:val="bottom"/>
            <w:gridSpan w:val="2"/>
          </w:tcPr>
          <w:p>
            <w:pPr>
              <w:jc w:val="right"/>
              <w:ind w:right="948"/>
              <w:spacing w:after="0"/>
              <w:rPr>
                <w:sz w:val="20"/>
                <w:szCs w:val="20"/>
                <w:color w:val="auto"/>
              </w:rPr>
            </w:pPr>
            <w:r>
              <w:rPr>
                <w:rFonts w:ascii="Arial" w:cs="Arial" w:eastAsia="Arial" w:hAnsi="Arial"/>
                <w:sz w:val="14"/>
                <w:szCs w:val="14"/>
                <w:color w:val="auto"/>
              </w:rPr>
              <w:t>April 29, 2023</w:t>
            </w:r>
          </w:p>
        </w:tc>
        <w:tc>
          <w:tcPr>
            <w:tcW w:w="420" w:type="dxa"/>
            <w:vAlign w:val="bottom"/>
          </w:tcPr>
          <w:p>
            <w:pPr>
              <w:spacing w:after="0"/>
              <w:rPr>
                <w:sz w:val="15"/>
                <w:szCs w:val="15"/>
                <w:color w:val="auto"/>
              </w:rPr>
            </w:pPr>
          </w:p>
        </w:tc>
        <w:tc>
          <w:tcPr>
            <w:tcW w:w="2400" w:type="dxa"/>
            <w:vAlign w:val="bottom"/>
            <w:gridSpan w:val="2"/>
          </w:tcPr>
          <w:p>
            <w:pPr>
              <w:jc w:val="right"/>
              <w:ind w:right="1128"/>
              <w:spacing w:after="0"/>
              <w:rPr>
                <w:sz w:val="20"/>
                <w:szCs w:val="20"/>
                <w:color w:val="auto"/>
              </w:rPr>
            </w:pPr>
            <w:r>
              <w:rPr>
                <w:rFonts w:ascii="Arial" w:cs="Arial" w:eastAsia="Arial" w:hAnsi="Arial"/>
                <w:sz w:val="14"/>
                <w:szCs w:val="14"/>
                <w:color w:val="auto"/>
              </w:rPr>
              <w:t>April 30, 2022</w:t>
            </w:r>
          </w:p>
        </w:tc>
      </w:tr>
      <w:tr>
        <w:trPr>
          <w:trHeight w:val="169"/>
        </w:trPr>
        <w:tc>
          <w:tcPr>
            <w:tcW w:w="5940" w:type="dxa"/>
            <w:vAlign w:val="bottom"/>
            <w:shd w:val="clear" w:color="auto" w:fill="CFF0FC"/>
          </w:tcPr>
          <w:p>
            <w:pPr>
              <w:ind w:left="20"/>
              <w:spacing w:after="0"/>
              <w:rPr>
                <w:sz w:val="20"/>
                <w:szCs w:val="20"/>
                <w:color w:val="auto"/>
              </w:rPr>
            </w:pPr>
            <w:r>
              <w:rPr>
                <w:rFonts w:ascii="Arial" w:cs="Arial" w:eastAsia="Arial" w:hAnsi="Arial"/>
                <w:sz w:val="14"/>
                <w:szCs w:val="14"/>
                <w:color w:val="auto"/>
              </w:rPr>
              <w:t>Cash flow from operating activities (GAAP basis)</w:t>
            </w:r>
          </w:p>
        </w:tc>
        <w:tc>
          <w:tcPr>
            <w:tcW w:w="340" w:type="dxa"/>
            <w:vAlign w:val="bottom"/>
            <w:tcBorders>
              <w:top w:val="single" w:sz="8" w:color="auto"/>
            </w:tcBorders>
            <w:shd w:val="clear" w:color="auto" w:fill="CFF0FC"/>
          </w:tcPr>
          <w:p>
            <w:pPr>
              <w:jc w:val="right"/>
              <w:ind w:right="188"/>
              <w:spacing w:after="0"/>
              <w:rPr>
                <w:sz w:val="20"/>
                <w:szCs w:val="20"/>
                <w:color w:val="auto"/>
              </w:rPr>
            </w:pPr>
            <w:r>
              <w:rPr>
                <w:rFonts w:ascii="Arial" w:cs="Arial" w:eastAsia="Arial" w:hAnsi="Arial"/>
                <w:sz w:val="14"/>
                <w:szCs w:val="14"/>
                <w:color w:val="auto"/>
                <w:w w:val="76"/>
              </w:rPr>
              <w:t>$</w:t>
            </w:r>
          </w:p>
        </w:tc>
        <w:tc>
          <w:tcPr>
            <w:tcW w:w="1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(4.2</w:t>
            </w:r>
          </w:p>
        </w:tc>
        <w:tc>
          <w:tcPr>
            <w:tcW w:w="400" w:type="dxa"/>
            <w:vAlign w:val="bottom"/>
            <w:shd w:val="clear" w:color="auto" w:fill="CFF0FC"/>
          </w:tcPr>
          <w:p>
            <w:pPr>
              <w:jc w:val="right"/>
              <w:ind w:right="268"/>
              <w:spacing w:after="0"/>
              <w:rPr>
                <w:sz w:val="20"/>
                <w:szCs w:val="20"/>
                <w:color w:val="auto"/>
              </w:rPr>
            </w:pPr>
            <w:r>
              <w:rPr>
                <w:rFonts w:ascii="Arial" w:cs="Arial" w:eastAsia="Arial" w:hAnsi="Arial"/>
                <w:sz w:val="14"/>
                <w:szCs w:val="14"/>
                <w:color w:val="auto"/>
                <w:w w:val="84"/>
              </w:rPr>
              <w:t>)</w:t>
            </w:r>
          </w:p>
        </w:tc>
        <w:tc>
          <w:tcPr>
            <w:tcW w:w="420" w:type="dxa"/>
            <w:vAlign w:val="bottom"/>
            <w:tcBorders>
              <w:top w:val="single" w:sz="8" w:color="auto"/>
            </w:tcBorders>
            <w:shd w:val="clear" w:color="auto" w:fill="CFF0FC"/>
          </w:tcPr>
          <w:p>
            <w:pPr>
              <w:jc w:val="right"/>
              <w:ind w:right="268"/>
              <w:spacing w:after="0"/>
              <w:rPr>
                <w:sz w:val="20"/>
                <w:szCs w:val="20"/>
                <w:color w:val="auto"/>
              </w:rPr>
            </w:pPr>
            <w:r>
              <w:rPr>
                <w:rFonts w:ascii="Arial" w:cs="Arial" w:eastAsia="Arial" w:hAnsi="Arial"/>
                <w:sz w:val="14"/>
                <w:szCs w:val="14"/>
                <w:color w:val="auto"/>
                <w:w w:val="76"/>
              </w:rPr>
              <w:t>$</w:t>
            </w:r>
          </w:p>
        </w:tc>
        <w:tc>
          <w:tcPr>
            <w:tcW w:w="1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(1.5</w:t>
            </w:r>
          </w:p>
        </w:tc>
        <w:tc>
          <w:tcPr>
            <w:tcW w:w="440" w:type="dxa"/>
            <w:vAlign w:val="bottom"/>
            <w:shd w:val="clear" w:color="auto" w:fill="CFF0FC"/>
          </w:tcPr>
          <w:p>
            <w:pPr>
              <w:jc w:val="right"/>
              <w:ind w:right="288"/>
              <w:spacing w:after="0"/>
              <w:rPr>
                <w:sz w:val="20"/>
                <w:szCs w:val="20"/>
                <w:color w:val="auto"/>
              </w:rPr>
            </w:pPr>
            <w:r>
              <w:rPr>
                <w:rFonts w:ascii="Arial" w:cs="Arial" w:eastAsia="Arial" w:hAnsi="Arial"/>
                <w:sz w:val="14"/>
                <w:szCs w:val="14"/>
                <w:color w:val="auto"/>
              </w:rPr>
              <w:t>)</w:t>
            </w:r>
          </w:p>
        </w:tc>
      </w:tr>
      <w:tr>
        <w:trPr>
          <w:trHeight w:val="175"/>
        </w:trPr>
        <w:tc>
          <w:tcPr>
            <w:tcW w:w="5940" w:type="dxa"/>
            <w:vAlign w:val="bottom"/>
          </w:tcPr>
          <w:p>
            <w:pPr>
              <w:ind w:left="20"/>
              <w:spacing w:after="0"/>
              <w:rPr>
                <w:sz w:val="20"/>
                <w:szCs w:val="20"/>
                <w:color w:val="auto"/>
              </w:rPr>
            </w:pPr>
            <w:r>
              <w:rPr>
                <w:rFonts w:ascii="Arial" w:cs="Arial" w:eastAsia="Arial" w:hAnsi="Arial"/>
                <w:sz w:val="14"/>
                <w:szCs w:val="14"/>
                <w:color w:val="auto"/>
              </w:rPr>
              <w:t>Capital expenditures</w:t>
            </w:r>
          </w:p>
        </w:tc>
        <w:tc>
          <w:tcPr>
            <w:tcW w:w="340" w:type="dxa"/>
            <w:vAlign w:val="bottom"/>
          </w:tcPr>
          <w:p>
            <w:pPr>
              <w:spacing w:after="0"/>
              <w:rPr>
                <w:sz w:val="15"/>
                <w:szCs w:val="15"/>
                <w:color w:val="auto"/>
              </w:rPr>
            </w:pPr>
          </w:p>
        </w:tc>
        <w:tc>
          <w:tcPr>
            <w:tcW w:w="2140" w:type="dxa"/>
            <w:vAlign w:val="bottom"/>
            <w:gridSpan w:val="2"/>
          </w:tcPr>
          <w:p>
            <w:pPr>
              <w:jc w:val="right"/>
              <w:ind w:right="268"/>
              <w:spacing w:after="0"/>
              <w:rPr>
                <w:sz w:val="20"/>
                <w:szCs w:val="20"/>
                <w:color w:val="auto"/>
              </w:rPr>
            </w:pPr>
            <w:r>
              <w:rPr>
                <w:rFonts w:ascii="Arial" w:cs="Arial" w:eastAsia="Arial" w:hAnsi="Arial"/>
                <w:sz w:val="14"/>
                <w:szCs w:val="14"/>
                <w:color w:val="auto"/>
              </w:rPr>
              <w:t>(1.7 )</w:t>
            </w:r>
          </w:p>
        </w:tc>
        <w:tc>
          <w:tcPr>
            <w:tcW w:w="420" w:type="dxa"/>
            <w:vAlign w:val="bottom"/>
          </w:tcPr>
          <w:p>
            <w:pPr>
              <w:spacing w:after="0"/>
              <w:rPr>
                <w:sz w:val="15"/>
                <w:szCs w:val="15"/>
                <w:color w:val="auto"/>
              </w:rPr>
            </w:pPr>
          </w:p>
        </w:tc>
        <w:tc>
          <w:tcPr>
            <w:tcW w:w="2400" w:type="dxa"/>
            <w:vAlign w:val="bottom"/>
            <w:gridSpan w:val="2"/>
          </w:tcPr>
          <w:p>
            <w:pPr>
              <w:jc w:val="right"/>
              <w:ind w:right="288"/>
              <w:spacing w:after="0"/>
              <w:rPr>
                <w:sz w:val="20"/>
                <w:szCs w:val="20"/>
                <w:color w:val="auto"/>
              </w:rPr>
            </w:pPr>
            <w:r>
              <w:rPr>
                <w:rFonts w:ascii="Arial" w:cs="Arial" w:eastAsia="Arial" w:hAnsi="Arial"/>
                <w:sz w:val="14"/>
                <w:szCs w:val="14"/>
                <w:color w:val="auto"/>
              </w:rPr>
              <w:t>(1.2 )</w:t>
            </w:r>
          </w:p>
        </w:tc>
      </w:tr>
      <w:tr>
        <w:trPr>
          <w:trHeight w:val="209"/>
        </w:trPr>
        <w:tc>
          <w:tcPr>
            <w:tcW w:w="5940" w:type="dxa"/>
            <w:vAlign w:val="bottom"/>
            <w:tcBorders>
              <w:bottom w:val="single" w:sz="8" w:color="CFF0FC"/>
            </w:tcBorders>
            <w:shd w:val="clear" w:color="auto" w:fill="CFF0FC"/>
          </w:tcPr>
          <w:p>
            <w:pPr>
              <w:ind w:left="120"/>
              <w:spacing w:after="0" w:line="155" w:lineRule="exact"/>
              <w:rPr>
                <w:sz w:val="20"/>
                <w:szCs w:val="20"/>
                <w:color w:val="auto"/>
              </w:rPr>
            </w:pPr>
            <w:r>
              <w:rPr>
                <w:rFonts w:ascii="Arial" w:cs="Arial" w:eastAsia="Arial" w:hAnsi="Arial"/>
                <w:sz w:val="14"/>
                <w:szCs w:val="14"/>
                <w:color w:val="auto"/>
              </w:rPr>
              <w:t>Free Cash Flow (non-GAAP basis)</w:t>
            </w:r>
          </w:p>
        </w:tc>
        <w:tc>
          <w:tcPr>
            <w:tcW w:w="340" w:type="dxa"/>
            <w:vAlign w:val="bottom"/>
            <w:tcBorders>
              <w:top w:val="single" w:sz="8" w:color="auto"/>
              <w:bottom w:val="single" w:sz="8" w:color="auto"/>
            </w:tcBorders>
            <w:shd w:val="clear" w:color="auto" w:fill="CFF0FC"/>
          </w:tcPr>
          <w:p>
            <w:pPr>
              <w:jc w:val="right"/>
              <w:ind w:right="188"/>
              <w:spacing w:after="0" w:line="155" w:lineRule="exact"/>
              <w:rPr>
                <w:sz w:val="20"/>
                <w:szCs w:val="20"/>
                <w:color w:val="auto"/>
              </w:rPr>
            </w:pPr>
            <w:r>
              <w:rPr>
                <w:rFonts w:ascii="Arial" w:cs="Arial" w:eastAsia="Arial" w:hAnsi="Arial"/>
                <w:sz w:val="14"/>
                <w:szCs w:val="14"/>
                <w:color w:val="auto"/>
                <w:w w:val="76"/>
              </w:rPr>
              <w:t>$</w:t>
            </w:r>
          </w:p>
        </w:tc>
        <w:tc>
          <w:tcPr>
            <w:tcW w:w="17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(5.9</w:t>
            </w:r>
          </w:p>
        </w:tc>
        <w:tc>
          <w:tcPr>
            <w:tcW w:w="400" w:type="dxa"/>
            <w:vAlign w:val="bottom"/>
            <w:tcBorders>
              <w:bottom w:val="single" w:sz="8" w:color="CFF0FC"/>
            </w:tcBorders>
            <w:shd w:val="clear" w:color="auto" w:fill="CFF0FC"/>
          </w:tcPr>
          <w:p>
            <w:pPr>
              <w:jc w:val="right"/>
              <w:ind w:right="268"/>
              <w:spacing w:after="0" w:line="155" w:lineRule="exact"/>
              <w:rPr>
                <w:sz w:val="20"/>
                <w:szCs w:val="20"/>
                <w:color w:val="auto"/>
              </w:rPr>
            </w:pPr>
            <w:r>
              <w:rPr>
                <w:rFonts w:ascii="Arial" w:cs="Arial" w:eastAsia="Arial" w:hAnsi="Arial"/>
                <w:sz w:val="14"/>
                <w:szCs w:val="14"/>
                <w:color w:val="auto"/>
                <w:w w:val="84"/>
              </w:rPr>
              <w:t>)</w:t>
            </w:r>
          </w:p>
        </w:tc>
        <w:tc>
          <w:tcPr>
            <w:tcW w:w="420" w:type="dxa"/>
            <w:vAlign w:val="bottom"/>
            <w:tcBorders>
              <w:top w:val="single" w:sz="8" w:color="auto"/>
              <w:bottom w:val="single" w:sz="8" w:color="auto"/>
            </w:tcBorders>
            <w:shd w:val="clear" w:color="auto" w:fill="CFF0FC"/>
          </w:tcPr>
          <w:p>
            <w:pPr>
              <w:jc w:val="right"/>
              <w:ind w:right="268"/>
              <w:spacing w:after="0" w:line="155" w:lineRule="exact"/>
              <w:rPr>
                <w:sz w:val="20"/>
                <w:szCs w:val="20"/>
                <w:color w:val="auto"/>
              </w:rPr>
            </w:pPr>
            <w:r>
              <w:rPr>
                <w:rFonts w:ascii="Arial" w:cs="Arial" w:eastAsia="Arial" w:hAnsi="Arial"/>
                <w:sz w:val="14"/>
                <w:szCs w:val="14"/>
                <w:color w:val="auto"/>
                <w:w w:val="76"/>
              </w:rPr>
              <w:t>$</w:t>
            </w:r>
          </w:p>
        </w:tc>
        <w:tc>
          <w:tcPr>
            <w:tcW w:w="19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(2.7</w:t>
            </w:r>
          </w:p>
        </w:tc>
        <w:tc>
          <w:tcPr>
            <w:tcW w:w="440" w:type="dxa"/>
            <w:vAlign w:val="bottom"/>
            <w:tcBorders>
              <w:bottom w:val="single" w:sz="8" w:color="CFF0FC"/>
            </w:tcBorders>
            <w:shd w:val="clear" w:color="auto" w:fill="CFF0FC"/>
          </w:tcPr>
          <w:p>
            <w:pPr>
              <w:jc w:val="right"/>
              <w:ind w:right="288"/>
              <w:spacing w:after="0" w:line="155" w:lineRule="exact"/>
              <w:rPr>
                <w:sz w:val="20"/>
                <w:szCs w:val="20"/>
                <w:color w:val="auto"/>
              </w:rPr>
            </w:pPr>
            <w:r>
              <w:rPr>
                <w:rFonts w:ascii="Arial" w:cs="Arial" w:eastAsia="Arial" w:hAnsi="Arial"/>
                <w:sz w:val="14"/>
                <w:szCs w:val="14"/>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5088255</wp:posOffset>
            </wp:positionH>
            <wp:positionV relativeFrom="paragraph">
              <wp:posOffset>-24765</wp:posOffset>
            </wp:positionV>
            <wp:extent cx="1859915" cy="1885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859915" cy="188595"/>
                    </a:xfrm>
                    <a:prstGeom prst="rect">
                      <a:avLst/>
                    </a:prstGeom>
                    <a:noFill/>
                  </pic:spPr>
                </pic:pic>
              </a:graphicData>
            </a:graphic>
          </wp:anchor>
        </w:drawing>
      </w:r>
    </w:p>
    <w:p>
      <w:pPr>
        <w:spacing w:after="0" w:line="32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Non-GAAP Measures</w:t>
      </w:r>
    </w:p>
    <w:p>
      <w:pPr>
        <w:spacing w:after="0" w:line="135" w:lineRule="exact"/>
        <w:rPr>
          <w:sz w:val="20"/>
          <w:szCs w:val="20"/>
          <w:color w:val="auto"/>
        </w:rPr>
      </w:pPr>
    </w:p>
    <w:p>
      <w:pPr>
        <w:ind w:right="140"/>
        <w:spacing w:after="0" w:line="250" w:lineRule="auto"/>
        <w:rPr>
          <w:sz w:val="20"/>
          <w:szCs w:val="20"/>
          <w:color w:val="auto"/>
        </w:rPr>
      </w:pPr>
      <w:r>
        <w:rPr>
          <w:rFonts w:ascii="Arial" w:cs="Arial" w:eastAsia="Arial" w:hAnsi="Arial"/>
          <w:sz w:val="20"/>
          <w:szCs w:val="20"/>
          <w:color w:val="auto"/>
        </w:rPr>
        <w:t>Adjusted net income, adjusted net income per diluted share, adjusted EBITDA, adjusted EBITDA margin and free cash flow are non-GAAP financial measures. Please see “Non-GAAP Measures” below and reconciliations of these non-GAAP measures to the comparable GAAP measures that follow in the tables below.</w:t>
      </w:r>
    </w:p>
    <w:p>
      <w:pPr>
        <w:spacing w:after="0" w:line="11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Balance Sheet &amp; Liquidity</w:t>
      </w:r>
    </w:p>
    <w:p>
      <w:pPr>
        <w:spacing w:after="0" w:line="108" w:lineRule="exact"/>
        <w:rPr>
          <w:sz w:val="20"/>
          <w:szCs w:val="20"/>
          <w:color w:val="auto"/>
        </w:rPr>
      </w:pPr>
    </w:p>
    <w:p>
      <w:pPr>
        <w:ind w:right="160"/>
        <w:spacing w:after="0" w:line="250" w:lineRule="auto"/>
        <w:rPr>
          <w:sz w:val="20"/>
          <w:szCs w:val="20"/>
          <w:color w:val="auto"/>
        </w:rPr>
      </w:pPr>
      <w:r>
        <w:rPr>
          <w:rFonts w:ascii="Arial" w:cs="Arial" w:eastAsia="Arial" w:hAnsi="Arial"/>
          <w:sz w:val="20"/>
          <w:szCs w:val="20"/>
          <w:color w:val="auto"/>
        </w:rPr>
        <w:t>As of April 29, 2023, we had cash and investments of $46.0 million as compared to $7.5 million at April 30, 2022, with no outstanding debt in either period. We did not have any borrowings under our credit facility during the first quarter and,</w:t>
      </w:r>
    </w:p>
    <w:p>
      <w:pPr>
        <w:jc w:val="center"/>
        <w:spacing w:after="0" w:line="217" w:lineRule="auto"/>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230505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7" w:right="339" w:bottom="1440" w:gutter="0" w:footer="0" w:header="0"/>
        </w:sectPr>
      </w:pPr>
    </w:p>
    <w:bookmarkStart w:id="7" w:name="page8"/>
    <w:bookmarkEnd w:id="7"/>
    <w:p>
      <w:pPr>
        <w:spacing w:after="0"/>
        <w:rPr>
          <w:sz w:val="20"/>
          <w:szCs w:val="20"/>
          <w:color w:val="auto"/>
        </w:rPr>
      </w:pPr>
      <w:r>
        <w:rPr>
          <w:rFonts w:ascii="Arial" w:cs="Arial" w:eastAsia="Arial" w:hAnsi="Arial"/>
          <w:sz w:val="20"/>
          <w:szCs w:val="20"/>
          <w:color w:val="auto"/>
        </w:rPr>
        <w:t>at April 29, 2023, the availability under our credit facility was $93.8 million, as compared to $85.0 million at April 30, 2022.</w:t>
      </w:r>
    </w:p>
    <w:p>
      <w:pPr>
        <w:spacing w:after="0" w:line="108" w:lineRule="exact"/>
        <w:rPr>
          <w:sz w:val="20"/>
          <w:szCs w:val="20"/>
          <w:color w:val="auto"/>
        </w:rPr>
      </w:pPr>
    </w:p>
    <w:p>
      <w:pPr>
        <w:ind w:right="60"/>
        <w:spacing w:after="0" w:line="243" w:lineRule="auto"/>
        <w:rPr>
          <w:sz w:val="20"/>
          <w:szCs w:val="20"/>
          <w:color w:val="auto"/>
        </w:rPr>
      </w:pPr>
      <w:r>
        <w:rPr>
          <w:rFonts w:ascii="Arial" w:cs="Arial" w:eastAsia="Arial" w:hAnsi="Arial"/>
          <w:sz w:val="20"/>
          <w:szCs w:val="20"/>
          <w:color w:val="auto"/>
        </w:rPr>
        <w:t>As of April 29, 2023, our inventory increased approximately $3.4 million to $100.3 million, as compared to $96.9 million at April 30, 2022. While our inventory increased over last year's first quarter, inventory turnover was up over 25% from the first quarter of fiscal 2019, or pre-pandemic levels. Managing our inventory remains a primary focus for us given the potential impact that inflation may have on consumer spending. Based on the sales trends we started to see in March 2023, we took proactive measures and adjusted our receipt plan. At April 29, 2023, our clearance inventory was 7.8% of our total inventory, as compared to 6.9% at April 30, 2022 and below our historical benchmark of approximately 10.0%.</w:t>
      </w:r>
    </w:p>
    <w:p>
      <w:pPr>
        <w:spacing w:after="0" w:line="8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Stock Repurchase Program</w:t>
      </w:r>
    </w:p>
    <w:p>
      <w:pPr>
        <w:spacing w:after="0" w:line="114" w:lineRule="exact"/>
        <w:rPr>
          <w:sz w:val="20"/>
          <w:szCs w:val="20"/>
          <w:color w:val="auto"/>
        </w:rPr>
      </w:pPr>
    </w:p>
    <w:p>
      <w:pPr>
        <w:jc w:val="both"/>
        <w:ind w:right="80"/>
        <w:spacing w:after="0" w:line="250" w:lineRule="auto"/>
        <w:rPr>
          <w:sz w:val="20"/>
          <w:szCs w:val="20"/>
          <w:color w:val="auto"/>
        </w:rPr>
      </w:pPr>
      <w:r>
        <w:rPr>
          <w:rFonts w:ascii="Arial" w:cs="Arial" w:eastAsia="Arial" w:hAnsi="Arial"/>
          <w:sz w:val="20"/>
          <w:szCs w:val="20"/>
          <w:color w:val="auto"/>
        </w:rPr>
        <w:t>In March 2023, our Board of Directors approved a stock repurchase program. Under the stock repurchase program, we may repurchase up to $15.0 million of our common stock through open market and privately negotiated transactions. Shares of repurchased common stock will be held as treasury stock.</w:t>
      </w:r>
    </w:p>
    <w:p>
      <w:pPr>
        <w:spacing w:after="0" w:line="78" w:lineRule="exact"/>
        <w:rPr>
          <w:sz w:val="20"/>
          <w:szCs w:val="20"/>
          <w:color w:val="auto"/>
        </w:rPr>
      </w:pPr>
    </w:p>
    <w:p>
      <w:pPr>
        <w:ind w:right="40"/>
        <w:spacing w:after="0" w:line="246" w:lineRule="auto"/>
        <w:rPr>
          <w:sz w:val="20"/>
          <w:szCs w:val="20"/>
          <w:color w:val="auto"/>
        </w:rPr>
      </w:pPr>
      <w:r>
        <w:rPr>
          <w:rFonts w:ascii="Arial" w:cs="Arial" w:eastAsia="Arial" w:hAnsi="Arial"/>
          <w:sz w:val="20"/>
          <w:szCs w:val="20"/>
          <w:color w:val="auto"/>
        </w:rPr>
        <w:t>There were no repurchases of stock during the first quarter of fiscal 2023. We expect to begin executing the stock repurchase program in the second quarter of fiscal 2023, however the timing and the amount of any repurchases will be determined based on the Company’s evaluation of market conditions and other factors. The stock repurchase program will expire on March 16, 2024 and may be suspended, terminated or modified at any time for any reason.</w:t>
      </w:r>
    </w:p>
    <w:p>
      <w:pPr>
        <w:spacing w:after="0" w:line="29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Retail Store Information</w:t>
      </w:r>
    </w:p>
    <w:p>
      <w:pPr>
        <w:spacing w:after="0" w:line="114" w:lineRule="exact"/>
        <w:rPr>
          <w:sz w:val="20"/>
          <w:szCs w:val="20"/>
          <w:color w:val="auto"/>
        </w:rPr>
      </w:pPr>
    </w:p>
    <w:p>
      <w:pPr>
        <w:spacing w:after="0"/>
        <w:rPr>
          <w:sz w:val="20"/>
          <w:szCs w:val="20"/>
          <w:color w:val="auto"/>
        </w:rPr>
      </w:pPr>
      <w:r>
        <w:rPr>
          <w:rFonts w:ascii="Arial" w:cs="Arial" w:eastAsia="Arial" w:hAnsi="Arial"/>
          <w:sz w:val="20"/>
          <w:szCs w:val="20"/>
          <w:color w:val="auto"/>
        </w:rPr>
        <w:t>The following is a summary of our retail square footage since the end of fiscal 2020:</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80" w:type="dxa"/>
            <w:vAlign w:val="bottom"/>
          </w:tcPr>
          <w:p>
            <w:pPr>
              <w:spacing w:after="0"/>
              <w:rPr>
                <w:sz w:val="18"/>
                <w:szCs w:val="18"/>
                <w:color w:val="auto"/>
              </w:rPr>
            </w:pPr>
          </w:p>
        </w:tc>
        <w:tc>
          <w:tcPr>
            <w:tcW w:w="2140" w:type="dxa"/>
            <w:vAlign w:val="bottom"/>
            <w:gridSpan w:val="4"/>
          </w:tcPr>
          <w:p>
            <w:pPr>
              <w:jc w:val="right"/>
              <w:ind w:right="519"/>
              <w:spacing w:after="0"/>
              <w:rPr>
                <w:sz w:val="20"/>
                <w:szCs w:val="20"/>
                <w:color w:val="auto"/>
              </w:rPr>
            </w:pPr>
            <w:r>
              <w:rPr>
                <w:rFonts w:ascii="Arial" w:cs="Arial" w:eastAsia="Arial" w:hAnsi="Arial"/>
                <w:sz w:val="16"/>
                <w:szCs w:val="16"/>
                <w:color w:val="auto"/>
              </w:rPr>
              <w:t>Year End 2020</w:t>
            </w:r>
          </w:p>
        </w:tc>
        <w:tc>
          <w:tcPr>
            <w:tcW w:w="120" w:type="dxa"/>
            <w:vAlign w:val="bottom"/>
          </w:tcPr>
          <w:p>
            <w:pPr>
              <w:spacing w:after="0"/>
              <w:rPr>
                <w:sz w:val="18"/>
                <w:szCs w:val="18"/>
                <w:color w:val="auto"/>
              </w:rPr>
            </w:pPr>
          </w:p>
        </w:tc>
        <w:tc>
          <w:tcPr>
            <w:tcW w:w="2140" w:type="dxa"/>
            <w:vAlign w:val="bottom"/>
            <w:gridSpan w:val="3"/>
          </w:tcPr>
          <w:p>
            <w:pPr>
              <w:jc w:val="right"/>
              <w:ind w:right="499"/>
              <w:spacing w:after="0"/>
              <w:rPr>
                <w:sz w:val="20"/>
                <w:szCs w:val="20"/>
                <w:color w:val="auto"/>
              </w:rPr>
            </w:pPr>
            <w:r>
              <w:rPr>
                <w:rFonts w:ascii="Arial" w:cs="Arial" w:eastAsia="Arial" w:hAnsi="Arial"/>
                <w:sz w:val="16"/>
                <w:szCs w:val="16"/>
                <w:color w:val="auto"/>
              </w:rPr>
              <w:t>Year End 2021</w:t>
            </w:r>
          </w:p>
        </w:tc>
        <w:tc>
          <w:tcPr>
            <w:tcW w:w="140" w:type="dxa"/>
            <w:vAlign w:val="bottom"/>
          </w:tcPr>
          <w:p>
            <w:pPr>
              <w:spacing w:after="0"/>
              <w:rPr>
                <w:sz w:val="18"/>
                <w:szCs w:val="18"/>
                <w:color w:val="auto"/>
              </w:rPr>
            </w:pPr>
          </w:p>
        </w:tc>
        <w:tc>
          <w:tcPr>
            <w:tcW w:w="2140" w:type="dxa"/>
            <w:vAlign w:val="bottom"/>
            <w:gridSpan w:val="3"/>
          </w:tcPr>
          <w:p>
            <w:pPr>
              <w:jc w:val="right"/>
              <w:ind w:right="499"/>
              <w:spacing w:after="0"/>
              <w:rPr>
                <w:sz w:val="20"/>
                <w:szCs w:val="20"/>
                <w:color w:val="auto"/>
              </w:rPr>
            </w:pPr>
            <w:r>
              <w:rPr>
                <w:rFonts w:ascii="Arial" w:cs="Arial" w:eastAsia="Arial" w:hAnsi="Arial"/>
                <w:sz w:val="16"/>
                <w:szCs w:val="16"/>
                <w:color w:val="auto"/>
              </w:rPr>
              <w:t>Year End 2022</w:t>
            </w:r>
          </w:p>
        </w:tc>
        <w:tc>
          <w:tcPr>
            <w:tcW w:w="140" w:type="dxa"/>
            <w:vAlign w:val="bottom"/>
          </w:tcPr>
          <w:p>
            <w:pPr>
              <w:spacing w:after="0"/>
              <w:rPr>
                <w:sz w:val="18"/>
                <w:szCs w:val="18"/>
                <w:color w:val="auto"/>
              </w:rPr>
            </w:pPr>
          </w:p>
        </w:tc>
        <w:tc>
          <w:tcPr>
            <w:tcW w:w="2340" w:type="dxa"/>
            <w:vAlign w:val="bottom"/>
            <w:gridSpan w:val="4"/>
          </w:tcPr>
          <w:p>
            <w:pPr>
              <w:ind w:left="540"/>
              <w:spacing w:after="0"/>
              <w:rPr>
                <w:sz w:val="20"/>
                <w:szCs w:val="20"/>
                <w:color w:val="auto"/>
              </w:rPr>
            </w:pPr>
            <w:r>
              <w:rPr>
                <w:rFonts w:ascii="Arial" w:cs="Arial" w:eastAsia="Arial" w:hAnsi="Arial"/>
                <w:sz w:val="16"/>
                <w:szCs w:val="16"/>
                <w:color w:val="auto"/>
              </w:rPr>
              <w:t>At April 29, 2023</w:t>
            </w:r>
          </w:p>
        </w:tc>
      </w:tr>
      <w:tr>
        <w:trPr>
          <w:trHeight w:val="216"/>
        </w:trPr>
        <w:tc>
          <w:tcPr>
            <w:tcW w:w="2080" w:type="dxa"/>
            <w:vAlign w:val="bottom"/>
            <w:shd w:val="clear" w:color="auto" w:fill="CFF0FC"/>
          </w:tcPr>
          <w:p>
            <w:pPr>
              <w:spacing w:after="0"/>
              <w:rPr>
                <w:sz w:val="18"/>
                <w:szCs w:val="18"/>
                <w:color w:val="auto"/>
              </w:rPr>
            </w:pPr>
          </w:p>
        </w:tc>
        <w:tc>
          <w:tcPr>
            <w:tcW w:w="720" w:type="dxa"/>
            <w:vAlign w:val="bottom"/>
            <w:shd w:val="clear" w:color="auto" w:fill="CFF0FC"/>
          </w:tcPr>
          <w:p>
            <w:pPr>
              <w:jc w:val="center"/>
              <w:ind w:left="179"/>
              <w:spacing w:after="0"/>
              <w:rPr>
                <w:sz w:val="20"/>
                <w:szCs w:val="20"/>
                <w:color w:val="auto"/>
              </w:rPr>
            </w:pPr>
            <w:r>
              <w:rPr>
                <w:rFonts w:ascii="Arial" w:cs="Arial" w:eastAsia="Arial" w:hAnsi="Arial"/>
                <w:sz w:val="16"/>
                <w:szCs w:val="16"/>
                <w:color w:val="auto"/>
                <w:w w:val="97"/>
              </w:rPr>
              <w:t># of</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259"/>
              <w:spacing w:after="0"/>
              <w:rPr>
                <w:sz w:val="20"/>
                <w:szCs w:val="20"/>
                <w:color w:val="auto"/>
              </w:rPr>
            </w:pPr>
            <w:r>
              <w:rPr>
                <w:rFonts w:ascii="Arial" w:cs="Arial" w:eastAsia="Arial" w:hAnsi="Arial"/>
                <w:sz w:val="16"/>
                <w:szCs w:val="16"/>
                <w:color w:val="auto"/>
              </w:rPr>
              <w:t>Sq Ft.</w:t>
            </w: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299"/>
              <w:spacing w:after="0"/>
              <w:rPr>
                <w:sz w:val="20"/>
                <w:szCs w:val="20"/>
                <w:color w:val="auto"/>
              </w:rPr>
            </w:pPr>
            <w:r>
              <w:rPr>
                <w:rFonts w:ascii="Arial" w:cs="Arial" w:eastAsia="Arial" w:hAnsi="Arial"/>
                <w:sz w:val="16"/>
                <w:szCs w:val="16"/>
                <w:color w:val="auto"/>
              </w:rPr>
              <w:t># of</w:t>
            </w: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239"/>
              <w:spacing w:after="0"/>
              <w:rPr>
                <w:sz w:val="20"/>
                <w:szCs w:val="20"/>
                <w:color w:val="auto"/>
              </w:rPr>
            </w:pPr>
            <w:r>
              <w:rPr>
                <w:rFonts w:ascii="Arial" w:cs="Arial" w:eastAsia="Arial" w:hAnsi="Arial"/>
                <w:sz w:val="16"/>
                <w:szCs w:val="16"/>
                <w:color w:val="auto"/>
              </w:rPr>
              <w:t>Sq Ft.</w:t>
            </w: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299"/>
              <w:spacing w:after="0"/>
              <w:rPr>
                <w:sz w:val="20"/>
                <w:szCs w:val="20"/>
                <w:color w:val="auto"/>
              </w:rPr>
            </w:pPr>
            <w:r>
              <w:rPr>
                <w:rFonts w:ascii="Arial" w:cs="Arial" w:eastAsia="Arial" w:hAnsi="Arial"/>
                <w:sz w:val="16"/>
                <w:szCs w:val="16"/>
                <w:color w:val="auto"/>
              </w:rPr>
              <w:t># of</w:t>
            </w: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239"/>
              <w:spacing w:after="0"/>
              <w:rPr>
                <w:sz w:val="20"/>
                <w:szCs w:val="20"/>
                <w:color w:val="auto"/>
              </w:rPr>
            </w:pPr>
            <w:r>
              <w:rPr>
                <w:rFonts w:ascii="Arial" w:cs="Arial" w:eastAsia="Arial" w:hAnsi="Arial"/>
                <w:sz w:val="16"/>
                <w:szCs w:val="16"/>
                <w:color w:val="auto"/>
              </w:rPr>
              <w:t>Sq Ft.</w:t>
            </w: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299"/>
              <w:spacing w:after="0"/>
              <w:rPr>
                <w:sz w:val="20"/>
                <w:szCs w:val="20"/>
                <w:color w:val="auto"/>
              </w:rPr>
            </w:pPr>
            <w:r>
              <w:rPr>
                <w:rFonts w:ascii="Arial" w:cs="Arial" w:eastAsia="Arial" w:hAnsi="Arial"/>
                <w:sz w:val="16"/>
                <w:szCs w:val="16"/>
                <w:color w:val="auto"/>
              </w:rPr>
              <w:t># of</w:t>
            </w:r>
          </w:p>
        </w:tc>
        <w:tc>
          <w:tcPr>
            <w:tcW w:w="1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ind w:left="320"/>
              <w:spacing w:after="0"/>
              <w:rPr>
                <w:sz w:val="20"/>
                <w:szCs w:val="20"/>
                <w:color w:val="auto"/>
              </w:rPr>
            </w:pPr>
            <w:r>
              <w:rPr>
                <w:rFonts w:ascii="Arial" w:cs="Arial" w:eastAsia="Arial" w:hAnsi="Arial"/>
                <w:sz w:val="16"/>
                <w:szCs w:val="16"/>
                <w:color w:val="auto"/>
              </w:rPr>
              <w:t>Sq Ft.</w:t>
            </w:r>
          </w:p>
        </w:tc>
      </w:tr>
      <w:tr>
        <w:trPr>
          <w:trHeight w:val="219"/>
        </w:trPr>
        <w:tc>
          <w:tcPr>
            <w:tcW w:w="2080" w:type="dxa"/>
            <w:vAlign w:val="bottom"/>
            <w:tcBorders>
              <w:bottom w:val="single" w:sz="8" w:color="CFF0FC"/>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center"/>
              <w:ind w:left="239"/>
              <w:spacing w:after="0"/>
              <w:rPr>
                <w:sz w:val="20"/>
                <w:szCs w:val="20"/>
                <w:color w:val="auto"/>
              </w:rPr>
            </w:pPr>
            <w:r>
              <w:rPr>
                <w:rFonts w:ascii="Arial" w:cs="Arial" w:eastAsia="Arial" w:hAnsi="Arial"/>
                <w:sz w:val="16"/>
                <w:szCs w:val="16"/>
                <w:color w:val="auto"/>
                <w:w w:val="86"/>
              </w:rPr>
              <w:t>Stores</w:t>
            </w:r>
          </w:p>
        </w:tc>
        <w:tc>
          <w:tcPr>
            <w:tcW w:w="28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199"/>
              <w:spacing w:after="0"/>
              <w:rPr>
                <w:sz w:val="20"/>
                <w:szCs w:val="20"/>
                <w:color w:val="auto"/>
              </w:rPr>
            </w:pPr>
            <w:r>
              <w:rPr>
                <w:rFonts w:ascii="Arial" w:cs="Arial" w:eastAsia="Arial" w:hAnsi="Arial"/>
                <w:sz w:val="16"/>
                <w:szCs w:val="16"/>
                <w:color w:val="auto"/>
              </w:rPr>
              <w:t>(000’s)</w:t>
            </w:r>
          </w:p>
        </w:tc>
        <w:tc>
          <w:tcPr>
            <w:tcW w:w="120" w:type="dxa"/>
            <w:vAlign w:val="bottom"/>
            <w:tcBorders>
              <w:bottom w:val="single" w:sz="8" w:color="CFF0FC"/>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199"/>
              <w:spacing w:after="0"/>
              <w:rPr>
                <w:sz w:val="20"/>
                <w:szCs w:val="20"/>
                <w:color w:val="auto"/>
              </w:rPr>
            </w:pPr>
            <w:r>
              <w:rPr>
                <w:rFonts w:ascii="Arial" w:cs="Arial" w:eastAsia="Arial" w:hAnsi="Arial"/>
                <w:sz w:val="16"/>
                <w:szCs w:val="16"/>
                <w:color w:val="auto"/>
              </w:rPr>
              <w:t>Stores</w:t>
            </w:r>
          </w:p>
        </w:tc>
        <w:tc>
          <w:tcPr>
            <w:tcW w:w="12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179"/>
              <w:spacing w:after="0"/>
              <w:rPr>
                <w:sz w:val="20"/>
                <w:szCs w:val="20"/>
                <w:color w:val="auto"/>
              </w:rPr>
            </w:pPr>
            <w:r>
              <w:rPr>
                <w:rFonts w:ascii="Arial" w:cs="Arial" w:eastAsia="Arial" w:hAnsi="Arial"/>
                <w:sz w:val="16"/>
                <w:szCs w:val="16"/>
                <w:color w:val="auto"/>
              </w:rPr>
              <w:t>(000’s)</w:t>
            </w:r>
          </w:p>
        </w:tc>
        <w:tc>
          <w:tcPr>
            <w:tcW w:w="140" w:type="dxa"/>
            <w:vAlign w:val="bottom"/>
            <w:tcBorders>
              <w:bottom w:val="single" w:sz="8" w:color="CFF0FC"/>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199"/>
              <w:spacing w:after="0"/>
              <w:rPr>
                <w:sz w:val="20"/>
                <w:szCs w:val="20"/>
                <w:color w:val="auto"/>
              </w:rPr>
            </w:pPr>
            <w:r>
              <w:rPr>
                <w:rFonts w:ascii="Arial" w:cs="Arial" w:eastAsia="Arial" w:hAnsi="Arial"/>
                <w:sz w:val="16"/>
                <w:szCs w:val="16"/>
                <w:color w:val="auto"/>
              </w:rPr>
              <w:t>Stores</w:t>
            </w:r>
          </w:p>
        </w:tc>
        <w:tc>
          <w:tcPr>
            <w:tcW w:w="140" w:type="dxa"/>
            <w:vAlign w:val="bottom"/>
            <w:tcBorders>
              <w:bottom w:val="single" w:sz="8" w:color="CFF0FC"/>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179"/>
              <w:spacing w:after="0"/>
              <w:rPr>
                <w:sz w:val="20"/>
                <w:szCs w:val="20"/>
                <w:color w:val="auto"/>
              </w:rPr>
            </w:pPr>
            <w:r>
              <w:rPr>
                <w:rFonts w:ascii="Arial" w:cs="Arial" w:eastAsia="Arial" w:hAnsi="Arial"/>
                <w:sz w:val="16"/>
                <w:szCs w:val="16"/>
                <w:color w:val="auto"/>
              </w:rPr>
              <w:t>(000’s)</w:t>
            </w:r>
          </w:p>
        </w:tc>
        <w:tc>
          <w:tcPr>
            <w:tcW w:w="140" w:type="dxa"/>
            <w:vAlign w:val="bottom"/>
            <w:tcBorders>
              <w:bottom w:val="single" w:sz="8" w:color="CFF0FC"/>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199"/>
              <w:spacing w:after="0"/>
              <w:rPr>
                <w:sz w:val="20"/>
                <w:szCs w:val="20"/>
                <w:color w:val="auto"/>
              </w:rPr>
            </w:pPr>
            <w:r>
              <w:rPr>
                <w:rFonts w:ascii="Arial" w:cs="Arial" w:eastAsia="Arial" w:hAnsi="Arial"/>
                <w:sz w:val="16"/>
                <w:szCs w:val="16"/>
                <w:color w:val="auto"/>
              </w:rPr>
              <w:t>Stores</w:t>
            </w:r>
          </w:p>
        </w:tc>
        <w:tc>
          <w:tcPr>
            <w:tcW w:w="120" w:type="dxa"/>
            <w:vAlign w:val="bottom"/>
            <w:tcBorders>
              <w:bottom w:val="single" w:sz="8" w:color="CFF0FC"/>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219"/>
              <w:spacing w:after="0"/>
              <w:rPr>
                <w:sz w:val="20"/>
                <w:szCs w:val="20"/>
                <w:color w:val="auto"/>
              </w:rPr>
            </w:pPr>
            <w:r>
              <w:rPr>
                <w:rFonts w:ascii="Arial" w:cs="Arial" w:eastAsia="Arial" w:hAnsi="Arial"/>
                <w:sz w:val="16"/>
                <w:szCs w:val="16"/>
                <w:color w:val="auto"/>
              </w:rPr>
              <w:t>(000’s)</w:t>
            </w:r>
          </w:p>
        </w:tc>
        <w:tc>
          <w:tcPr>
            <w:tcW w:w="140" w:type="dxa"/>
            <w:vAlign w:val="bottom"/>
            <w:tcBorders>
              <w:bottom w:val="single" w:sz="8" w:color="CFF0FC"/>
            </w:tcBorders>
            <w:shd w:val="clear" w:color="auto" w:fill="CFF0FC"/>
          </w:tcPr>
          <w:p>
            <w:pPr>
              <w:spacing w:after="0"/>
              <w:rPr>
                <w:sz w:val="19"/>
                <w:szCs w:val="19"/>
                <w:color w:val="auto"/>
              </w:rPr>
            </w:pPr>
          </w:p>
        </w:tc>
      </w:tr>
      <w:tr>
        <w:trPr>
          <w:trHeight w:val="220"/>
        </w:trPr>
        <w:tc>
          <w:tcPr>
            <w:tcW w:w="2800" w:type="dxa"/>
            <w:vAlign w:val="bottom"/>
            <w:gridSpan w:val="2"/>
          </w:tcPr>
          <w:p>
            <w:pPr>
              <w:ind w:left="20"/>
              <w:spacing w:after="0"/>
              <w:rPr>
                <w:sz w:val="20"/>
                <w:szCs w:val="20"/>
                <w:color w:val="auto"/>
              </w:rPr>
            </w:pPr>
            <w:r>
              <w:rPr>
                <w:rFonts w:ascii="Arial" w:cs="Arial" w:eastAsia="Arial" w:hAnsi="Arial"/>
                <w:sz w:val="16"/>
                <w:szCs w:val="16"/>
                <w:color w:val="auto"/>
              </w:rPr>
              <w:t>DXL retail</w:t>
            </w:r>
          </w:p>
        </w:tc>
        <w:tc>
          <w:tcPr>
            <w:tcW w:w="280" w:type="dxa"/>
            <w:vAlign w:val="bottom"/>
          </w:tcPr>
          <w:p>
            <w:pPr>
              <w:jc w:val="right"/>
              <w:spacing w:after="0"/>
              <w:rPr>
                <w:sz w:val="20"/>
                <w:szCs w:val="20"/>
                <w:color w:val="auto"/>
              </w:rPr>
            </w:pPr>
            <w:r>
              <w:rPr>
                <w:rFonts w:ascii="Arial" w:cs="Arial" w:eastAsia="Arial" w:hAnsi="Arial"/>
                <w:sz w:val="16"/>
                <w:szCs w:val="16"/>
                <w:color w:val="auto"/>
                <w:w w:val="89"/>
              </w:rPr>
              <w:t>226</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1,718</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220</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1,678</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218</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1,663</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218</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1,663</w:t>
            </w:r>
          </w:p>
        </w:tc>
        <w:tc>
          <w:tcPr>
            <w:tcW w:w="140" w:type="dxa"/>
            <w:vAlign w:val="bottom"/>
          </w:tcPr>
          <w:p>
            <w:pPr>
              <w:spacing w:after="0"/>
              <w:rPr>
                <w:sz w:val="19"/>
                <w:szCs w:val="19"/>
                <w:color w:val="auto"/>
              </w:rPr>
            </w:pPr>
          </w:p>
        </w:tc>
      </w:tr>
      <w:tr>
        <w:trPr>
          <w:trHeight w:val="239"/>
        </w:trPr>
        <w:tc>
          <w:tcPr>
            <w:tcW w:w="280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DXL outlets</w:t>
            </w:r>
          </w:p>
        </w:tc>
        <w:tc>
          <w:tcPr>
            <w:tcW w:w="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w:t>
            </w: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82</w:t>
            </w: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16</w:t>
            </w: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80</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16</w:t>
            </w: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80</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16</w:t>
            </w: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80</w:t>
            </w:r>
          </w:p>
        </w:tc>
        <w:tc>
          <w:tcPr>
            <w:tcW w:w="140" w:type="dxa"/>
            <w:vAlign w:val="bottom"/>
            <w:shd w:val="clear" w:color="auto" w:fill="CFF0FC"/>
          </w:tcPr>
          <w:p>
            <w:pPr>
              <w:spacing w:after="0"/>
              <w:rPr>
                <w:sz w:val="20"/>
                <w:szCs w:val="20"/>
                <w:color w:val="auto"/>
              </w:rPr>
            </w:pPr>
          </w:p>
        </w:tc>
      </w:tr>
      <w:tr>
        <w:trPr>
          <w:trHeight w:val="220"/>
        </w:trPr>
        <w:tc>
          <w:tcPr>
            <w:tcW w:w="2800" w:type="dxa"/>
            <w:vAlign w:val="bottom"/>
            <w:gridSpan w:val="2"/>
          </w:tcPr>
          <w:p>
            <w:pPr>
              <w:ind w:left="20"/>
              <w:spacing w:after="0"/>
              <w:rPr>
                <w:sz w:val="20"/>
                <w:szCs w:val="20"/>
                <w:color w:val="auto"/>
              </w:rPr>
            </w:pPr>
            <w:r>
              <w:rPr>
                <w:rFonts w:ascii="Arial" w:cs="Arial" w:eastAsia="Arial" w:hAnsi="Arial"/>
                <w:sz w:val="16"/>
                <w:szCs w:val="16"/>
                <w:color w:val="auto"/>
              </w:rPr>
              <w:t>CMXL retail</w:t>
            </w:r>
          </w:p>
        </w:tc>
        <w:tc>
          <w:tcPr>
            <w:tcW w:w="280" w:type="dxa"/>
            <w:vAlign w:val="bottom"/>
          </w:tcPr>
          <w:p>
            <w:pPr>
              <w:jc w:val="right"/>
              <w:spacing w:after="0"/>
              <w:rPr>
                <w:sz w:val="20"/>
                <w:szCs w:val="20"/>
                <w:color w:val="auto"/>
              </w:rPr>
            </w:pPr>
            <w:r>
              <w:rPr>
                <w:rFonts w:ascii="Arial" w:cs="Arial" w:eastAsia="Arial" w:hAnsi="Arial"/>
                <w:sz w:val="16"/>
                <w:szCs w:val="16"/>
                <w:color w:val="auto"/>
              </w:rPr>
              <w:t>46</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152</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35</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115</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28</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92</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28</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92</w:t>
            </w:r>
          </w:p>
        </w:tc>
        <w:tc>
          <w:tcPr>
            <w:tcW w:w="140" w:type="dxa"/>
            <w:vAlign w:val="bottom"/>
          </w:tcPr>
          <w:p>
            <w:pPr>
              <w:spacing w:after="0"/>
              <w:rPr>
                <w:sz w:val="19"/>
                <w:szCs w:val="19"/>
                <w:color w:val="auto"/>
              </w:rPr>
            </w:pPr>
          </w:p>
        </w:tc>
      </w:tr>
      <w:tr>
        <w:trPr>
          <w:trHeight w:val="239"/>
        </w:trPr>
        <w:tc>
          <w:tcPr>
            <w:tcW w:w="280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CMXL outlets</w:t>
            </w:r>
          </w:p>
        </w:tc>
        <w:tc>
          <w:tcPr>
            <w:tcW w:w="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w:t>
            </w: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66</w:t>
            </w: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19</w:t>
            </w: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57</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19</w:t>
            </w: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57</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19</w:t>
            </w: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57</w:t>
            </w:r>
          </w:p>
        </w:tc>
        <w:tc>
          <w:tcPr>
            <w:tcW w:w="140" w:type="dxa"/>
            <w:vAlign w:val="bottom"/>
            <w:shd w:val="clear" w:color="auto" w:fill="CFF0FC"/>
          </w:tcPr>
          <w:p>
            <w:pPr>
              <w:spacing w:after="0"/>
              <w:rPr>
                <w:sz w:val="20"/>
                <w:szCs w:val="20"/>
                <w:color w:val="auto"/>
              </w:rPr>
            </w:pPr>
          </w:p>
        </w:tc>
      </w:tr>
      <w:tr>
        <w:trPr>
          <w:trHeight w:val="210"/>
        </w:trPr>
        <w:tc>
          <w:tcPr>
            <w:tcW w:w="2800" w:type="dxa"/>
            <w:vAlign w:val="bottom"/>
            <w:gridSpan w:val="2"/>
          </w:tcPr>
          <w:p>
            <w:pPr>
              <w:ind w:left="20"/>
              <w:spacing w:after="0"/>
              <w:rPr>
                <w:sz w:val="20"/>
                <w:szCs w:val="20"/>
                <w:color w:val="auto"/>
              </w:rPr>
            </w:pPr>
            <w:r>
              <w:rPr>
                <w:rFonts w:ascii="Arial" w:cs="Arial" w:eastAsia="Arial" w:hAnsi="Arial"/>
                <w:sz w:val="16"/>
                <w:szCs w:val="16"/>
                <w:color w:val="auto"/>
              </w:rPr>
              <w:t>Total</w:t>
            </w:r>
          </w:p>
        </w:tc>
        <w:tc>
          <w:tcPr>
            <w:tcW w:w="280" w:type="dxa"/>
            <w:vAlign w:val="bottom"/>
          </w:tcPr>
          <w:p>
            <w:pPr>
              <w:jc w:val="right"/>
              <w:spacing w:after="0"/>
              <w:rPr>
                <w:sz w:val="20"/>
                <w:szCs w:val="20"/>
                <w:color w:val="auto"/>
              </w:rPr>
            </w:pPr>
            <w:r>
              <w:rPr>
                <w:rFonts w:ascii="Arial" w:cs="Arial" w:eastAsia="Arial" w:hAnsi="Arial"/>
                <w:sz w:val="16"/>
                <w:szCs w:val="16"/>
                <w:color w:val="auto"/>
                <w:w w:val="89"/>
              </w:rPr>
              <w:t>311</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2,018</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290</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1,930</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281</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1,892</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281</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1,892</w:t>
            </w:r>
          </w:p>
        </w:tc>
        <w:tc>
          <w:tcPr>
            <w:tcW w:w="14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1951355</wp:posOffset>
            </wp:positionH>
            <wp:positionV relativeFrom="paragraph">
              <wp:posOffset>-724535</wp:posOffset>
            </wp:positionV>
            <wp:extent cx="85725" cy="1543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2679700</wp:posOffset>
            </wp:positionH>
            <wp:positionV relativeFrom="paragraph">
              <wp:posOffset>-724535</wp:posOffset>
            </wp:positionV>
            <wp:extent cx="77470" cy="1543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7470" cy="154305"/>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-724535</wp:posOffset>
            </wp:positionV>
            <wp:extent cx="85725" cy="1543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-724535</wp:posOffset>
            </wp:positionV>
            <wp:extent cx="85725" cy="1543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-724535</wp:posOffset>
            </wp:positionV>
            <wp:extent cx="85725" cy="1543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-724535</wp:posOffset>
            </wp:positionV>
            <wp:extent cx="85725" cy="1543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-724535</wp:posOffset>
            </wp:positionV>
            <wp:extent cx="77470" cy="1543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7470" cy="15430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-724535</wp:posOffset>
            </wp:positionV>
            <wp:extent cx="85725" cy="1543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5725" cy="154305"/>
                    </a:xfrm>
                    <a:prstGeom prst="rect">
                      <a:avLst/>
                    </a:prstGeom>
                    <a:noFill/>
                  </pic:spPr>
                </pic:pic>
              </a:graphicData>
            </a:graphic>
          </wp:anchor>
        </w:drawing>
      </w:r>
    </w:p>
    <w:p>
      <w:pPr>
        <w:spacing w:after="0" w:line="91" w:lineRule="exact"/>
        <w:rPr>
          <w:sz w:val="20"/>
          <w:szCs w:val="20"/>
          <w:color w:val="auto"/>
        </w:rPr>
      </w:pPr>
    </w:p>
    <w:p>
      <w:pPr>
        <w:ind w:right="40"/>
        <w:spacing w:after="0" w:line="316" w:lineRule="auto"/>
        <w:rPr>
          <w:sz w:val="20"/>
          <w:szCs w:val="20"/>
          <w:color w:val="auto"/>
        </w:rPr>
      </w:pPr>
      <w:r>
        <w:rPr>
          <w:rFonts w:ascii="Arial" w:cs="Arial" w:eastAsia="Arial" w:hAnsi="Arial"/>
          <w:sz w:val="16"/>
          <w:szCs w:val="16"/>
          <w:color w:val="auto"/>
        </w:rPr>
        <w:t>We have executed our first lease agreement this year for a new store in the Los Angeles market. We are very close on our second new store which will be in the New York market and we expect to sign at least one more lease for a third whitespace store that we expect to open by the end of 2023. We have also started to convert four Casual Male stores to the DXL store format and we have started to remodel one existing DXL store. By the end of fiscal 2023, we expect to open 3 new DXL stores and 10 Casual Male to DXL conversion stores. We expect to have begun construction on at least 5 DXL remodels by the end of the year. Over the next three to five years, we believe we could potentially open 50 new DXL stores across the country. We expect our capital expenditures to range from $19.0 million to $21.0 million in fiscal 2023.</w:t>
      </w:r>
    </w:p>
    <w:p>
      <w:pPr>
        <w:spacing w:after="0" w:line="6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Digital Commerce Information</w:t>
      </w:r>
    </w:p>
    <w:p>
      <w:pPr>
        <w:spacing w:after="0" w:line="141" w:lineRule="exact"/>
        <w:rPr>
          <w:sz w:val="20"/>
          <w:szCs w:val="20"/>
          <w:color w:val="auto"/>
        </w:rPr>
      </w:pPr>
    </w:p>
    <w:p>
      <w:pPr>
        <w:ind w:right="180"/>
        <w:spacing w:after="0" w:line="278" w:lineRule="auto"/>
        <w:rPr>
          <w:sz w:val="20"/>
          <w:szCs w:val="20"/>
          <w:color w:val="auto"/>
        </w:rPr>
      </w:pPr>
      <w:r>
        <w:rPr>
          <w:rFonts w:ascii="Arial" w:cs="Arial" w:eastAsia="Arial" w:hAnsi="Arial"/>
          <w:sz w:val="18"/>
          <w:szCs w:val="18"/>
          <w:color w:val="auto"/>
        </w:rPr>
        <w:t>We distribute our national brands and own brand merchandise directly to consumers through our stores, website, app, and third-party marketplaces. Digital commerce sales, which we also refer to as direct sales, are defined as sales that originate online, whether through our website, at the store level or through a third-party marketplace. Our direct business is a critical component of our business and an area of significant growth opportunity for us. For the first quarter of fiscal 2023, our direct sales were $38.1 million, or 30.4% of retail segment sales, as compared to $39.0 million, or 30.6% of retail segment sales in the first quarter of fiscal 2022.</w:t>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7" w:right="339" w:bottom="1440" w:gutter="0" w:footer="0" w:header="0"/>
        </w:sectPr>
      </w:pPr>
    </w:p>
    <w:bookmarkStart w:id="8" w:name="page9"/>
    <w:bookmarkEnd w:id="8"/>
    <w:p>
      <w:pPr>
        <w:spacing w:after="0"/>
        <w:rPr>
          <w:sz w:val="20"/>
          <w:szCs w:val="20"/>
          <w:color w:val="auto"/>
        </w:rPr>
      </w:pPr>
      <w:r>
        <w:rPr>
          <w:rFonts w:ascii="Arial" w:cs="Arial" w:eastAsia="Arial" w:hAnsi="Arial"/>
          <w:sz w:val="20"/>
          <w:szCs w:val="20"/>
          <w:b w:val="1"/>
          <w:bCs w:val="1"/>
          <w:u w:val="single" w:color="auto"/>
          <w:color w:val="auto"/>
        </w:rPr>
        <w:t>Financial Outlook</w:t>
      </w:r>
    </w:p>
    <w:p>
      <w:pPr>
        <w:spacing w:after="0" w:line="154" w:lineRule="exact"/>
        <w:rPr>
          <w:sz w:val="20"/>
          <w:szCs w:val="20"/>
          <w:color w:val="auto"/>
        </w:rPr>
      </w:pPr>
    </w:p>
    <w:p>
      <w:pPr>
        <w:ind w:right="60"/>
        <w:spacing w:after="0" w:line="250" w:lineRule="auto"/>
        <w:rPr>
          <w:sz w:val="20"/>
          <w:szCs w:val="20"/>
          <w:color w:val="auto"/>
        </w:rPr>
      </w:pPr>
      <w:r>
        <w:rPr>
          <w:rFonts w:ascii="Arial" w:cs="Arial" w:eastAsia="Arial" w:hAnsi="Arial"/>
          <w:sz w:val="20"/>
          <w:szCs w:val="20"/>
          <w:color w:val="auto"/>
        </w:rPr>
        <w:t>Based on our results for the first quarter of fiscal 2023 and considering the macro-economic challenges and uncertainties regarding consumer spending seen throughout the retail industry, we are currently trending toward the lower end of our previously reported guidance for fiscal 2023 sales, net income and adjusted EBITDA margin, based on a 53-week year.</w:t>
      </w:r>
    </w:p>
    <w:p>
      <w:pPr>
        <w:spacing w:after="0" w:line="9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Conference Call</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The Company will hold a conference call to review its financial results on Thursday, May 25, 2023, at 9:00 a.m. ET.</w:t>
      </w:r>
    </w:p>
    <w:p>
      <w:pPr>
        <w:spacing w:after="0" w:line="216" w:lineRule="exact"/>
        <w:rPr>
          <w:sz w:val="20"/>
          <w:szCs w:val="20"/>
          <w:color w:val="auto"/>
        </w:rPr>
      </w:pPr>
    </w:p>
    <w:p>
      <w:pPr>
        <w:ind w:right="280"/>
        <w:spacing w:after="0" w:line="316" w:lineRule="auto"/>
        <w:rPr>
          <w:sz w:val="20"/>
          <w:szCs w:val="20"/>
          <w:color w:val="auto"/>
        </w:rPr>
      </w:pPr>
      <w:r>
        <w:rPr>
          <w:rFonts w:ascii="Arial" w:cs="Arial" w:eastAsia="Arial" w:hAnsi="Arial"/>
          <w:sz w:val="18"/>
          <w:szCs w:val="18"/>
          <w:color w:val="auto"/>
        </w:rPr>
        <w:t>To participate in the live webcast, please pre-register at: https://register.vevent.com/register/BIef8b31f994f445b488fe8c5f53dc89e8. Upon registering, you will be emailed a dial-in number, and unique PIN.</w:t>
      </w:r>
    </w:p>
    <w:p>
      <w:pPr>
        <w:spacing w:after="0" w:line="130" w:lineRule="exact"/>
        <w:rPr>
          <w:sz w:val="20"/>
          <w:szCs w:val="20"/>
          <w:color w:val="auto"/>
        </w:rPr>
      </w:pPr>
    </w:p>
    <w:p>
      <w:pPr>
        <w:ind w:right="420"/>
        <w:spacing w:after="0" w:line="260" w:lineRule="auto"/>
        <w:rPr>
          <w:sz w:val="20"/>
          <w:szCs w:val="20"/>
          <w:color w:val="auto"/>
        </w:rPr>
      </w:pPr>
      <w:r>
        <w:rPr>
          <w:rFonts w:ascii="Arial" w:cs="Arial" w:eastAsia="Arial" w:hAnsi="Arial"/>
          <w:sz w:val="20"/>
          <w:szCs w:val="20"/>
          <w:color w:val="auto"/>
        </w:rPr>
        <w:t>For listen-only, please join and register at: https://edge.media-server.com/mmc/p/gouwiz9v. An archived version of the webcast may be accessed by visiting the "Events" section of the Company's investor relations website for up to one year.</w:t>
      </w:r>
    </w:p>
    <w:p>
      <w:pPr>
        <w:spacing w:after="0" w:line="177" w:lineRule="exact"/>
        <w:rPr>
          <w:sz w:val="20"/>
          <w:szCs w:val="20"/>
          <w:color w:val="auto"/>
        </w:rPr>
      </w:pPr>
    </w:p>
    <w:p>
      <w:pPr>
        <w:ind w:right="80"/>
        <w:spacing w:after="0" w:line="250" w:lineRule="auto"/>
        <w:rPr>
          <w:sz w:val="20"/>
          <w:szCs w:val="20"/>
          <w:color w:val="auto"/>
        </w:rPr>
      </w:pPr>
      <w:r>
        <w:rPr>
          <w:rFonts w:ascii="Arial" w:cs="Arial" w:eastAsia="Arial" w:hAnsi="Arial"/>
          <w:sz w:val="20"/>
          <w:szCs w:val="20"/>
          <w:color w:val="auto"/>
        </w:rPr>
        <w:t>During the conference call, the Company may discuss and answer questions concerning business and financial developments and trends. The Company’s responses to questions, as well as other matters discussed during the conference call, may contain or constitute information that has not been disclosed previously.</w:t>
      </w:r>
    </w:p>
    <w:p>
      <w:pPr>
        <w:spacing w:after="0" w:line="7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Non-GAAP Measures</w:t>
      </w:r>
    </w:p>
    <w:p>
      <w:pPr>
        <w:spacing w:after="0" w:line="222"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color w:val="auto"/>
        </w:rPr>
        <w:t>In addition to financial measures prepared in accordance with U.S. generally accepted accounting principles (“GAAP”), this press release contains non-GAAP financial measures, including adjusted net income, adjusted net income per diluted share, adjusted EBITDA, adjusted EBITDA margin, and free cash flow. The presentation of these non-GAAP measures is not in accordance with GAAP, and should not be considered superior to or as a substitute for net income, net income per diluted share or cash flows from operating activities or any other measure of performance derived in accordance with GAAP. In addition, not all companies calculate non-GAAP financial measures in the same manner and, accordingly, the non-GAAP measures presented in this release may not be comparable to similar measures used by other companies. The Company believes the inclusion of these non-GAAP measures help investors gain a better understanding of the Company’s performance, especially when comparing such results to previous periods, and that they are useful as an additional means for investors to evaluate the Company's operating results, when reviewed in conjunction with the Company's GAAP financial statements. Reconciliations of these non-GAAP measures to their comparable GAAP measures are provided in the tables below.</w:t>
      </w:r>
    </w:p>
    <w:p>
      <w:pPr>
        <w:spacing w:after="0" w:line="174" w:lineRule="exact"/>
        <w:rPr>
          <w:sz w:val="20"/>
          <w:szCs w:val="20"/>
          <w:color w:val="auto"/>
        </w:rPr>
      </w:pPr>
    </w:p>
    <w:p>
      <w:pPr>
        <w:spacing w:after="0" w:line="246" w:lineRule="auto"/>
        <w:rPr>
          <w:sz w:val="20"/>
          <w:szCs w:val="20"/>
          <w:color w:val="auto"/>
        </w:rPr>
      </w:pPr>
      <w:r>
        <w:rPr>
          <w:rFonts w:ascii="Arial" w:cs="Arial" w:eastAsia="Arial" w:hAnsi="Arial"/>
          <w:sz w:val="20"/>
          <w:szCs w:val="20"/>
          <w:color w:val="auto"/>
        </w:rPr>
        <w:t>Adjusted net income and adjusted net income per diluted share is calculated by excluding any asset impairment charge (gain), subtracting the actual income tax provision (benefit) and applying an effective tax rate of 26%. The Company believes that this comparability is useful is comparing the actual results period to period. Adjusted net income per diluted share is then calculated by dividing the adjusted net income by the weighted average shares outstanding for the respective period, on a diluted basis.</w:t>
      </w:r>
    </w:p>
    <w:p>
      <w:pPr>
        <w:spacing w:after="0" w:line="191" w:lineRule="exact"/>
        <w:rPr>
          <w:sz w:val="20"/>
          <w:szCs w:val="20"/>
          <w:color w:val="auto"/>
        </w:rPr>
      </w:pPr>
    </w:p>
    <w:p>
      <w:pPr>
        <w:jc w:val="both"/>
        <w:ind w:right="140"/>
        <w:spacing w:after="0" w:line="246" w:lineRule="auto"/>
        <w:rPr>
          <w:sz w:val="20"/>
          <w:szCs w:val="20"/>
          <w:color w:val="auto"/>
        </w:rPr>
      </w:pPr>
      <w:r>
        <w:rPr>
          <w:rFonts w:ascii="Arial" w:cs="Arial" w:eastAsia="Arial" w:hAnsi="Arial"/>
          <w:sz w:val="20"/>
          <w:szCs w:val="20"/>
          <w:color w:val="auto"/>
        </w:rPr>
        <w:t>Adjusted EBITDA is calculated as earnings before interest, taxes, depreciation and amortization and adjusted for asset impairment charges. Adjusted EBITDA margin is calculated as adjusted EBITDA divided by total sales. The Company believes that providing adjusted EBITDA and adjusted EBITDA margin is useful to investors to evaluate the Company’s performance and are key metrics to measure profitability and economic productivity.</w:t>
      </w:r>
    </w:p>
    <w:p>
      <w:pPr>
        <w:spacing w:after="0" w:line="124" w:lineRule="exact"/>
        <w:rPr>
          <w:sz w:val="20"/>
          <w:szCs w:val="20"/>
          <w:color w:val="auto"/>
        </w:rPr>
      </w:pPr>
    </w:p>
    <w:p>
      <w:pPr>
        <w:ind w:right="280"/>
        <w:spacing w:after="0" w:line="250" w:lineRule="auto"/>
        <w:rPr>
          <w:sz w:val="20"/>
          <w:szCs w:val="20"/>
          <w:color w:val="auto"/>
        </w:rPr>
      </w:pPr>
      <w:r>
        <w:rPr>
          <w:rFonts w:ascii="Arial" w:cs="Arial" w:eastAsia="Arial" w:hAnsi="Arial"/>
          <w:sz w:val="20"/>
          <w:szCs w:val="20"/>
          <w:color w:val="auto"/>
        </w:rPr>
        <w:t>Free cash flow is a metric that management uses to monitor liquidity. Management believes this metric is important to investors because it demonstrates the Company’s ability to strengthen liquidity while supporting its capital projects and</w:t>
      </w:r>
    </w:p>
    <w:p>
      <w:pPr>
        <w:jc w:val="center"/>
        <w:spacing w:after="0" w:line="217" w:lineRule="auto"/>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230505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9" w:name="page10"/>
    <w:bookmarkEnd w:id="9"/>
    <w:p>
      <w:pPr>
        <w:ind w:right="180"/>
        <w:spacing w:after="0" w:line="260" w:lineRule="auto"/>
        <w:rPr>
          <w:sz w:val="20"/>
          <w:szCs w:val="20"/>
          <w:color w:val="auto"/>
        </w:rPr>
      </w:pPr>
      <w:r>
        <w:rPr>
          <w:rFonts w:ascii="Arial" w:cs="Arial" w:eastAsia="Arial" w:hAnsi="Arial"/>
          <w:sz w:val="20"/>
          <w:szCs w:val="20"/>
          <w:color w:val="auto"/>
        </w:rPr>
        <w:t>new store growth. Free cash flow is calculated as cash flow from operating activities, less capital expenditures and excludes the mandatory and discretionary repayment of debt.</w:t>
      </w:r>
    </w:p>
    <w:p>
      <w:pPr>
        <w:spacing w:after="0" w:line="6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About Destination XL Group, Inc.</w:t>
      </w:r>
    </w:p>
    <w:p>
      <w:pPr>
        <w:spacing w:after="0" w:line="154" w:lineRule="exact"/>
        <w:rPr>
          <w:sz w:val="20"/>
          <w:szCs w:val="20"/>
          <w:color w:val="auto"/>
        </w:rPr>
      </w:pPr>
    </w:p>
    <w:p>
      <w:pPr>
        <w:spacing w:after="0" w:line="259" w:lineRule="auto"/>
        <w:rPr>
          <w:sz w:val="20"/>
          <w:szCs w:val="20"/>
          <w:color w:val="auto"/>
        </w:rPr>
      </w:pPr>
      <w:r>
        <w:rPr>
          <w:rFonts w:ascii="Arial" w:cs="Arial" w:eastAsia="Arial" w:hAnsi="Arial"/>
          <w:sz w:val="19"/>
          <w:szCs w:val="19"/>
          <w:color w:val="auto"/>
        </w:rPr>
        <w:t xml:space="preserve">Destination XL Group, Inc. is the leading retailer of Men’s Big + Tall apparel that provides the Big + Tall man the freedom to choose his own style. Subsidiaries of Destination XL Group, Inc. operate DXL Big + Tall retail and outlet stores and Casual Male XL retail and outlet stores throughout the United States, and an e-commerce website, </w:t>
      </w:r>
      <w:r>
        <w:rPr>
          <w:rFonts w:ascii="Arial" w:cs="Arial" w:eastAsia="Arial" w:hAnsi="Arial"/>
          <w:sz w:val="19"/>
          <w:szCs w:val="19"/>
          <w:u w:val="single" w:color="auto"/>
          <w:color w:val="auto"/>
        </w:rPr>
        <w:t>DXL.COM</w:t>
      </w:r>
      <w:r>
        <w:rPr>
          <w:rFonts w:ascii="Arial" w:cs="Arial" w:eastAsia="Arial" w:hAnsi="Arial"/>
          <w:sz w:val="19"/>
          <w:szCs w:val="19"/>
          <w:color w:val="auto"/>
        </w:rPr>
        <w:t xml:space="preserve">, and mobile app, which offer a multi-channel solution similar to the DXL store experience with the most extensive selection of online products available anywhere for Big + Tall men. The Company is headquartered in Canton, Massachusetts, and its common stock is listed on the Nasdaq Global Market under the symbol "DXLG." For more information, please visit the Company's investor relations website: </w:t>
      </w:r>
      <w:r>
        <w:rPr>
          <w:rFonts w:ascii="Arial" w:cs="Arial" w:eastAsia="Arial" w:hAnsi="Arial"/>
          <w:sz w:val="19"/>
          <w:szCs w:val="19"/>
          <w:u w:val="single" w:color="auto"/>
          <w:color w:val="auto"/>
        </w:rPr>
        <w:t>https://investor.dxl.com</w:t>
      </w:r>
      <w:r>
        <w:rPr>
          <w:rFonts w:ascii="Arial" w:cs="Arial" w:eastAsia="Arial" w:hAnsi="Arial"/>
          <w:sz w:val="19"/>
          <w:szCs w:val="19"/>
          <w:color w:val="auto"/>
        </w:rPr>
        <w:t>.</w:t>
      </w:r>
    </w:p>
    <w:p>
      <w:pPr>
        <w:spacing w:after="0" w:line="6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Forward-Looking Statements</w:t>
      </w:r>
    </w:p>
    <w:p>
      <w:pPr>
        <w:spacing w:after="0" w:line="235" w:lineRule="exact"/>
        <w:rPr>
          <w:sz w:val="20"/>
          <w:szCs w:val="20"/>
          <w:color w:val="auto"/>
        </w:rPr>
      </w:pPr>
    </w:p>
    <w:p>
      <w:pPr>
        <w:spacing w:after="0" w:line="305" w:lineRule="auto"/>
        <w:rPr>
          <w:sz w:val="20"/>
          <w:szCs w:val="20"/>
          <w:color w:val="auto"/>
        </w:rPr>
      </w:pPr>
      <w:r>
        <w:rPr>
          <w:rFonts w:ascii="Arial" w:cs="Arial" w:eastAsia="Arial" w:hAnsi="Arial"/>
          <w:sz w:val="16"/>
          <w:szCs w:val="16"/>
          <w:i w:val="1"/>
          <w:iCs w:val="1"/>
          <w:color w:val="auto"/>
        </w:rPr>
        <w:t>Certain statements and information contained in this press release constitute forward-looking statements under the federal securities laws, including statements regarding our guidance for fiscal 2023, including expected sales, net income, gross margin and adjusted EBITDA margin; expected sales trends for fiscal 2023; the expected impact of marketing initiatives and marketing costs for fiscal 2023; our performance as compared to the overall retail apparel market; our ability to continue to attract new customers and gain market share; expected capital expenditures in fiscal 2023; our ability to manage inventory; the timing of any repurchases under our stock repurchase program; and expected changes in our store portfolio and plan for new or relocated stores. The discussion of forward-looking information requires the management of the Company to make certain estimates and assumptions regarding the Company's strategic direction and the effect of such plans on the Company's financial results. The Company's actual results and the implementation of its plans and operations may differ materially from forward-looking statements made by the Company. The Company encourages readers of forward-looking information concerning the Company to refer to its filings with the Securities and Exchange Commission, including without limitation, its Annual Report on Form 10-K filed on March 16, 2023, its Quarterly Reports on Form 10-Q and other filings with the Securities and Exchange Commission that set forth certain risks and uncertainties that may have an impact on future results and direction of the Company, including risks relating to: the failure of the U.S. federal government to avoid a default and potential federal government shutdown, changes in consumer spending in response to the economy, the impact of rising inflation and the Russian invasion on Ukraine on the global economy; potential labor shortages; and the Company’s ability to execute on its digital and store strategy and ability to grow its market share, predict customer tastes and fashion trends, forecast sales growth trends and compete successfully in the United States men’s big and tall apparel market.</w:t>
      </w:r>
    </w:p>
    <w:p>
      <w:pPr>
        <w:spacing w:after="0" w:line="300" w:lineRule="exact"/>
        <w:rPr>
          <w:sz w:val="20"/>
          <w:szCs w:val="20"/>
          <w:color w:val="auto"/>
        </w:rPr>
      </w:pPr>
    </w:p>
    <w:p>
      <w:pPr>
        <w:ind w:right="60"/>
        <w:spacing w:after="0" w:line="263" w:lineRule="auto"/>
        <w:rPr>
          <w:sz w:val="20"/>
          <w:szCs w:val="20"/>
          <w:color w:val="auto"/>
        </w:rPr>
      </w:pPr>
      <w:r>
        <w:rPr>
          <w:rFonts w:ascii="Arial" w:cs="Arial" w:eastAsia="Arial" w:hAnsi="Arial"/>
          <w:sz w:val="19"/>
          <w:szCs w:val="19"/>
          <w:i w:val="1"/>
          <w:iCs w:val="1"/>
          <w:color w:val="auto"/>
        </w:rPr>
        <w:t>Forward-looking statements contained in this press release speak only as of the date of this release. Subsequent events or circumstances occurring after such date may render these statements incomplete or out of date. The Company undertakes no obligation and expressly disclaims any duty to update such statements occurring after such date may render these statements incomplete or out of date. The Company undertakes no obligation and expressly disclaims any duty to update such statements.</w:t>
      </w:r>
    </w:p>
    <w:p>
      <w:pPr>
        <w:spacing w:after="0" w:line="155"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9" w:right="359" w:bottom="1440" w:gutter="0" w:footer="0" w:header="0"/>
        </w:sectPr>
      </w:pPr>
    </w:p>
    <w:bookmarkStart w:id="10" w:name="page11"/>
    <w:bookmarkEnd w:id="10"/>
    <w:p>
      <w:pPr>
        <w:jc w:val="center"/>
        <w:spacing w:after="0"/>
        <w:rPr>
          <w:sz w:val="20"/>
          <w:szCs w:val="20"/>
          <w:color w:val="auto"/>
        </w:rPr>
      </w:pPr>
      <w:r>
        <w:rPr>
          <w:rFonts w:ascii="Arial" w:cs="Arial" w:eastAsia="Arial" w:hAnsi="Arial"/>
          <w:sz w:val="16"/>
          <w:szCs w:val="16"/>
          <w:color w:val="auto"/>
        </w:rPr>
        <w:t>DESTINATION XL GROUP, INC.</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CONSOLIDATED STATEMENTS OF OPERATIONS</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 thousands, except per share data)</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(unaudited)</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5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3300" w:type="dxa"/>
            <w:vAlign w:val="bottom"/>
            <w:gridSpan w:val="5"/>
          </w:tcPr>
          <w:p>
            <w:pPr>
              <w:jc w:val="right"/>
              <w:ind w:right="1560"/>
              <w:spacing w:after="0"/>
              <w:rPr>
                <w:sz w:val="20"/>
                <w:szCs w:val="20"/>
                <w:color w:val="auto"/>
              </w:rPr>
            </w:pPr>
            <w:r>
              <w:rPr>
                <w:rFonts w:ascii="Arial" w:cs="Arial" w:eastAsia="Arial" w:hAnsi="Arial"/>
                <w:sz w:val="14"/>
                <w:szCs w:val="14"/>
                <w:color w:val="auto"/>
                <w:w w:val="99"/>
              </w:rPr>
              <w:t>For the three months ended</w:t>
            </w:r>
          </w:p>
        </w:tc>
      </w:tr>
      <w:tr>
        <w:trPr>
          <w:trHeight w:val="181"/>
        </w:trPr>
        <w:tc>
          <w:tcPr>
            <w:tcW w:w="6540" w:type="dxa"/>
            <w:vAlign w:val="bottom"/>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April 29, 2023</w:t>
            </w:r>
          </w:p>
        </w:tc>
        <w:tc>
          <w:tcPr>
            <w:tcW w:w="540" w:type="dxa"/>
            <w:vAlign w:val="bottom"/>
            <w:tcBorders>
              <w:bottom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color w:val="auto"/>
              </w:rPr>
              <w:t>April 30, 2022</w:t>
            </w:r>
          </w:p>
        </w:tc>
        <w:tc>
          <w:tcPr>
            <w:tcW w:w="540" w:type="dxa"/>
            <w:vAlign w:val="bottom"/>
          </w:tcPr>
          <w:p>
            <w:pPr>
              <w:spacing w:after="0"/>
              <w:rPr>
                <w:sz w:val="15"/>
                <w:szCs w:val="15"/>
                <w:color w:val="auto"/>
              </w:rPr>
            </w:pPr>
          </w:p>
        </w:tc>
      </w:tr>
      <w:tr>
        <w:trPr>
          <w:trHeight w:val="223"/>
        </w:trPr>
        <w:tc>
          <w:tcPr>
            <w:tcW w:w="6540" w:type="dxa"/>
            <w:vAlign w:val="bottom"/>
            <w:shd w:val="clear" w:color="auto" w:fill="CFF0FC"/>
          </w:tcPr>
          <w:p>
            <w:pPr>
              <w:ind w:left="20"/>
              <w:spacing w:after="0"/>
              <w:rPr>
                <w:sz w:val="20"/>
                <w:szCs w:val="20"/>
                <w:color w:val="auto"/>
              </w:rPr>
            </w:pPr>
            <w:r>
              <w:rPr>
                <w:rFonts w:ascii="Arial" w:cs="Arial" w:eastAsia="Arial" w:hAnsi="Arial"/>
                <w:sz w:val="16"/>
                <w:szCs w:val="16"/>
                <w:color w:val="auto"/>
              </w:rPr>
              <w:t>Sales</w:t>
            </w:r>
          </w:p>
        </w:tc>
        <w:tc>
          <w:tcPr>
            <w:tcW w:w="1400" w:type="dxa"/>
            <w:vAlign w:val="bottom"/>
            <w:shd w:val="clear" w:color="auto" w:fill="CFF0FC"/>
          </w:tcPr>
          <w:p>
            <w:pPr>
              <w:jc w:val="right"/>
              <w:ind w:right="1221"/>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125,442</w:t>
            </w:r>
          </w:p>
        </w:tc>
        <w:tc>
          <w:tcPr>
            <w:tcW w:w="7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127,655</w:t>
            </w:r>
          </w:p>
        </w:tc>
        <w:tc>
          <w:tcPr>
            <w:tcW w:w="540" w:type="dxa"/>
            <w:vAlign w:val="bottom"/>
            <w:shd w:val="clear" w:color="auto" w:fill="CFF0FC"/>
          </w:tcPr>
          <w:p>
            <w:pPr>
              <w:spacing w:after="0"/>
              <w:rPr>
                <w:sz w:val="19"/>
                <w:szCs w:val="19"/>
                <w:color w:val="auto"/>
              </w:rPr>
            </w:pPr>
          </w:p>
        </w:tc>
      </w:tr>
      <w:tr>
        <w:trPr>
          <w:trHeight w:val="227"/>
        </w:trPr>
        <w:tc>
          <w:tcPr>
            <w:tcW w:w="6540" w:type="dxa"/>
            <w:vAlign w:val="bottom"/>
          </w:tcPr>
          <w:p>
            <w:pPr>
              <w:ind w:left="20"/>
              <w:spacing w:after="0"/>
              <w:rPr>
                <w:sz w:val="20"/>
                <w:szCs w:val="20"/>
                <w:color w:val="auto"/>
              </w:rPr>
            </w:pPr>
            <w:r>
              <w:rPr>
                <w:rFonts w:ascii="Arial" w:cs="Arial" w:eastAsia="Arial" w:hAnsi="Arial"/>
                <w:sz w:val="16"/>
                <w:szCs w:val="16"/>
                <w:color w:val="auto"/>
              </w:rPr>
              <w:t>Cost of goods sold including occupancy</w:t>
            </w:r>
          </w:p>
        </w:tc>
        <w:tc>
          <w:tcPr>
            <w:tcW w:w="14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64,526</w:t>
            </w:r>
          </w:p>
        </w:tc>
        <w:tc>
          <w:tcPr>
            <w:tcW w:w="4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63,788</w:t>
            </w:r>
          </w:p>
        </w:tc>
        <w:tc>
          <w:tcPr>
            <w:tcW w:w="540" w:type="dxa"/>
            <w:vAlign w:val="bottom"/>
          </w:tcPr>
          <w:p>
            <w:pPr>
              <w:spacing w:after="0"/>
              <w:rPr>
                <w:sz w:val="19"/>
                <w:szCs w:val="19"/>
                <w:color w:val="auto"/>
              </w:rPr>
            </w:pPr>
          </w:p>
        </w:tc>
      </w:tr>
      <w:tr>
        <w:trPr>
          <w:trHeight w:val="226"/>
        </w:trPr>
        <w:tc>
          <w:tcPr>
            <w:tcW w:w="6540" w:type="dxa"/>
            <w:vAlign w:val="bottom"/>
            <w:shd w:val="clear" w:color="auto" w:fill="CFF0FC"/>
          </w:tcPr>
          <w:p>
            <w:pPr>
              <w:ind w:left="20"/>
              <w:spacing w:after="0"/>
              <w:rPr>
                <w:sz w:val="20"/>
                <w:szCs w:val="20"/>
                <w:color w:val="auto"/>
              </w:rPr>
            </w:pPr>
            <w:r>
              <w:rPr>
                <w:rFonts w:ascii="Arial" w:cs="Arial" w:eastAsia="Arial" w:hAnsi="Arial"/>
                <w:sz w:val="16"/>
                <w:szCs w:val="16"/>
                <w:color w:val="auto"/>
              </w:rPr>
              <w:t>Gross profit</w:t>
            </w:r>
          </w:p>
        </w:tc>
        <w:tc>
          <w:tcPr>
            <w:tcW w:w="140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60,916</w:t>
            </w:r>
          </w:p>
        </w:tc>
        <w:tc>
          <w:tcPr>
            <w:tcW w:w="4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63,867</w:t>
            </w:r>
          </w:p>
        </w:tc>
        <w:tc>
          <w:tcPr>
            <w:tcW w:w="540" w:type="dxa"/>
            <w:vAlign w:val="bottom"/>
            <w:shd w:val="clear" w:color="auto" w:fill="CFF0FC"/>
          </w:tcPr>
          <w:p>
            <w:pPr>
              <w:spacing w:after="0"/>
              <w:rPr>
                <w:sz w:val="19"/>
                <w:szCs w:val="19"/>
                <w:color w:val="auto"/>
              </w:rPr>
            </w:pPr>
          </w:p>
        </w:tc>
      </w:tr>
      <w:tr>
        <w:trPr>
          <w:trHeight w:val="229"/>
        </w:trPr>
        <w:tc>
          <w:tcPr>
            <w:tcW w:w="65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230"/>
        </w:trPr>
        <w:tc>
          <w:tcPr>
            <w:tcW w:w="6540" w:type="dxa"/>
            <w:vAlign w:val="bottom"/>
            <w:shd w:val="clear" w:color="auto" w:fill="CFF0FC"/>
          </w:tcPr>
          <w:p>
            <w:pPr>
              <w:ind w:left="20"/>
              <w:spacing w:after="0"/>
              <w:rPr>
                <w:sz w:val="20"/>
                <w:szCs w:val="20"/>
                <w:color w:val="auto"/>
              </w:rPr>
            </w:pPr>
            <w:r>
              <w:rPr>
                <w:rFonts w:ascii="Arial" w:cs="Arial" w:eastAsia="Arial" w:hAnsi="Arial"/>
                <w:sz w:val="16"/>
                <w:szCs w:val="16"/>
                <w:color w:val="auto"/>
              </w:rPr>
              <w:t>Expenses:</w:t>
            </w:r>
          </w:p>
        </w:tc>
        <w:tc>
          <w:tcPr>
            <w:tcW w:w="14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5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r>
      <w:tr>
        <w:trPr>
          <w:trHeight w:val="220"/>
        </w:trPr>
        <w:tc>
          <w:tcPr>
            <w:tcW w:w="6540" w:type="dxa"/>
            <w:vAlign w:val="bottom"/>
          </w:tcPr>
          <w:p>
            <w:pPr>
              <w:ind w:left="200"/>
              <w:spacing w:after="0"/>
              <w:rPr>
                <w:sz w:val="20"/>
                <w:szCs w:val="20"/>
                <w:color w:val="auto"/>
              </w:rPr>
            </w:pPr>
            <w:r>
              <w:rPr>
                <w:rFonts w:ascii="Arial" w:cs="Arial" w:eastAsia="Arial" w:hAnsi="Arial"/>
                <w:sz w:val="16"/>
                <w:szCs w:val="16"/>
                <w:color w:val="auto"/>
              </w:rPr>
              <w:t>Selling, general and administrative</w:t>
            </w:r>
          </w:p>
        </w:tc>
        <w:tc>
          <w:tcPr>
            <w:tcW w:w="14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48,281</w:t>
            </w: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46,597</w:t>
            </w:r>
          </w:p>
        </w:tc>
        <w:tc>
          <w:tcPr>
            <w:tcW w:w="540" w:type="dxa"/>
            <w:vAlign w:val="bottom"/>
          </w:tcPr>
          <w:p>
            <w:pPr>
              <w:spacing w:after="0"/>
              <w:rPr>
                <w:sz w:val="19"/>
                <w:szCs w:val="19"/>
                <w:color w:val="auto"/>
              </w:rPr>
            </w:pPr>
          </w:p>
        </w:tc>
      </w:tr>
      <w:tr>
        <w:trPr>
          <w:trHeight w:val="239"/>
        </w:trPr>
        <w:tc>
          <w:tcPr>
            <w:tcW w:w="65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Impairment (gain) of assets</w:t>
            </w:r>
          </w:p>
        </w:tc>
        <w:tc>
          <w:tcPr>
            <w:tcW w:w="1400" w:type="dxa"/>
            <w:vAlign w:val="bottom"/>
            <w:shd w:val="clear" w:color="auto" w:fill="CFF0FC"/>
          </w:tcPr>
          <w:p>
            <w:pPr>
              <w:spacing w:after="0"/>
              <w:rPr>
                <w:sz w:val="20"/>
                <w:szCs w:val="20"/>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4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060" w:type="dxa"/>
            <w:vAlign w:val="bottom"/>
            <w:gridSpan w:val="2"/>
            <w:shd w:val="clear" w:color="auto" w:fill="CFF0FC"/>
          </w:tcPr>
          <w:p>
            <w:pPr>
              <w:jc w:val="right"/>
              <w:ind w:right="480"/>
              <w:spacing w:after="0"/>
              <w:rPr>
                <w:sz w:val="20"/>
                <w:szCs w:val="20"/>
                <w:color w:val="auto"/>
              </w:rPr>
            </w:pPr>
            <w:r>
              <w:rPr>
                <w:rFonts w:ascii="Arial" w:cs="Arial" w:eastAsia="Arial" w:hAnsi="Arial"/>
                <w:sz w:val="16"/>
                <w:szCs w:val="16"/>
                <w:color w:val="auto"/>
              </w:rPr>
              <w:t>(351 )</w:t>
            </w:r>
          </w:p>
        </w:tc>
      </w:tr>
      <w:tr>
        <w:trPr>
          <w:trHeight w:val="227"/>
        </w:trPr>
        <w:tc>
          <w:tcPr>
            <w:tcW w:w="6540" w:type="dxa"/>
            <w:vAlign w:val="bottom"/>
          </w:tcPr>
          <w:p>
            <w:pPr>
              <w:ind w:left="200"/>
              <w:spacing w:after="0"/>
              <w:rPr>
                <w:sz w:val="20"/>
                <w:szCs w:val="20"/>
                <w:color w:val="auto"/>
              </w:rPr>
            </w:pPr>
            <w:r>
              <w:rPr>
                <w:rFonts w:ascii="Arial" w:cs="Arial" w:eastAsia="Arial" w:hAnsi="Arial"/>
                <w:sz w:val="16"/>
                <w:szCs w:val="16"/>
                <w:color w:val="auto"/>
              </w:rPr>
              <w:t>Depreciation and amortization</w:t>
            </w:r>
          </w:p>
        </w:tc>
        <w:tc>
          <w:tcPr>
            <w:tcW w:w="14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3,477</w:t>
            </w:r>
          </w:p>
        </w:tc>
        <w:tc>
          <w:tcPr>
            <w:tcW w:w="4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3,987</w:t>
            </w:r>
          </w:p>
        </w:tc>
        <w:tc>
          <w:tcPr>
            <w:tcW w:w="540" w:type="dxa"/>
            <w:vAlign w:val="bottom"/>
          </w:tcPr>
          <w:p>
            <w:pPr>
              <w:spacing w:after="0"/>
              <w:rPr>
                <w:sz w:val="19"/>
                <w:szCs w:val="19"/>
                <w:color w:val="auto"/>
              </w:rPr>
            </w:pPr>
          </w:p>
        </w:tc>
      </w:tr>
      <w:tr>
        <w:trPr>
          <w:trHeight w:val="223"/>
        </w:trPr>
        <w:tc>
          <w:tcPr>
            <w:tcW w:w="65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Total expenses</w:t>
            </w:r>
          </w:p>
        </w:tc>
        <w:tc>
          <w:tcPr>
            <w:tcW w:w="140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51,758</w:t>
            </w:r>
          </w:p>
        </w:tc>
        <w:tc>
          <w:tcPr>
            <w:tcW w:w="40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50,233</w:t>
            </w:r>
          </w:p>
        </w:tc>
        <w:tc>
          <w:tcPr>
            <w:tcW w:w="540" w:type="dxa"/>
            <w:vAlign w:val="bottom"/>
            <w:tcBorders>
              <w:bottom w:val="single" w:sz="8" w:color="CFF0FC"/>
            </w:tcBorders>
            <w:shd w:val="clear" w:color="auto" w:fill="CFF0FC"/>
          </w:tcPr>
          <w:p>
            <w:pPr>
              <w:spacing w:after="0"/>
              <w:rPr>
                <w:sz w:val="19"/>
                <w:szCs w:val="19"/>
                <w:color w:val="auto"/>
              </w:rPr>
            </w:pPr>
          </w:p>
        </w:tc>
      </w:tr>
      <w:tr>
        <w:trPr>
          <w:trHeight w:val="226"/>
        </w:trPr>
        <w:tc>
          <w:tcPr>
            <w:tcW w:w="65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230"/>
        </w:trPr>
        <w:tc>
          <w:tcPr>
            <w:tcW w:w="6540" w:type="dxa"/>
            <w:vAlign w:val="bottom"/>
            <w:shd w:val="clear" w:color="auto" w:fill="CFF0FC"/>
          </w:tcPr>
          <w:p>
            <w:pPr>
              <w:ind w:left="20"/>
              <w:spacing w:after="0"/>
              <w:rPr>
                <w:sz w:val="20"/>
                <w:szCs w:val="20"/>
                <w:color w:val="auto"/>
              </w:rPr>
            </w:pPr>
            <w:r>
              <w:rPr>
                <w:rFonts w:ascii="Arial" w:cs="Arial" w:eastAsia="Arial" w:hAnsi="Arial"/>
                <w:sz w:val="16"/>
                <w:szCs w:val="16"/>
                <w:color w:val="auto"/>
              </w:rPr>
              <w:t>Operating income</w:t>
            </w:r>
          </w:p>
        </w:tc>
        <w:tc>
          <w:tcPr>
            <w:tcW w:w="140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9,158</w:t>
            </w:r>
          </w:p>
        </w:tc>
        <w:tc>
          <w:tcPr>
            <w:tcW w:w="4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13,634</w:t>
            </w:r>
          </w:p>
        </w:tc>
        <w:tc>
          <w:tcPr>
            <w:tcW w:w="540" w:type="dxa"/>
            <w:vAlign w:val="bottom"/>
            <w:shd w:val="clear" w:color="auto" w:fill="CFF0FC"/>
          </w:tcPr>
          <w:p>
            <w:pPr>
              <w:spacing w:after="0"/>
              <w:rPr>
                <w:sz w:val="19"/>
                <w:szCs w:val="19"/>
                <w:color w:val="auto"/>
              </w:rPr>
            </w:pPr>
          </w:p>
        </w:tc>
      </w:tr>
      <w:tr>
        <w:trPr>
          <w:trHeight w:val="229"/>
        </w:trPr>
        <w:tc>
          <w:tcPr>
            <w:tcW w:w="65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60" w:type="dxa"/>
            <w:vAlign w:val="bottom"/>
            <w:gridSpan w:val="2"/>
          </w:tcPr>
          <w:p>
            <w:pPr>
              <w:spacing w:after="0"/>
              <w:rPr>
                <w:sz w:val="19"/>
                <w:szCs w:val="19"/>
                <w:color w:val="auto"/>
              </w:rPr>
            </w:pPr>
          </w:p>
        </w:tc>
      </w:tr>
      <w:tr>
        <w:trPr>
          <w:trHeight w:val="227"/>
        </w:trPr>
        <w:tc>
          <w:tcPr>
            <w:tcW w:w="6540" w:type="dxa"/>
            <w:vAlign w:val="bottom"/>
            <w:shd w:val="clear" w:color="auto" w:fill="CFF0FC"/>
          </w:tcPr>
          <w:p>
            <w:pPr>
              <w:ind w:left="20"/>
              <w:spacing w:after="0"/>
              <w:rPr>
                <w:sz w:val="20"/>
                <w:szCs w:val="20"/>
                <w:color w:val="auto"/>
              </w:rPr>
            </w:pPr>
            <w:r>
              <w:rPr>
                <w:rFonts w:ascii="Arial" w:cs="Arial" w:eastAsia="Arial" w:hAnsi="Arial"/>
                <w:sz w:val="16"/>
                <w:szCs w:val="16"/>
                <w:color w:val="auto"/>
              </w:rPr>
              <w:t>Interest income (expense), net</w:t>
            </w:r>
          </w:p>
        </w:tc>
        <w:tc>
          <w:tcPr>
            <w:tcW w:w="140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339</w:t>
            </w:r>
          </w:p>
        </w:tc>
        <w:tc>
          <w:tcPr>
            <w:tcW w:w="4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60" w:type="dxa"/>
            <w:vAlign w:val="bottom"/>
            <w:gridSpan w:val="2"/>
            <w:shd w:val="clear" w:color="auto" w:fill="CFF0FC"/>
          </w:tcPr>
          <w:p>
            <w:pPr>
              <w:jc w:val="right"/>
              <w:ind w:right="480"/>
              <w:spacing w:after="0"/>
              <w:rPr>
                <w:sz w:val="20"/>
                <w:szCs w:val="20"/>
                <w:color w:val="auto"/>
              </w:rPr>
            </w:pPr>
            <w:r>
              <w:rPr>
                <w:rFonts w:ascii="Arial" w:cs="Arial" w:eastAsia="Arial" w:hAnsi="Arial"/>
                <w:sz w:val="16"/>
                <w:szCs w:val="16"/>
                <w:color w:val="auto"/>
              </w:rPr>
              <w:t>(143 )</w:t>
            </w:r>
          </w:p>
        </w:tc>
      </w:tr>
      <w:tr>
        <w:trPr>
          <w:trHeight w:val="226"/>
        </w:trPr>
        <w:tc>
          <w:tcPr>
            <w:tcW w:w="6540" w:type="dxa"/>
            <w:vAlign w:val="bottom"/>
            <w:tcBorders>
              <w:top w:val="single" w:sz="8" w:color="CFF0FC"/>
            </w:tcBorders>
          </w:tcPr>
          <w:p>
            <w:pPr>
              <w:spacing w:after="0"/>
              <w:rPr>
                <w:sz w:val="19"/>
                <w:szCs w:val="19"/>
                <w:color w:val="auto"/>
              </w:rPr>
            </w:pPr>
          </w:p>
        </w:tc>
        <w:tc>
          <w:tcPr>
            <w:tcW w:w="14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400" w:type="dxa"/>
            <w:vAlign w:val="bottom"/>
            <w:tcBorders>
              <w:top w:val="single" w:sz="8" w:color="CFF0FC"/>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520" w:type="dxa"/>
            <w:vAlign w:val="bottom"/>
            <w:tcBorders>
              <w:top w:val="single" w:sz="8" w:color="auto"/>
            </w:tcBorders>
          </w:tcPr>
          <w:p>
            <w:pPr>
              <w:spacing w:after="0"/>
              <w:rPr>
                <w:sz w:val="19"/>
                <w:szCs w:val="19"/>
                <w:color w:val="auto"/>
              </w:rPr>
            </w:pPr>
          </w:p>
        </w:tc>
        <w:tc>
          <w:tcPr>
            <w:tcW w:w="540" w:type="dxa"/>
            <w:vAlign w:val="bottom"/>
            <w:tcBorders>
              <w:top w:val="single" w:sz="8" w:color="CFF0FC"/>
            </w:tcBorders>
          </w:tcPr>
          <w:p>
            <w:pPr>
              <w:spacing w:after="0"/>
              <w:rPr>
                <w:sz w:val="19"/>
                <w:szCs w:val="19"/>
                <w:color w:val="auto"/>
              </w:rPr>
            </w:pPr>
          </w:p>
        </w:tc>
      </w:tr>
      <w:tr>
        <w:trPr>
          <w:trHeight w:val="229"/>
        </w:trPr>
        <w:tc>
          <w:tcPr>
            <w:tcW w:w="6540" w:type="dxa"/>
            <w:vAlign w:val="bottom"/>
            <w:shd w:val="clear" w:color="auto" w:fill="CFF0FC"/>
          </w:tcPr>
          <w:p>
            <w:pPr>
              <w:ind w:left="20"/>
              <w:spacing w:after="0"/>
              <w:rPr>
                <w:sz w:val="20"/>
                <w:szCs w:val="20"/>
                <w:color w:val="auto"/>
              </w:rPr>
            </w:pPr>
            <w:r>
              <w:rPr>
                <w:rFonts w:ascii="Arial" w:cs="Arial" w:eastAsia="Arial" w:hAnsi="Arial"/>
                <w:sz w:val="16"/>
                <w:szCs w:val="16"/>
                <w:color w:val="auto"/>
              </w:rPr>
              <w:t>Income before provision for income taxes</w:t>
            </w:r>
          </w:p>
        </w:tc>
        <w:tc>
          <w:tcPr>
            <w:tcW w:w="140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9,497</w:t>
            </w:r>
          </w:p>
        </w:tc>
        <w:tc>
          <w:tcPr>
            <w:tcW w:w="4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13,491</w:t>
            </w:r>
          </w:p>
        </w:tc>
        <w:tc>
          <w:tcPr>
            <w:tcW w:w="540" w:type="dxa"/>
            <w:vAlign w:val="bottom"/>
            <w:shd w:val="clear" w:color="auto" w:fill="CFF0FC"/>
          </w:tcPr>
          <w:p>
            <w:pPr>
              <w:spacing w:after="0"/>
              <w:rPr>
                <w:sz w:val="19"/>
                <w:szCs w:val="19"/>
                <w:color w:val="auto"/>
              </w:rPr>
            </w:pPr>
          </w:p>
        </w:tc>
      </w:tr>
      <w:tr>
        <w:trPr>
          <w:trHeight w:val="227"/>
        </w:trPr>
        <w:tc>
          <w:tcPr>
            <w:tcW w:w="6540" w:type="dxa"/>
            <w:vAlign w:val="bottom"/>
          </w:tcPr>
          <w:p>
            <w:pPr>
              <w:ind w:left="20"/>
              <w:spacing w:after="0"/>
              <w:rPr>
                <w:sz w:val="20"/>
                <w:szCs w:val="20"/>
                <w:color w:val="auto"/>
              </w:rPr>
            </w:pPr>
            <w:r>
              <w:rPr>
                <w:rFonts w:ascii="Arial" w:cs="Arial" w:eastAsia="Arial" w:hAnsi="Arial"/>
                <w:sz w:val="16"/>
                <w:szCs w:val="16"/>
                <w:color w:val="auto"/>
              </w:rPr>
              <w:t>Provision for income taxes</w:t>
            </w:r>
          </w:p>
        </w:tc>
        <w:tc>
          <w:tcPr>
            <w:tcW w:w="14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2,530</w:t>
            </w:r>
          </w:p>
        </w:tc>
        <w:tc>
          <w:tcPr>
            <w:tcW w:w="4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w:t>
            </w:r>
          </w:p>
        </w:tc>
        <w:tc>
          <w:tcPr>
            <w:tcW w:w="540" w:type="dxa"/>
            <w:vAlign w:val="bottom"/>
          </w:tcPr>
          <w:p>
            <w:pPr>
              <w:spacing w:after="0"/>
              <w:rPr>
                <w:sz w:val="19"/>
                <w:szCs w:val="19"/>
                <w:color w:val="auto"/>
              </w:rPr>
            </w:pPr>
          </w:p>
        </w:tc>
      </w:tr>
      <w:tr>
        <w:trPr>
          <w:trHeight w:val="226"/>
        </w:trPr>
        <w:tc>
          <w:tcPr>
            <w:tcW w:w="654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700" w:type="dxa"/>
            <w:vAlign w:val="bottom"/>
            <w:gridSpan w:val="2"/>
            <w:shd w:val="clear" w:color="auto" w:fill="CFF0FC"/>
          </w:tcPr>
          <w:p>
            <w:pPr>
              <w:spacing w:after="0"/>
              <w:rPr>
                <w:sz w:val="19"/>
                <w:szCs w:val="19"/>
                <w:color w:val="auto"/>
              </w:rPr>
            </w:pPr>
          </w:p>
        </w:tc>
        <w:tc>
          <w:tcPr>
            <w:tcW w:w="15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r>
      <w:tr>
        <w:trPr>
          <w:trHeight w:val="230"/>
        </w:trPr>
        <w:tc>
          <w:tcPr>
            <w:tcW w:w="654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400" w:type="dxa"/>
            <w:vAlign w:val="bottom"/>
          </w:tcPr>
          <w:p>
            <w:pPr>
              <w:jc w:val="right"/>
              <w:ind w:right="1221"/>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6,967</w:t>
            </w:r>
          </w:p>
        </w:tc>
        <w:tc>
          <w:tcPr>
            <w:tcW w:w="7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13,388</w:t>
            </w:r>
          </w:p>
        </w:tc>
        <w:tc>
          <w:tcPr>
            <w:tcW w:w="540" w:type="dxa"/>
            <w:vAlign w:val="bottom"/>
          </w:tcPr>
          <w:p>
            <w:pPr>
              <w:spacing w:after="0"/>
              <w:rPr>
                <w:sz w:val="19"/>
                <w:szCs w:val="19"/>
                <w:color w:val="auto"/>
              </w:rPr>
            </w:pPr>
          </w:p>
        </w:tc>
      </w:tr>
      <w:tr>
        <w:trPr>
          <w:trHeight w:val="20"/>
        </w:trPr>
        <w:tc>
          <w:tcPr>
            <w:tcW w:w="654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10"/>
        </w:trPr>
        <w:tc>
          <w:tcPr>
            <w:tcW w:w="654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r>
      <w:tr>
        <w:trPr>
          <w:trHeight w:val="233"/>
        </w:trPr>
        <w:tc>
          <w:tcPr>
            <w:tcW w:w="6540" w:type="dxa"/>
            <w:vAlign w:val="bottom"/>
          </w:tcPr>
          <w:p>
            <w:pPr>
              <w:ind w:left="20"/>
              <w:spacing w:after="0"/>
              <w:rPr>
                <w:sz w:val="20"/>
                <w:szCs w:val="20"/>
                <w:color w:val="auto"/>
              </w:rPr>
            </w:pPr>
            <w:r>
              <w:rPr>
                <w:rFonts w:ascii="Arial" w:cs="Arial" w:eastAsia="Arial" w:hAnsi="Arial"/>
                <w:sz w:val="16"/>
                <w:szCs w:val="16"/>
                <w:color w:val="auto"/>
              </w:rPr>
              <w:t>Net income per share:</w:t>
            </w:r>
          </w:p>
        </w:tc>
        <w:tc>
          <w:tcPr>
            <w:tcW w:w="14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253"/>
        </w:trPr>
        <w:tc>
          <w:tcPr>
            <w:tcW w:w="6540" w:type="dxa"/>
            <w:vAlign w:val="bottom"/>
            <w:shd w:val="clear" w:color="auto" w:fill="CFF0FC"/>
          </w:tcPr>
          <w:p>
            <w:pPr>
              <w:ind w:left="100"/>
              <w:spacing w:after="0"/>
              <w:rPr>
                <w:sz w:val="20"/>
                <w:szCs w:val="20"/>
                <w:color w:val="auto"/>
              </w:rPr>
            </w:pPr>
            <w:r>
              <w:rPr>
                <w:rFonts w:ascii="Arial" w:cs="Arial" w:eastAsia="Arial" w:hAnsi="Arial"/>
                <w:sz w:val="16"/>
                <w:szCs w:val="16"/>
                <w:color w:val="auto"/>
              </w:rPr>
              <w:t>Basic</w:t>
            </w:r>
          </w:p>
        </w:tc>
        <w:tc>
          <w:tcPr>
            <w:tcW w:w="1400" w:type="dxa"/>
            <w:vAlign w:val="bottom"/>
            <w:shd w:val="clear" w:color="auto" w:fill="CFF0FC"/>
          </w:tcPr>
          <w:p>
            <w:pPr>
              <w:jc w:val="right"/>
              <w:ind w:right="1221"/>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0.11</w:t>
            </w:r>
          </w:p>
        </w:tc>
        <w:tc>
          <w:tcPr>
            <w:tcW w:w="7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0.21</w:t>
            </w:r>
          </w:p>
        </w:tc>
        <w:tc>
          <w:tcPr>
            <w:tcW w:w="540" w:type="dxa"/>
            <w:vAlign w:val="bottom"/>
            <w:shd w:val="clear" w:color="auto" w:fill="CFF0FC"/>
          </w:tcPr>
          <w:p>
            <w:pPr>
              <w:spacing w:after="0"/>
              <w:rPr>
                <w:sz w:val="21"/>
                <w:szCs w:val="21"/>
                <w:color w:val="auto"/>
              </w:rPr>
            </w:pPr>
          </w:p>
        </w:tc>
      </w:tr>
      <w:tr>
        <w:trPr>
          <w:trHeight w:val="233"/>
        </w:trPr>
        <w:tc>
          <w:tcPr>
            <w:tcW w:w="6540" w:type="dxa"/>
            <w:vAlign w:val="bottom"/>
          </w:tcPr>
          <w:p>
            <w:pPr>
              <w:ind w:left="100"/>
              <w:spacing w:after="0"/>
              <w:rPr>
                <w:sz w:val="20"/>
                <w:szCs w:val="20"/>
                <w:color w:val="auto"/>
              </w:rPr>
            </w:pPr>
            <w:r>
              <w:rPr>
                <w:rFonts w:ascii="Arial" w:cs="Arial" w:eastAsia="Arial" w:hAnsi="Arial"/>
                <w:sz w:val="16"/>
                <w:szCs w:val="16"/>
                <w:color w:val="auto"/>
              </w:rPr>
              <w:t>Diluted</w:t>
            </w:r>
          </w:p>
        </w:tc>
        <w:tc>
          <w:tcPr>
            <w:tcW w:w="1400" w:type="dxa"/>
            <w:vAlign w:val="bottom"/>
          </w:tcPr>
          <w:p>
            <w:pPr>
              <w:jc w:val="right"/>
              <w:ind w:right="1221"/>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0.11</w:t>
            </w:r>
          </w:p>
        </w:tc>
        <w:tc>
          <w:tcPr>
            <w:tcW w:w="7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0.20</w:t>
            </w:r>
          </w:p>
        </w:tc>
        <w:tc>
          <w:tcPr>
            <w:tcW w:w="540" w:type="dxa"/>
            <w:vAlign w:val="bottom"/>
          </w:tcPr>
          <w:p>
            <w:pPr>
              <w:spacing w:after="0"/>
              <w:rPr>
                <w:sz w:val="20"/>
                <w:szCs w:val="20"/>
                <w:color w:val="auto"/>
              </w:rPr>
            </w:pPr>
          </w:p>
        </w:tc>
      </w:tr>
      <w:tr>
        <w:trPr>
          <w:trHeight w:val="253"/>
        </w:trPr>
        <w:tc>
          <w:tcPr>
            <w:tcW w:w="654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52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r>
      <w:tr>
        <w:trPr>
          <w:trHeight w:val="233"/>
        </w:trPr>
        <w:tc>
          <w:tcPr>
            <w:tcW w:w="6540" w:type="dxa"/>
            <w:vAlign w:val="bottom"/>
          </w:tcPr>
          <w:p>
            <w:pPr>
              <w:ind w:left="20"/>
              <w:spacing w:after="0"/>
              <w:rPr>
                <w:sz w:val="20"/>
                <w:szCs w:val="20"/>
                <w:color w:val="auto"/>
              </w:rPr>
            </w:pPr>
            <w:r>
              <w:rPr>
                <w:rFonts w:ascii="Arial" w:cs="Arial" w:eastAsia="Arial" w:hAnsi="Arial"/>
                <w:sz w:val="16"/>
                <w:szCs w:val="16"/>
                <w:color w:val="auto"/>
              </w:rPr>
              <w:t>Weighted-average number of common shares outstanding:</w:t>
            </w:r>
          </w:p>
        </w:tc>
        <w:tc>
          <w:tcPr>
            <w:tcW w:w="14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239"/>
        </w:trPr>
        <w:tc>
          <w:tcPr>
            <w:tcW w:w="65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Basic</w:t>
            </w:r>
          </w:p>
        </w:tc>
        <w:tc>
          <w:tcPr>
            <w:tcW w:w="1400" w:type="dxa"/>
            <w:vAlign w:val="bottom"/>
            <w:shd w:val="clear" w:color="auto" w:fill="CFF0FC"/>
          </w:tcPr>
          <w:p>
            <w:pPr>
              <w:spacing w:after="0"/>
              <w:rPr>
                <w:sz w:val="20"/>
                <w:szCs w:val="20"/>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62,690</w:t>
            </w:r>
          </w:p>
        </w:tc>
        <w:tc>
          <w:tcPr>
            <w:tcW w:w="4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64,080</w:t>
            </w:r>
          </w:p>
        </w:tc>
        <w:tc>
          <w:tcPr>
            <w:tcW w:w="540" w:type="dxa"/>
            <w:vAlign w:val="bottom"/>
            <w:shd w:val="clear" w:color="auto" w:fill="CFF0FC"/>
          </w:tcPr>
          <w:p>
            <w:pPr>
              <w:spacing w:after="0"/>
              <w:rPr>
                <w:sz w:val="20"/>
                <w:szCs w:val="20"/>
                <w:color w:val="auto"/>
              </w:rPr>
            </w:pPr>
          </w:p>
        </w:tc>
      </w:tr>
      <w:tr>
        <w:trPr>
          <w:trHeight w:val="210"/>
        </w:trPr>
        <w:tc>
          <w:tcPr>
            <w:tcW w:w="6540" w:type="dxa"/>
            <w:vAlign w:val="bottom"/>
          </w:tcPr>
          <w:p>
            <w:pPr>
              <w:ind w:left="200"/>
              <w:spacing w:after="0"/>
              <w:rPr>
                <w:sz w:val="20"/>
                <w:szCs w:val="20"/>
                <w:color w:val="auto"/>
              </w:rPr>
            </w:pPr>
            <w:r>
              <w:rPr>
                <w:rFonts w:ascii="Arial" w:cs="Arial" w:eastAsia="Arial" w:hAnsi="Arial"/>
                <w:sz w:val="16"/>
                <w:szCs w:val="16"/>
                <w:color w:val="auto"/>
              </w:rPr>
              <w:t>Diluted</w:t>
            </w:r>
          </w:p>
        </w:tc>
        <w:tc>
          <w:tcPr>
            <w:tcW w:w="14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66,316</w:t>
            </w: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68,370</w:t>
            </w:r>
          </w:p>
        </w:tc>
        <w:tc>
          <w:tcPr>
            <w:tcW w:w="54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5388610</wp:posOffset>
            </wp:positionH>
            <wp:positionV relativeFrom="paragraph">
              <wp:posOffset>-2558415</wp:posOffset>
            </wp:positionV>
            <wp:extent cx="85725" cy="1543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6794500</wp:posOffset>
            </wp:positionH>
            <wp:positionV relativeFrom="paragraph">
              <wp:posOffset>-2558415</wp:posOffset>
            </wp:positionV>
            <wp:extent cx="85725" cy="1543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-1967230</wp:posOffset>
            </wp:positionV>
            <wp:extent cx="85725" cy="1543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6794500</wp:posOffset>
            </wp:positionH>
            <wp:positionV relativeFrom="paragraph">
              <wp:posOffset>-1967230</wp:posOffset>
            </wp:positionV>
            <wp:extent cx="85725" cy="1543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5725" cy="154305"/>
                    </a:xfrm>
                    <a:prstGeom prst="rect">
                      <a:avLst/>
                    </a:prstGeom>
                    <a:noFill/>
                  </pic:spPr>
                </pic:pic>
              </a:graphicData>
            </a:graphic>
          </wp:anchor>
        </w:drawing>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6" w:right="339" w:bottom="1440" w:gutter="0" w:footer="0" w:header="0"/>
        </w:sectPr>
      </w:pPr>
    </w:p>
    <w:bookmarkStart w:id="11" w:name="page12"/>
    <w:bookmarkEnd w:id="11"/>
    <w:p>
      <w:pPr>
        <w:jc w:val="center"/>
        <w:ind w:right="120"/>
        <w:spacing w:after="0"/>
        <w:rPr>
          <w:sz w:val="20"/>
          <w:szCs w:val="20"/>
          <w:color w:val="auto"/>
        </w:rPr>
      </w:pPr>
      <w:r>
        <w:rPr>
          <w:rFonts w:ascii="Arial" w:cs="Arial" w:eastAsia="Arial" w:hAnsi="Arial"/>
          <w:sz w:val="18"/>
          <w:szCs w:val="18"/>
          <w:color w:val="auto"/>
        </w:rPr>
        <w:t>DESTINATION XL GROUP, INC.</w:t>
      </w:r>
    </w:p>
    <w:p>
      <w:pPr>
        <w:spacing w:after="0" w:line="36"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CONDENSED CONSOLIDATED BALANCE SHEETS</w:t>
      </w:r>
    </w:p>
    <w:p>
      <w:pPr>
        <w:spacing w:after="0" w:line="36"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April 29, 2023, January 28, 2023 and April 30, 2022</w:t>
      </w:r>
    </w:p>
    <w:p>
      <w:pPr>
        <w:spacing w:after="0" w:line="36"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(In thousands)</w:t>
      </w:r>
    </w:p>
    <w:p>
      <w:pPr>
        <w:spacing w:after="0" w:line="36"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40" w:type="dxa"/>
            <w:vAlign w:val="bottom"/>
          </w:tcPr>
          <w:p>
            <w:pPr>
              <w:jc w:val="right"/>
              <w:ind w:right="492"/>
              <w:spacing w:after="0"/>
              <w:rPr>
                <w:sz w:val="20"/>
                <w:szCs w:val="20"/>
                <w:color w:val="auto"/>
              </w:rPr>
            </w:pPr>
            <w:r>
              <w:rPr>
                <w:rFonts w:ascii="Arial" w:cs="Arial" w:eastAsia="Arial" w:hAnsi="Arial"/>
                <w:sz w:val="14"/>
                <w:szCs w:val="14"/>
                <w:color w:val="auto"/>
              </w:rPr>
              <w:t>April 29,</w:t>
            </w:r>
          </w:p>
        </w:tc>
        <w:tc>
          <w:tcPr>
            <w:tcW w:w="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0" w:type="dxa"/>
            <w:vAlign w:val="bottom"/>
          </w:tcPr>
          <w:p>
            <w:pPr>
              <w:jc w:val="right"/>
              <w:ind w:right="432"/>
              <w:spacing w:after="0"/>
              <w:rPr>
                <w:sz w:val="20"/>
                <w:szCs w:val="20"/>
                <w:color w:val="auto"/>
              </w:rPr>
            </w:pPr>
            <w:r>
              <w:rPr>
                <w:rFonts w:ascii="Arial" w:cs="Arial" w:eastAsia="Arial" w:hAnsi="Arial"/>
                <w:sz w:val="14"/>
                <w:szCs w:val="14"/>
                <w:color w:val="auto"/>
              </w:rPr>
              <w:t>January 28,</w:t>
            </w: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340" w:type="dxa"/>
            <w:vAlign w:val="bottom"/>
          </w:tcPr>
          <w:p>
            <w:pPr>
              <w:jc w:val="right"/>
              <w:ind w:right="492"/>
              <w:spacing w:after="0"/>
              <w:rPr>
                <w:sz w:val="20"/>
                <w:szCs w:val="20"/>
                <w:color w:val="auto"/>
              </w:rPr>
            </w:pPr>
            <w:r>
              <w:rPr>
                <w:rFonts w:ascii="Arial" w:cs="Arial" w:eastAsia="Arial" w:hAnsi="Arial"/>
                <w:sz w:val="14"/>
                <w:szCs w:val="14"/>
                <w:color w:val="auto"/>
              </w:rPr>
              <w:t>April 30,</w:t>
            </w:r>
          </w:p>
        </w:tc>
        <w:tc>
          <w:tcPr>
            <w:tcW w:w="140" w:type="dxa"/>
            <w:vAlign w:val="bottom"/>
          </w:tcPr>
          <w:p>
            <w:pPr>
              <w:spacing w:after="0"/>
              <w:rPr>
                <w:sz w:val="15"/>
                <w:szCs w:val="15"/>
                <w:color w:val="auto"/>
              </w:rPr>
            </w:pPr>
          </w:p>
        </w:tc>
      </w:tr>
      <w:tr>
        <w:trPr>
          <w:trHeight w:val="181"/>
        </w:trPr>
        <w:tc>
          <w:tcPr>
            <w:tcW w:w="53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color w:val="auto"/>
              </w:rPr>
              <w:t>2023</w:t>
            </w:r>
          </w:p>
        </w:tc>
        <w:tc>
          <w:tcPr>
            <w:tcW w:w="3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632"/>
              <w:spacing w:after="0"/>
              <w:rPr>
                <w:sz w:val="20"/>
                <w:szCs w:val="20"/>
                <w:color w:val="auto"/>
              </w:rPr>
            </w:pPr>
            <w:r>
              <w:rPr>
                <w:rFonts w:ascii="Arial" w:cs="Arial" w:eastAsia="Arial" w:hAnsi="Arial"/>
                <w:sz w:val="14"/>
                <w:szCs w:val="14"/>
                <w:color w:val="auto"/>
              </w:rPr>
              <w:t>2023</w:t>
            </w:r>
          </w:p>
        </w:tc>
        <w:tc>
          <w:tcPr>
            <w:tcW w:w="14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color w:val="auto"/>
              </w:rPr>
              <w:t>2022</w:t>
            </w:r>
          </w:p>
        </w:tc>
        <w:tc>
          <w:tcPr>
            <w:tcW w:w="140" w:type="dxa"/>
            <w:vAlign w:val="bottom"/>
          </w:tcPr>
          <w:p>
            <w:pPr>
              <w:spacing w:after="0"/>
              <w:rPr>
                <w:sz w:val="15"/>
                <w:szCs w:val="15"/>
                <w:color w:val="auto"/>
              </w:rPr>
            </w:pPr>
          </w:p>
        </w:tc>
      </w:tr>
      <w:tr>
        <w:trPr>
          <w:trHeight w:val="236"/>
        </w:trPr>
        <w:tc>
          <w:tcPr>
            <w:tcW w:w="5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ASSETS</w:t>
            </w:r>
          </w:p>
        </w:tc>
        <w:tc>
          <w:tcPr>
            <w:tcW w:w="36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4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r>
      <w:tr>
        <w:trPr>
          <w:trHeight w:val="243"/>
        </w:trPr>
        <w:tc>
          <w:tcPr>
            <w:tcW w:w="53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620" w:type="dxa"/>
            <w:vAlign w:val="bottom"/>
            <w:gridSpan w:val="2"/>
          </w:tcPr>
          <w:p>
            <w:pPr>
              <w:spacing w:after="0"/>
              <w:rPr>
                <w:sz w:val="21"/>
                <w:szCs w:val="21"/>
                <w:color w:val="auto"/>
              </w:rPr>
            </w:pPr>
          </w:p>
        </w:tc>
        <w:tc>
          <w:tcPr>
            <w:tcW w:w="1400" w:type="dxa"/>
            <w:vAlign w:val="bottom"/>
          </w:tcPr>
          <w:p>
            <w:pPr>
              <w:spacing w:after="0"/>
              <w:rPr>
                <w:sz w:val="21"/>
                <w:szCs w:val="21"/>
                <w:color w:val="auto"/>
              </w:rPr>
            </w:pPr>
          </w:p>
        </w:tc>
        <w:tc>
          <w:tcPr>
            <w:tcW w:w="720" w:type="dxa"/>
            <w:vAlign w:val="bottom"/>
            <w:gridSpan w:val="2"/>
          </w:tcPr>
          <w:p>
            <w:pPr>
              <w:spacing w:after="0"/>
              <w:rPr>
                <w:sz w:val="21"/>
                <w:szCs w:val="21"/>
                <w:color w:val="auto"/>
              </w:rPr>
            </w:pPr>
          </w:p>
        </w:tc>
        <w:tc>
          <w:tcPr>
            <w:tcW w:w="134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43"/>
        </w:trPr>
        <w:tc>
          <w:tcPr>
            <w:tcW w:w="5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and cash equivalents</w:t>
            </w:r>
          </w:p>
        </w:tc>
        <w:tc>
          <w:tcPr>
            <w:tcW w:w="36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29,933</w:t>
            </w:r>
          </w:p>
        </w:tc>
        <w:tc>
          <w:tcPr>
            <w:tcW w:w="6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52,074</w:t>
            </w:r>
          </w:p>
        </w:tc>
        <w:tc>
          <w:tcPr>
            <w:tcW w:w="7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7,540</w:t>
            </w:r>
          </w:p>
        </w:tc>
        <w:tc>
          <w:tcPr>
            <w:tcW w:w="140" w:type="dxa"/>
            <w:vAlign w:val="bottom"/>
            <w:shd w:val="clear" w:color="auto" w:fill="CFF0FC"/>
          </w:tcPr>
          <w:p>
            <w:pPr>
              <w:spacing w:after="0"/>
              <w:rPr>
                <w:sz w:val="21"/>
                <w:szCs w:val="21"/>
                <w:color w:val="auto"/>
              </w:rPr>
            </w:pPr>
          </w:p>
        </w:tc>
      </w:tr>
      <w:tr>
        <w:trPr>
          <w:trHeight w:val="237"/>
        </w:trPr>
        <w:tc>
          <w:tcPr>
            <w:tcW w:w="5320" w:type="dxa"/>
            <w:vAlign w:val="bottom"/>
          </w:tcPr>
          <w:p>
            <w:pPr>
              <w:ind w:left="20"/>
              <w:spacing w:after="0"/>
              <w:rPr>
                <w:sz w:val="20"/>
                <w:szCs w:val="20"/>
                <w:color w:val="auto"/>
              </w:rPr>
            </w:pPr>
            <w:r>
              <w:rPr>
                <w:rFonts w:ascii="Arial" w:cs="Arial" w:eastAsia="Arial" w:hAnsi="Arial"/>
                <w:sz w:val="18"/>
                <w:szCs w:val="18"/>
                <w:color w:val="auto"/>
              </w:rPr>
              <w:t>Short-term investments</w:t>
            </w:r>
          </w:p>
        </w:tc>
        <w:tc>
          <w:tcPr>
            <w:tcW w:w="3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16,064</w:t>
            </w: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r>
      <w:tr>
        <w:trPr>
          <w:trHeight w:val="249"/>
        </w:trPr>
        <w:tc>
          <w:tcPr>
            <w:tcW w:w="5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Inventories</w:t>
            </w:r>
          </w:p>
        </w:tc>
        <w:tc>
          <w:tcPr>
            <w:tcW w:w="36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100,258</w:t>
            </w:r>
          </w:p>
        </w:tc>
        <w:tc>
          <w:tcPr>
            <w:tcW w:w="3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93,004</w:t>
            </w:r>
          </w:p>
        </w:tc>
        <w:tc>
          <w:tcPr>
            <w:tcW w:w="14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96,868</w:t>
            </w:r>
          </w:p>
        </w:tc>
        <w:tc>
          <w:tcPr>
            <w:tcW w:w="140" w:type="dxa"/>
            <w:vAlign w:val="bottom"/>
            <w:shd w:val="clear" w:color="auto" w:fill="CFF0FC"/>
          </w:tcPr>
          <w:p>
            <w:pPr>
              <w:spacing w:after="0"/>
              <w:rPr>
                <w:sz w:val="21"/>
                <w:szCs w:val="21"/>
                <w:color w:val="auto"/>
              </w:rPr>
            </w:pPr>
          </w:p>
        </w:tc>
      </w:tr>
      <w:tr>
        <w:trPr>
          <w:trHeight w:val="237"/>
        </w:trPr>
        <w:tc>
          <w:tcPr>
            <w:tcW w:w="5320" w:type="dxa"/>
            <w:vAlign w:val="bottom"/>
          </w:tcPr>
          <w:p>
            <w:pPr>
              <w:ind w:left="20"/>
              <w:spacing w:after="0"/>
              <w:rPr>
                <w:sz w:val="20"/>
                <w:szCs w:val="20"/>
                <w:color w:val="auto"/>
              </w:rPr>
            </w:pPr>
            <w:r>
              <w:rPr>
                <w:rFonts w:ascii="Arial" w:cs="Arial" w:eastAsia="Arial" w:hAnsi="Arial"/>
                <w:sz w:val="18"/>
                <w:szCs w:val="18"/>
                <w:color w:val="auto"/>
              </w:rPr>
              <w:t>Other current assets</w:t>
            </w:r>
          </w:p>
        </w:tc>
        <w:tc>
          <w:tcPr>
            <w:tcW w:w="3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8,895</w:t>
            </w: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8,934</w:t>
            </w: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9,249</w:t>
            </w:r>
          </w:p>
        </w:tc>
        <w:tc>
          <w:tcPr>
            <w:tcW w:w="140" w:type="dxa"/>
            <w:vAlign w:val="bottom"/>
          </w:tcPr>
          <w:p>
            <w:pPr>
              <w:spacing w:after="0"/>
              <w:rPr>
                <w:sz w:val="20"/>
                <w:szCs w:val="20"/>
                <w:color w:val="auto"/>
              </w:rPr>
            </w:pPr>
          </w:p>
        </w:tc>
      </w:tr>
      <w:tr>
        <w:trPr>
          <w:trHeight w:val="249"/>
        </w:trPr>
        <w:tc>
          <w:tcPr>
            <w:tcW w:w="5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Property and equipment, net</w:t>
            </w:r>
          </w:p>
        </w:tc>
        <w:tc>
          <w:tcPr>
            <w:tcW w:w="36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35,766</w:t>
            </w:r>
          </w:p>
        </w:tc>
        <w:tc>
          <w:tcPr>
            <w:tcW w:w="3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39,062</w:t>
            </w:r>
          </w:p>
        </w:tc>
        <w:tc>
          <w:tcPr>
            <w:tcW w:w="14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42,150</w:t>
            </w:r>
          </w:p>
        </w:tc>
        <w:tc>
          <w:tcPr>
            <w:tcW w:w="140" w:type="dxa"/>
            <w:vAlign w:val="bottom"/>
            <w:shd w:val="clear" w:color="auto" w:fill="CFF0FC"/>
          </w:tcPr>
          <w:p>
            <w:pPr>
              <w:spacing w:after="0"/>
              <w:rPr>
                <w:sz w:val="21"/>
                <w:szCs w:val="21"/>
                <w:color w:val="auto"/>
              </w:rPr>
            </w:pPr>
          </w:p>
        </w:tc>
      </w:tr>
      <w:tr>
        <w:trPr>
          <w:trHeight w:val="237"/>
        </w:trPr>
        <w:tc>
          <w:tcPr>
            <w:tcW w:w="5320" w:type="dxa"/>
            <w:vAlign w:val="bottom"/>
          </w:tcPr>
          <w:p>
            <w:pPr>
              <w:ind w:left="20"/>
              <w:spacing w:after="0"/>
              <w:rPr>
                <w:sz w:val="20"/>
                <w:szCs w:val="20"/>
                <w:color w:val="auto"/>
              </w:rPr>
            </w:pPr>
            <w:r>
              <w:rPr>
                <w:rFonts w:ascii="Arial" w:cs="Arial" w:eastAsia="Arial" w:hAnsi="Arial"/>
                <w:sz w:val="18"/>
                <w:szCs w:val="18"/>
                <w:color w:val="auto"/>
              </w:rPr>
              <w:t>Operating lease right-of-use assets</w:t>
            </w:r>
          </w:p>
        </w:tc>
        <w:tc>
          <w:tcPr>
            <w:tcW w:w="3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125,981</w:t>
            </w: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124,356</w:t>
            </w: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129,877</w:t>
            </w:r>
          </w:p>
        </w:tc>
        <w:tc>
          <w:tcPr>
            <w:tcW w:w="140" w:type="dxa"/>
            <w:vAlign w:val="bottom"/>
          </w:tcPr>
          <w:p>
            <w:pPr>
              <w:spacing w:after="0"/>
              <w:rPr>
                <w:sz w:val="20"/>
                <w:szCs w:val="20"/>
                <w:color w:val="auto"/>
              </w:rPr>
            </w:pPr>
          </w:p>
        </w:tc>
      </w:tr>
      <w:tr>
        <w:trPr>
          <w:trHeight w:val="249"/>
        </w:trPr>
        <w:tc>
          <w:tcPr>
            <w:tcW w:w="5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Intangible assets</w:t>
            </w:r>
          </w:p>
        </w:tc>
        <w:tc>
          <w:tcPr>
            <w:tcW w:w="36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1,150</w:t>
            </w:r>
          </w:p>
        </w:tc>
        <w:tc>
          <w:tcPr>
            <w:tcW w:w="3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1,150</w:t>
            </w:r>
          </w:p>
        </w:tc>
        <w:tc>
          <w:tcPr>
            <w:tcW w:w="14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1,150</w:t>
            </w:r>
          </w:p>
        </w:tc>
        <w:tc>
          <w:tcPr>
            <w:tcW w:w="140" w:type="dxa"/>
            <w:vAlign w:val="bottom"/>
            <w:shd w:val="clear" w:color="auto" w:fill="CFF0FC"/>
          </w:tcPr>
          <w:p>
            <w:pPr>
              <w:spacing w:after="0"/>
              <w:rPr>
                <w:sz w:val="21"/>
                <w:szCs w:val="21"/>
                <w:color w:val="auto"/>
              </w:rPr>
            </w:pPr>
          </w:p>
        </w:tc>
      </w:tr>
      <w:tr>
        <w:trPr>
          <w:trHeight w:val="237"/>
        </w:trPr>
        <w:tc>
          <w:tcPr>
            <w:tcW w:w="5320" w:type="dxa"/>
            <w:vAlign w:val="bottom"/>
          </w:tcPr>
          <w:p>
            <w:pPr>
              <w:ind w:left="20"/>
              <w:spacing w:after="0"/>
              <w:rPr>
                <w:sz w:val="20"/>
                <w:szCs w:val="20"/>
                <w:color w:val="auto"/>
              </w:rPr>
            </w:pPr>
            <w:r>
              <w:rPr>
                <w:rFonts w:ascii="Arial" w:cs="Arial" w:eastAsia="Arial" w:hAnsi="Arial"/>
                <w:sz w:val="18"/>
                <w:szCs w:val="18"/>
                <w:color w:val="auto"/>
              </w:rPr>
              <w:t>Deferred tax assets, net of valuation allowance</w:t>
            </w:r>
          </w:p>
        </w:tc>
        <w:tc>
          <w:tcPr>
            <w:tcW w:w="3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29,072</w:t>
            </w: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31,455</w:t>
            </w: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r>
      <w:tr>
        <w:trPr>
          <w:trHeight w:val="249"/>
        </w:trPr>
        <w:tc>
          <w:tcPr>
            <w:tcW w:w="53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 assets</w:t>
            </w:r>
          </w:p>
        </w:tc>
        <w:tc>
          <w:tcPr>
            <w:tcW w:w="36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549</w:t>
            </w:r>
          </w:p>
        </w:tc>
        <w:tc>
          <w:tcPr>
            <w:tcW w:w="3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563</w:t>
            </w:r>
          </w:p>
        </w:tc>
        <w:tc>
          <w:tcPr>
            <w:tcW w:w="140" w:type="dxa"/>
            <w:vAlign w:val="bottom"/>
            <w:tcBorders>
              <w:bottom w:val="single" w:sz="8" w:color="CFF0FC"/>
            </w:tcBorders>
            <w:shd w:val="clear" w:color="auto" w:fill="CFF0FC"/>
          </w:tcPr>
          <w:p>
            <w:pPr>
              <w:spacing w:after="0"/>
              <w:rPr>
                <w:sz w:val="21"/>
                <w:szCs w:val="21"/>
                <w:color w:val="auto"/>
              </w:rPr>
            </w:pPr>
          </w:p>
        </w:tc>
        <w:tc>
          <w:tcPr>
            <w:tcW w:w="58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560</w:t>
            </w:r>
          </w:p>
        </w:tc>
        <w:tc>
          <w:tcPr>
            <w:tcW w:w="140" w:type="dxa"/>
            <w:vAlign w:val="bottom"/>
            <w:tcBorders>
              <w:bottom w:val="single" w:sz="8" w:color="CFF0FC"/>
            </w:tcBorders>
            <w:shd w:val="clear" w:color="auto" w:fill="CFF0FC"/>
          </w:tcPr>
          <w:p>
            <w:pPr>
              <w:spacing w:after="0"/>
              <w:rPr>
                <w:sz w:val="21"/>
                <w:szCs w:val="21"/>
                <w:color w:val="auto"/>
              </w:rPr>
            </w:pPr>
          </w:p>
        </w:tc>
      </w:tr>
      <w:tr>
        <w:trPr>
          <w:trHeight w:val="237"/>
        </w:trPr>
        <w:tc>
          <w:tcPr>
            <w:tcW w:w="5320" w:type="dxa"/>
            <w:vAlign w:val="bottom"/>
          </w:tcPr>
          <w:p>
            <w:pPr>
              <w:ind w:left="200"/>
              <w:spacing w:after="0"/>
              <w:rPr>
                <w:sz w:val="20"/>
                <w:szCs w:val="20"/>
                <w:color w:val="auto"/>
              </w:rPr>
            </w:pPr>
            <w:r>
              <w:rPr>
                <w:rFonts w:ascii="Arial" w:cs="Arial" w:eastAsia="Arial" w:hAnsi="Arial"/>
                <w:sz w:val="18"/>
                <w:szCs w:val="18"/>
                <w:color w:val="auto"/>
              </w:rPr>
              <w:t>Total assets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347,668</w:t>
            </w: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350,598</w:t>
            </w: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287,394</w:t>
            </w:r>
          </w:p>
        </w:tc>
        <w:tc>
          <w:tcPr>
            <w:tcW w:w="140" w:type="dxa"/>
            <w:vAlign w:val="bottom"/>
          </w:tcPr>
          <w:p>
            <w:pPr>
              <w:spacing w:after="0"/>
              <w:rPr>
                <w:sz w:val="20"/>
                <w:szCs w:val="20"/>
                <w:color w:val="auto"/>
              </w:rPr>
            </w:pPr>
          </w:p>
        </w:tc>
      </w:tr>
      <w:tr>
        <w:trPr>
          <w:trHeight w:val="20"/>
        </w:trPr>
        <w:tc>
          <w:tcPr>
            <w:tcW w:w="53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23"/>
        </w:trPr>
        <w:tc>
          <w:tcPr>
            <w:tcW w:w="53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r>
      <w:tr>
        <w:trPr>
          <w:trHeight w:val="237"/>
        </w:trPr>
        <w:tc>
          <w:tcPr>
            <w:tcW w:w="5320" w:type="dxa"/>
            <w:vAlign w:val="bottom"/>
          </w:tcPr>
          <w:p>
            <w:pPr>
              <w:ind w:left="20"/>
              <w:spacing w:after="0"/>
              <w:rPr>
                <w:sz w:val="20"/>
                <w:szCs w:val="20"/>
                <w:color w:val="auto"/>
              </w:rPr>
            </w:pPr>
            <w:r>
              <w:rPr>
                <w:rFonts w:ascii="Arial" w:cs="Arial" w:eastAsia="Arial" w:hAnsi="Arial"/>
                <w:sz w:val="18"/>
                <w:szCs w:val="18"/>
                <w:color w:val="auto"/>
              </w:rPr>
              <w:t>LIABILITIES AND STOCKHOLDERS' EQUITY</w:t>
            </w:r>
          </w:p>
        </w:tc>
        <w:tc>
          <w:tcPr>
            <w:tcW w:w="3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9"/>
        </w:trPr>
        <w:tc>
          <w:tcPr>
            <w:tcW w:w="53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620" w:type="dxa"/>
            <w:vAlign w:val="bottom"/>
            <w:gridSpan w:val="2"/>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720" w:type="dxa"/>
            <w:vAlign w:val="bottom"/>
            <w:gridSpan w:val="2"/>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r>
      <w:tr>
        <w:trPr>
          <w:trHeight w:val="237"/>
        </w:trPr>
        <w:tc>
          <w:tcPr>
            <w:tcW w:w="5320" w:type="dxa"/>
            <w:vAlign w:val="bottom"/>
          </w:tcPr>
          <w:p>
            <w:pPr>
              <w:ind w:left="20"/>
              <w:spacing w:after="0"/>
              <w:rPr>
                <w:sz w:val="20"/>
                <w:szCs w:val="20"/>
                <w:color w:val="auto"/>
              </w:rPr>
            </w:pPr>
            <w:r>
              <w:rPr>
                <w:rFonts w:ascii="Arial" w:cs="Arial" w:eastAsia="Arial" w:hAnsi="Arial"/>
                <w:sz w:val="18"/>
                <w:szCs w:val="18"/>
                <w:color w:val="auto"/>
              </w:rPr>
              <w:t>Accounts payable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25,879</w:t>
            </w: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27,548</w:t>
            </w: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29,413</w:t>
            </w:r>
          </w:p>
        </w:tc>
        <w:tc>
          <w:tcPr>
            <w:tcW w:w="140" w:type="dxa"/>
            <w:vAlign w:val="bottom"/>
          </w:tcPr>
          <w:p>
            <w:pPr>
              <w:spacing w:after="0"/>
              <w:rPr>
                <w:sz w:val="20"/>
                <w:szCs w:val="20"/>
                <w:color w:val="auto"/>
              </w:rPr>
            </w:pPr>
          </w:p>
        </w:tc>
      </w:tr>
      <w:tr>
        <w:trPr>
          <w:trHeight w:val="249"/>
        </w:trPr>
        <w:tc>
          <w:tcPr>
            <w:tcW w:w="5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Accrued expenses and other liabilities</w:t>
            </w:r>
          </w:p>
        </w:tc>
        <w:tc>
          <w:tcPr>
            <w:tcW w:w="36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32,201</w:t>
            </w:r>
          </w:p>
        </w:tc>
        <w:tc>
          <w:tcPr>
            <w:tcW w:w="3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41,581</w:t>
            </w:r>
          </w:p>
        </w:tc>
        <w:tc>
          <w:tcPr>
            <w:tcW w:w="14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34,476</w:t>
            </w:r>
          </w:p>
        </w:tc>
        <w:tc>
          <w:tcPr>
            <w:tcW w:w="140" w:type="dxa"/>
            <w:vAlign w:val="bottom"/>
            <w:shd w:val="clear" w:color="auto" w:fill="CFF0FC"/>
          </w:tcPr>
          <w:p>
            <w:pPr>
              <w:spacing w:after="0"/>
              <w:rPr>
                <w:sz w:val="21"/>
                <w:szCs w:val="21"/>
                <w:color w:val="auto"/>
              </w:rPr>
            </w:pPr>
          </w:p>
        </w:tc>
      </w:tr>
      <w:tr>
        <w:trPr>
          <w:trHeight w:val="237"/>
        </w:trPr>
        <w:tc>
          <w:tcPr>
            <w:tcW w:w="5320" w:type="dxa"/>
            <w:vAlign w:val="bottom"/>
          </w:tcPr>
          <w:p>
            <w:pPr>
              <w:ind w:left="20"/>
              <w:spacing w:after="0"/>
              <w:rPr>
                <w:sz w:val="20"/>
                <w:szCs w:val="20"/>
                <w:color w:val="auto"/>
              </w:rPr>
            </w:pPr>
            <w:r>
              <w:rPr>
                <w:rFonts w:ascii="Arial" w:cs="Arial" w:eastAsia="Arial" w:hAnsi="Arial"/>
                <w:sz w:val="18"/>
                <w:szCs w:val="18"/>
                <w:color w:val="auto"/>
              </w:rPr>
              <w:t>Operating leases</w:t>
            </w:r>
          </w:p>
        </w:tc>
        <w:tc>
          <w:tcPr>
            <w:tcW w:w="3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143,916</w:t>
            </w: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144,241</w:t>
            </w: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155,445</w:t>
            </w:r>
          </w:p>
        </w:tc>
        <w:tc>
          <w:tcPr>
            <w:tcW w:w="140" w:type="dxa"/>
            <w:vAlign w:val="bottom"/>
          </w:tcPr>
          <w:p>
            <w:pPr>
              <w:spacing w:after="0"/>
              <w:rPr>
                <w:sz w:val="20"/>
                <w:szCs w:val="20"/>
                <w:color w:val="auto"/>
              </w:rPr>
            </w:pPr>
          </w:p>
        </w:tc>
      </w:tr>
      <w:tr>
        <w:trPr>
          <w:trHeight w:val="249"/>
        </w:trPr>
        <w:tc>
          <w:tcPr>
            <w:tcW w:w="53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Stockholders' equity</w:t>
            </w:r>
          </w:p>
        </w:tc>
        <w:tc>
          <w:tcPr>
            <w:tcW w:w="36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145,672</w:t>
            </w:r>
          </w:p>
        </w:tc>
        <w:tc>
          <w:tcPr>
            <w:tcW w:w="3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137,228</w:t>
            </w:r>
          </w:p>
        </w:tc>
        <w:tc>
          <w:tcPr>
            <w:tcW w:w="140" w:type="dxa"/>
            <w:vAlign w:val="bottom"/>
            <w:tcBorders>
              <w:bottom w:val="single" w:sz="8" w:color="CFF0FC"/>
            </w:tcBorders>
            <w:shd w:val="clear" w:color="auto" w:fill="CFF0FC"/>
          </w:tcPr>
          <w:p>
            <w:pPr>
              <w:spacing w:after="0"/>
              <w:rPr>
                <w:sz w:val="21"/>
                <w:szCs w:val="21"/>
                <w:color w:val="auto"/>
              </w:rPr>
            </w:pPr>
          </w:p>
        </w:tc>
        <w:tc>
          <w:tcPr>
            <w:tcW w:w="58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68,060</w:t>
            </w:r>
          </w:p>
        </w:tc>
        <w:tc>
          <w:tcPr>
            <w:tcW w:w="140" w:type="dxa"/>
            <w:vAlign w:val="bottom"/>
            <w:tcBorders>
              <w:bottom w:val="single" w:sz="8" w:color="CFF0FC"/>
            </w:tcBorders>
            <w:shd w:val="clear" w:color="auto" w:fill="CFF0FC"/>
          </w:tcPr>
          <w:p>
            <w:pPr>
              <w:spacing w:after="0"/>
              <w:rPr>
                <w:sz w:val="21"/>
                <w:szCs w:val="21"/>
                <w:color w:val="auto"/>
              </w:rPr>
            </w:pPr>
          </w:p>
        </w:tc>
      </w:tr>
      <w:tr>
        <w:trPr>
          <w:trHeight w:val="236"/>
        </w:trPr>
        <w:tc>
          <w:tcPr>
            <w:tcW w:w="5320" w:type="dxa"/>
            <w:vAlign w:val="bottom"/>
          </w:tcPr>
          <w:p>
            <w:pPr>
              <w:ind w:left="200"/>
              <w:spacing w:after="0"/>
              <w:rPr>
                <w:sz w:val="20"/>
                <w:szCs w:val="20"/>
                <w:color w:val="auto"/>
              </w:rPr>
            </w:pPr>
            <w:r>
              <w:rPr>
                <w:rFonts w:ascii="Arial" w:cs="Arial" w:eastAsia="Arial" w:hAnsi="Arial"/>
                <w:sz w:val="18"/>
                <w:szCs w:val="18"/>
                <w:color w:val="auto"/>
              </w:rPr>
              <w:t>Total liabilities and stockholders' equity</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347,668</w:t>
            </w: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350,598</w:t>
            </w: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287,394</w:t>
            </w:r>
          </w:p>
        </w:tc>
        <w:tc>
          <w:tcPr>
            <w:tcW w:w="140" w:type="dxa"/>
            <w:vAlign w:val="bottom"/>
          </w:tcPr>
          <w:p>
            <w:pPr>
              <w:spacing w:after="0"/>
              <w:rPr>
                <w:sz w:val="20"/>
                <w:szCs w:val="20"/>
                <w:color w:val="auto"/>
              </w:rPr>
            </w:pPr>
          </w:p>
        </w:tc>
      </w:tr>
      <w:tr>
        <w:trPr>
          <w:trHeight w:val="20"/>
        </w:trPr>
        <w:tc>
          <w:tcPr>
            <w:tcW w:w="53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4462780</wp:posOffset>
            </wp:positionH>
            <wp:positionV relativeFrom="paragraph">
              <wp:posOffset>-1456690</wp:posOffset>
            </wp:positionV>
            <wp:extent cx="85725" cy="1885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-1456690</wp:posOffset>
            </wp:positionV>
            <wp:extent cx="85725" cy="1885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-1456690</wp:posOffset>
            </wp:positionV>
            <wp:extent cx="85725" cy="1885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-187960</wp:posOffset>
            </wp:positionV>
            <wp:extent cx="85725" cy="1885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-187960</wp:posOffset>
            </wp:positionV>
            <wp:extent cx="85725" cy="1885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-187960</wp:posOffset>
            </wp:positionV>
            <wp:extent cx="85725" cy="1885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5725" cy="188595"/>
                    </a:xfrm>
                    <a:prstGeom prst="rect">
                      <a:avLst/>
                    </a:prstGeom>
                    <a:noFill/>
                  </pic:spPr>
                </pic:pic>
              </a:graphicData>
            </a:graphic>
          </wp:anchor>
        </w:drawing>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sectPr>
      </w:pPr>
    </w:p>
    <w:bookmarkStart w:id="12" w:name="page13"/>
    <w:bookmarkEnd w:id="12"/>
    <w:p>
      <w:pPr>
        <w:jc w:val="center"/>
        <w:ind w:right="40"/>
        <w:spacing w:after="0"/>
        <w:rPr>
          <w:sz w:val="20"/>
          <w:szCs w:val="20"/>
          <w:color w:val="auto"/>
        </w:rPr>
      </w:pPr>
      <w:r>
        <w:rPr>
          <w:rFonts w:ascii="Arial" w:cs="Arial" w:eastAsia="Arial" w:hAnsi="Arial"/>
          <w:sz w:val="18"/>
          <w:szCs w:val="18"/>
          <w:i w:val="1"/>
          <w:iCs w:val="1"/>
          <w:color w:val="auto"/>
        </w:rPr>
        <w:t>CERTAIN COLUMNS IN THE FOLLOWING TABLES MAY NOT FOOT DUE TO ROUNDING</w:t>
      </w:r>
    </w:p>
    <w:p>
      <w:pPr>
        <w:spacing w:after="0" w:line="221" w:lineRule="exact"/>
        <w:rPr>
          <w:sz w:val="20"/>
          <w:szCs w:val="20"/>
          <w:color w:val="auto"/>
        </w:rPr>
      </w:pPr>
    </w:p>
    <w:p>
      <w:pPr>
        <w:jc w:val="center"/>
        <w:ind w:right="20"/>
        <w:spacing w:after="0" w:line="275" w:lineRule="auto"/>
        <w:rPr>
          <w:sz w:val="20"/>
          <w:szCs w:val="20"/>
          <w:color w:val="auto"/>
        </w:rPr>
      </w:pPr>
      <w:r>
        <w:rPr>
          <w:rFonts w:ascii="Arial" w:cs="Arial" w:eastAsia="Arial" w:hAnsi="Arial"/>
          <w:sz w:val="18"/>
          <w:szCs w:val="18"/>
          <w:b w:val="1"/>
          <w:bCs w:val="1"/>
          <w:color w:val="auto"/>
        </w:rPr>
        <w:t>GAAP TO NON-GAAP RECONCILIATION OF ADJUSTED NET INCOME AND ADJUSTED NET INCOME PER DILUTED SHARE (unaudited)</w:t>
      </w: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80" w:type="dxa"/>
            <w:vAlign w:val="bottom"/>
            <w:gridSpan w:val="5"/>
          </w:tcPr>
          <w:p>
            <w:pPr>
              <w:jc w:val="right"/>
              <w:spacing w:after="0"/>
              <w:rPr>
                <w:sz w:val="20"/>
                <w:szCs w:val="20"/>
                <w:color w:val="auto"/>
              </w:rPr>
            </w:pPr>
            <w:r>
              <w:rPr>
                <w:rFonts w:ascii="Arial" w:cs="Arial" w:eastAsia="Arial" w:hAnsi="Arial"/>
                <w:sz w:val="18"/>
                <w:szCs w:val="18"/>
                <w:color w:val="auto"/>
                <w:w w:val="91"/>
              </w:rPr>
              <w:t>For the three months ended</w:t>
            </w: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2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520" w:type="dxa"/>
            <w:vAlign w:val="bottom"/>
            <w:gridSpan w:val="7"/>
          </w:tcPr>
          <w:p>
            <w:pPr>
              <w:ind w:left="120"/>
              <w:spacing w:after="0"/>
              <w:rPr>
                <w:sz w:val="20"/>
                <w:szCs w:val="20"/>
                <w:color w:val="auto"/>
              </w:rPr>
            </w:pPr>
            <w:r>
              <w:rPr>
                <w:rFonts w:ascii="Arial" w:cs="Arial" w:eastAsia="Arial" w:hAnsi="Arial"/>
                <w:sz w:val="18"/>
                <w:szCs w:val="18"/>
                <w:color w:val="auto"/>
              </w:rPr>
              <w:t>April 29, 2023</w:t>
            </w:r>
          </w:p>
        </w:tc>
        <w:tc>
          <w:tcPr>
            <w:tcW w:w="3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April 30, 2022</w:t>
            </w: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jc w:val="center"/>
              <w:ind w:right="104"/>
              <w:spacing w:after="0" w:line="143" w:lineRule="exact"/>
              <w:rPr>
                <w:sz w:val="20"/>
                <w:szCs w:val="20"/>
                <w:color w:val="auto"/>
              </w:rPr>
            </w:pPr>
            <w:r>
              <w:rPr>
                <w:rFonts w:ascii="Arial" w:cs="Arial" w:eastAsia="Arial" w:hAnsi="Arial"/>
                <w:sz w:val="14"/>
                <w:szCs w:val="14"/>
                <w:color w:val="auto"/>
                <w:w w:val="82"/>
              </w:rPr>
              <w:t>Per</w:t>
            </w: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gridSpan w:val="2"/>
          </w:tcPr>
          <w:p>
            <w:pPr>
              <w:jc w:val="center"/>
              <w:ind w:right="260"/>
              <w:spacing w:after="0" w:line="143" w:lineRule="exact"/>
              <w:rPr>
                <w:sz w:val="20"/>
                <w:szCs w:val="20"/>
                <w:color w:val="auto"/>
              </w:rPr>
            </w:pPr>
            <w:r>
              <w:rPr>
                <w:rFonts w:ascii="Arial" w:cs="Arial" w:eastAsia="Arial" w:hAnsi="Arial"/>
                <w:sz w:val="14"/>
                <w:szCs w:val="14"/>
                <w:color w:val="auto"/>
                <w:w w:val="91"/>
              </w:rPr>
              <w:t>Per</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060" w:type="dxa"/>
            <w:vAlign w:val="bottom"/>
            <w:gridSpan w:val="2"/>
            <w:vMerge w:val="restart"/>
          </w:tcPr>
          <w:p>
            <w:pPr>
              <w:jc w:val="right"/>
              <w:ind w:right="3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40" w:type="dxa"/>
            <w:vAlign w:val="bottom"/>
            <w:gridSpan w:val="3"/>
          </w:tcPr>
          <w:p>
            <w:pPr>
              <w:jc w:val="center"/>
              <w:ind w:right="580"/>
              <w:spacing w:after="0" w:line="149" w:lineRule="exact"/>
              <w:rPr>
                <w:sz w:val="20"/>
                <w:szCs w:val="20"/>
                <w:color w:val="auto"/>
              </w:rPr>
            </w:pPr>
            <w:r>
              <w:rPr>
                <w:rFonts w:ascii="Arial" w:cs="Arial" w:eastAsia="Arial" w:hAnsi="Arial"/>
                <w:sz w:val="14"/>
                <w:szCs w:val="14"/>
                <w:color w:val="auto"/>
                <w:w w:val="96"/>
              </w:rPr>
              <w:t>diluted</w:t>
            </w: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vMerge w:val="restart"/>
          </w:tcPr>
          <w:p>
            <w:pPr>
              <w:jc w:val="right"/>
              <w:ind w:right="472"/>
              <w:spacing w:after="0"/>
              <w:rPr>
                <w:sz w:val="20"/>
                <w:szCs w:val="20"/>
                <w:color w:val="auto"/>
              </w:rPr>
            </w:pPr>
            <w:r>
              <w:rPr>
                <w:rFonts w:ascii="Arial" w:cs="Arial" w:eastAsia="Arial" w:hAnsi="Arial"/>
                <w:sz w:val="18"/>
                <w:szCs w:val="18"/>
                <w:color w:val="auto"/>
                <w:w w:val="79"/>
              </w:rPr>
              <w:t>$</w:t>
            </w: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6"/>
              </w:rPr>
              <w:t>diluted</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40" w:type="dxa"/>
            <w:vAlign w:val="bottom"/>
            <w:gridSpan w:val="3"/>
          </w:tcPr>
          <w:p>
            <w:pPr>
              <w:jc w:val="center"/>
              <w:ind w:right="600"/>
              <w:spacing w:after="0"/>
              <w:rPr>
                <w:sz w:val="20"/>
                <w:szCs w:val="20"/>
                <w:color w:val="auto"/>
              </w:rPr>
            </w:pPr>
            <w:r>
              <w:rPr>
                <w:rFonts w:ascii="Arial" w:cs="Arial" w:eastAsia="Arial" w:hAnsi="Arial"/>
                <w:sz w:val="14"/>
                <w:szCs w:val="14"/>
                <w:color w:val="auto"/>
                <w:w w:val="85"/>
              </w:rPr>
              <w:t>share</w:t>
            </w: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gridSpan w:val="2"/>
          </w:tcPr>
          <w:p>
            <w:pPr>
              <w:jc w:val="center"/>
              <w:ind w:right="260"/>
              <w:spacing w:after="0"/>
              <w:rPr>
                <w:sz w:val="20"/>
                <w:szCs w:val="20"/>
                <w:color w:val="auto"/>
              </w:rPr>
            </w:pPr>
            <w:r>
              <w:rPr>
                <w:rFonts w:ascii="Arial" w:cs="Arial" w:eastAsia="Arial" w:hAnsi="Arial"/>
                <w:sz w:val="14"/>
                <w:szCs w:val="14"/>
                <w:color w:val="auto"/>
                <w:w w:val="91"/>
              </w:rPr>
              <w:t>share</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120" w:type="dxa"/>
            <w:vAlign w:val="bottom"/>
            <w:gridSpan w:val="4"/>
          </w:tcPr>
          <w:p>
            <w:pPr>
              <w:ind w:left="20"/>
              <w:spacing w:after="0" w:line="182" w:lineRule="exact"/>
              <w:rPr>
                <w:sz w:val="20"/>
                <w:szCs w:val="20"/>
                <w:color w:val="auto"/>
              </w:rPr>
            </w:pPr>
            <w:r>
              <w:rPr>
                <w:rFonts w:ascii="Arial" w:cs="Arial" w:eastAsia="Arial" w:hAnsi="Arial"/>
                <w:sz w:val="18"/>
                <w:szCs w:val="18"/>
                <w:i w:val="1"/>
                <w:iCs w:val="1"/>
                <w:color w:val="auto"/>
              </w:rPr>
              <w:t>(in millions, except per share data)</w:t>
            </w:r>
          </w:p>
        </w:tc>
        <w:tc>
          <w:tcPr>
            <w:tcW w:w="240" w:type="dxa"/>
            <w:vAlign w:val="bottom"/>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1820" w:type="dxa"/>
            <w:vAlign w:val="bottom"/>
            <w:tcBorders>
              <w:top w:val="single" w:sz="8" w:color="auto"/>
            </w:tcBorders>
          </w:tcPr>
          <w:p>
            <w:pPr>
              <w:spacing w:after="0"/>
              <w:rPr>
                <w:sz w:val="2"/>
                <w:szCs w:val="2"/>
                <w:color w:val="auto"/>
              </w:rPr>
            </w:pPr>
          </w:p>
        </w:tc>
        <w:tc>
          <w:tcPr>
            <w:tcW w:w="2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120" w:type="dxa"/>
            <w:vAlign w:val="bottom"/>
            <w:gridSpan w:val="4"/>
            <w:shd w:val="clear" w:color="auto" w:fill="CFF0FC"/>
          </w:tcPr>
          <w:p>
            <w:pPr>
              <w:ind w:left="20"/>
              <w:spacing w:after="0"/>
              <w:rPr>
                <w:sz w:val="20"/>
                <w:szCs w:val="20"/>
                <w:color w:val="auto"/>
              </w:rPr>
            </w:pPr>
            <w:r>
              <w:rPr>
                <w:rFonts w:ascii="Arial" w:cs="Arial" w:eastAsia="Arial" w:hAnsi="Arial"/>
                <w:sz w:val="18"/>
                <w:szCs w:val="18"/>
                <w:color w:val="auto"/>
              </w:rPr>
              <w:t>Net income (GAAP basis)</w:t>
            </w:r>
          </w:p>
        </w:tc>
        <w:tc>
          <w:tcPr>
            <w:tcW w:w="1060" w:type="dxa"/>
            <w:vAlign w:val="bottom"/>
            <w:gridSpan w:val="2"/>
            <w:shd w:val="clear" w:color="auto" w:fill="CFF0FC"/>
          </w:tcPr>
          <w:p>
            <w:pPr>
              <w:jc w:val="right"/>
              <w:ind w:right="630"/>
              <w:spacing w:after="0"/>
              <w:rPr>
                <w:sz w:val="20"/>
                <w:szCs w:val="20"/>
                <w:color w:val="auto"/>
              </w:rPr>
            </w:pPr>
            <w:r>
              <w:rPr>
                <w:rFonts w:ascii="Arial" w:cs="Arial" w:eastAsia="Arial" w:hAnsi="Arial"/>
                <w:sz w:val="18"/>
                <w:szCs w:val="18"/>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w:t>
            </w:r>
          </w:p>
        </w:tc>
        <w:tc>
          <w:tcPr>
            <w:tcW w:w="160" w:type="dxa"/>
            <w:vAlign w:val="bottom"/>
            <w:shd w:val="clear" w:color="auto" w:fill="CFF0FC"/>
          </w:tcPr>
          <w:p>
            <w:pPr>
              <w:spacing w:after="0"/>
              <w:rPr>
                <w:sz w:val="21"/>
                <w:szCs w:val="21"/>
                <w:color w:val="auto"/>
              </w:rPr>
            </w:pP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0.11</w:t>
            </w:r>
          </w:p>
        </w:tc>
        <w:tc>
          <w:tcPr>
            <w:tcW w:w="38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380" w:type="dxa"/>
            <w:vAlign w:val="bottom"/>
            <w:shd w:val="clear" w:color="auto" w:fill="CFF0FC"/>
          </w:tcPr>
          <w:p>
            <w:pPr>
              <w:jc w:val="right"/>
              <w:ind w:right="202"/>
              <w:spacing w:after="0"/>
              <w:rPr>
                <w:sz w:val="20"/>
                <w:szCs w:val="20"/>
                <w:color w:val="auto"/>
              </w:rPr>
            </w:pPr>
            <w:r>
              <w:rPr>
                <w:rFonts w:ascii="Arial" w:cs="Arial" w:eastAsia="Arial" w:hAnsi="Arial"/>
                <w:sz w:val="18"/>
                <w:szCs w:val="18"/>
                <w:color w:val="auto"/>
                <w:w w:val="79"/>
              </w:rPr>
              <w:t>$</w:t>
            </w:r>
          </w:p>
        </w:tc>
        <w:tc>
          <w:tcPr>
            <w:tcW w:w="16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w:t>
            </w: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0.20</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2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60" w:type="dxa"/>
            <w:vAlign w:val="bottom"/>
            <w:gridSpan w:val="2"/>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gridSpan w:val="2"/>
          </w:tcPr>
          <w:p>
            <w:pPr>
              <w:spacing w:after="0"/>
              <w:rPr>
                <w:sz w:val="21"/>
                <w:szCs w:val="21"/>
                <w:color w:val="auto"/>
              </w:rPr>
            </w:pPr>
          </w:p>
        </w:tc>
        <w:tc>
          <w:tcPr>
            <w:tcW w:w="2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20" w:type="dxa"/>
            <w:vAlign w:val="bottom"/>
            <w:gridSpan w:val="4"/>
            <w:shd w:val="clear" w:color="auto" w:fill="CFF0FC"/>
          </w:tcPr>
          <w:p>
            <w:pPr>
              <w:ind w:left="20"/>
              <w:spacing w:after="0"/>
              <w:rPr>
                <w:sz w:val="20"/>
                <w:szCs w:val="20"/>
                <w:color w:val="auto"/>
              </w:rPr>
            </w:pPr>
            <w:r>
              <w:rPr>
                <w:rFonts w:ascii="Arial" w:cs="Arial" w:eastAsia="Arial" w:hAnsi="Arial"/>
                <w:sz w:val="18"/>
                <w:szCs w:val="18"/>
                <w:color w:val="auto"/>
              </w:rPr>
              <w:t>Adjust for impairment (gain) of assets</w:t>
            </w:r>
          </w:p>
        </w:tc>
        <w:tc>
          <w:tcPr>
            <w:tcW w:w="24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66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(0.4 )</w:t>
            </w:r>
          </w:p>
        </w:tc>
        <w:tc>
          <w:tcPr>
            <w:tcW w:w="26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120" w:type="dxa"/>
            <w:vAlign w:val="bottom"/>
            <w:gridSpan w:val="4"/>
          </w:tcPr>
          <w:p>
            <w:pPr>
              <w:ind w:left="20"/>
              <w:spacing w:after="0"/>
              <w:rPr>
                <w:sz w:val="20"/>
                <w:szCs w:val="20"/>
                <w:color w:val="auto"/>
              </w:rPr>
            </w:pPr>
            <w:r>
              <w:rPr>
                <w:rFonts w:ascii="Arial" w:cs="Arial" w:eastAsia="Arial" w:hAnsi="Arial"/>
                <w:sz w:val="18"/>
                <w:szCs w:val="18"/>
                <w:color w:val="auto"/>
              </w:rPr>
              <w:t>Add back actual income tax provision</w:t>
            </w: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2.5</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0.1</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120" w:type="dxa"/>
            <w:vAlign w:val="bottom"/>
            <w:gridSpan w:val="4"/>
            <w:shd w:val="clear" w:color="auto" w:fill="CFF0FC"/>
          </w:tcPr>
          <w:p>
            <w:pPr>
              <w:ind w:left="20"/>
              <w:spacing w:after="0"/>
              <w:rPr>
                <w:sz w:val="20"/>
                <w:szCs w:val="20"/>
                <w:color w:val="auto"/>
              </w:rPr>
            </w:pPr>
            <w:r>
              <w:rPr>
                <w:rFonts w:ascii="Arial" w:cs="Arial" w:eastAsia="Arial" w:hAnsi="Arial"/>
                <w:sz w:val="18"/>
                <w:szCs w:val="18"/>
                <w:color w:val="auto"/>
              </w:rPr>
              <w:t>Add income tax provision, assuming a normal tax rate of 26%</w:t>
            </w:r>
          </w:p>
        </w:tc>
        <w:tc>
          <w:tcPr>
            <w:tcW w:w="24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6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(2.5 )</w:t>
            </w: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(3.4 )</w:t>
            </w:r>
          </w:p>
        </w:tc>
        <w:tc>
          <w:tcPr>
            <w:tcW w:w="26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120" w:type="dxa"/>
            <w:vAlign w:val="bottom"/>
            <w:tcBorders>
              <w:top w:val="single" w:sz="8" w:color="CFF0FC"/>
            </w:tcBorders>
            <w:gridSpan w:val="4"/>
          </w:tcPr>
          <w:p>
            <w:pPr>
              <w:ind w:left="20"/>
              <w:spacing w:after="0"/>
              <w:rPr>
                <w:sz w:val="20"/>
                <w:szCs w:val="20"/>
                <w:color w:val="auto"/>
              </w:rPr>
            </w:pPr>
            <w:r>
              <w:rPr>
                <w:rFonts w:ascii="Arial" w:cs="Arial" w:eastAsia="Arial" w:hAnsi="Arial"/>
                <w:sz w:val="18"/>
                <w:szCs w:val="18"/>
                <w:color w:val="auto"/>
              </w:rPr>
              <w:t>Adjusted net income (non-GAAP basis)</w:t>
            </w:r>
          </w:p>
        </w:tc>
        <w:tc>
          <w:tcPr>
            <w:tcW w:w="240" w:type="dxa"/>
            <w:vAlign w:val="bottom"/>
            <w:tcBorders>
              <w:top w:val="single" w:sz="8" w:color="CFF0FC"/>
            </w:tcBorders>
          </w:tcPr>
          <w:p>
            <w:pPr>
              <w:spacing w:after="0"/>
              <w:rPr>
                <w:sz w:val="20"/>
                <w:szCs w:val="20"/>
                <w:color w:val="auto"/>
              </w:rPr>
            </w:pPr>
          </w:p>
        </w:tc>
        <w:tc>
          <w:tcPr>
            <w:tcW w:w="820" w:type="dxa"/>
            <w:vAlign w:val="bottom"/>
            <w:tcBorders>
              <w:top w:val="single" w:sz="8" w:color="auto"/>
            </w:tcBorders>
          </w:tcPr>
          <w:p>
            <w:pPr>
              <w:jc w:val="right"/>
              <w:ind w:right="630"/>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160" w:type="dxa"/>
            <w:vAlign w:val="bottom"/>
            <w:tcBorders>
              <w:top w:val="single" w:sz="8" w:color="CFF0FC"/>
            </w:tcBorders>
          </w:tcPr>
          <w:p>
            <w:pPr>
              <w:spacing w:after="0"/>
              <w:rPr>
                <w:sz w:val="20"/>
                <w:szCs w:val="20"/>
                <w:color w:val="auto"/>
              </w:rPr>
            </w:pPr>
          </w:p>
        </w:tc>
        <w:tc>
          <w:tcPr>
            <w:tcW w:w="140" w:type="dxa"/>
            <w:vAlign w:val="bottom"/>
            <w:tcBorders>
              <w:top w:val="single" w:sz="8" w:color="CFF0FC"/>
            </w:tcBorders>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0.11</w:t>
            </w:r>
          </w:p>
        </w:tc>
        <w:tc>
          <w:tcPr>
            <w:tcW w:w="380" w:type="dxa"/>
            <w:vAlign w:val="bottom"/>
            <w:tcBorders>
              <w:top w:val="single" w:sz="8" w:color="CFF0FC"/>
            </w:tcBorders>
          </w:tcPr>
          <w:p>
            <w:pPr>
              <w:spacing w:after="0"/>
              <w:rPr>
                <w:sz w:val="20"/>
                <w:szCs w:val="20"/>
                <w:color w:val="auto"/>
              </w:rPr>
            </w:pPr>
          </w:p>
        </w:tc>
        <w:tc>
          <w:tcPr>
            <w:tcW w:w="40" w:type="dxa"/>
            <w:vAlign w:val="bottom"/>
            <w:tcBorders>
              <w:top w:val="single" w:sz="8" w:color="CFF0FC"/>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280" w:type="dxa"/>
            <w:vAlign w:val="bottom"/>
            <w:tcBorders>
              <w:top w:val="single" w:sz="8" w:color="CFF0FC"/>
            </w:tcBorders>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0.14</w:t>
            </w:r>
          </w:p>
        </w:tc>
        <w:tc>
          <w:tcPr>
            <w:tcW w:w="14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1820" w:type="dxa"/>
            <w:vAlign w:val="bottom"/>
            <w:shd w:val="clear" w:color="auto" w:fill="CFF0FC"/>
          </w:tcPr>
          <w:p>
            <w:pPr>
              <w:spacing w:after="0"/>
              <w:rPr>
                <w:sz w:val="21"/>
                <w:szCs w:val="21"/>
                <w:color w:val="auto"/>
              </w:rPr>
            </w:pPr>
          </w:p>
        </w:tc>
        <w:tc>
          <w:tcPr>
            <w:tcW w:w="25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5120" w:type="dxa"/>
            <w:vAlign w:val="bottom"/>
            <w:gridSpan w:val="4"/>
          </w:tcPr>
          <w:p>
            <w:pPr>
              <w:ind w:left="20"/>
              <w:spacing w:after="0"/>
              <w:rPr>
                <w:sz w:val="20"/>
                <w:szCs w:val="20"/>
                <w:color w:val="auto"/>
              </w:rPr>
            </w:pPr>
            <w:r>
              <w:rPr>
                <w:rFonts w:ascii="Arial" w:cs="Arial" w:eastAsia="Arial" w:hAnsi="Arial"/>
                <w:sz w:val="18"/>
                <w:szCs w:val="18"/>
                <w:color w:val="auto"/>
                <w:w w:val="90"/>
              </w:rPr>
              <w:t>Weighted average number of common shares outstanding on a diluted</w:t>
            </w: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20" w:type="dxa"/>
            <w:vAlign w:val="bottom"/>
            <w:gridSpan w:val="4"/>
          </w:tcPr>
          <w:p>
            <w:pPr>
              <w:ind w:left="20"/>
              <w:spacing w:after="0"/>
              <w:rPr>
                <w:sz w:val="20"/>
                <w:szCs w:val="20"/>
                <w:color w:val="auto"/>
              </w:rPr>
            </w:pPr>
            <w:r>
              <w:rPr>
                <w:rFonts w:ascii="Arial" w:cs="Arial" w:eastAsia="Arial" w:hAnsi="Arial"/>
                <w:sz w:val="18"/>
                <w:szCs w:val="18"/>
                <w:color w:val="auto"/>
              </w:rPr>
              <w:t>basis</w:t>
            </w: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66.3</w:t>
            </w: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68.4</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70"/>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6160" w:type="dxa"/>
            <w:vAlign w:val="bottom"/>
            <w:gridSpan w:val="10"/>
          </w:tcPr>
          <w:p>
            <w:pPr>
              <w:ind w:left="340"/>
              <w:spacing w:after="0"/>
              <w:rPr>
                <w:sz w:val="20"/>
                <w:szCs w:val="20"/>
                <w:color w:val="auto"/>
              </w:rPr>
            </w:pPr>
            <w:r>
              <w:rPr>
                <w:rFonts w:ascii="Arial" w:cs="Arial" w:eastAsia="Arial" w:hAnsi="Arial"/>
                <w:sz w:val="18"/>
                <w:szCs w:val="18"/>
                <w:b w:val="1"/>
                <w:bCs w:val="1"/>
                <w:color w:val="auto"/>
              </w:rPr>
              <w:t>GAAP TO NON-GAAP RECONCILIATION OF ADJUSTED EBITDA</w:t>
            </w: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106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5"/>
              </w:rPr>
              <w:t>(unaudited)</w:t>
            </w: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3"/>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20" w:type="dxa"/>
            <w:vAlign w:val="bottom"/>
            <w:gridSpan w:val="7"/>
          </w:tcPr>
          <w:p>
            <w:pPr>
              <w:jc w:val="right"/>
              <w:ind w:right="500"/>
              <w:spacing w:after="0"/>
              <w:rPr>
                <w:sz w:val="20"/>
                <w:szCs w:val="20"/>
                <w:color w:val="auto"/>
              </w:rPr>
            </w:pPr>
            <w:r>
              <w:rPr>
                <w:rFonts w:ascii="Arial" w:cs="Arial" w:eastAsia="Arial" w:hAnsi="Arial"/>
                <w:sz w:val="14"/>
                <w:szCs w:val="14"/>
                <w:color w:val="auto"/>
              </w:rPr>
              <w:t>For the three months ended</w:t>
            </w: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40" w:type="dxa"/>
            <w:vAlign w:val="bottom"/>
            <w:gridSpan w:val="3"/>
          </w:tcPr>
          <w:p>
            <w:pPr>
              <w:ind w:left="160"/>
              <w:spacing w:after="0"/>
              <w:rPr>
                <w:sz w:val="20"/>
                <w:szCs w:val="20"/>
                <w:color w:val="auto"/>
              </w:rPr>
            </w:pPr>
            <w:r>
              <w:rPr>
                <w:rFonts w:ascii="Arial" w:cs="Arial" w:eastAsia="Arial" w:hAnsi="Arial"/>
                <w:sz w:val="14"/>
                <w:szCs w:val="14"/>
                <w:color w:val="auto"/>
              </w:rPr>
              <w:t>April 29, 2023</w:t>
            </w: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60" w:type="dxa"/>
            <w:vAlign w:val="bottom"/>
            <w:gridSpan w:val="5"/>
          </w:tcPr>
          <w:p>
            <w:pPr>
              <w:jc w:val="right"/>
              <w:ind w:right="660"/>
              <w:spacing w:after="0"/>
              <w:rPr>
                <w:sz w:val="20"/>
                <w:szCs w:val="20"/>
                <w:color w:val="auto"/>
              </w:rPr>
            </w:pPr>
            <w:r>
              <w:rPr>
                <w:rFonts w:ascii="Arial" w:cs="Arial" w:eastAsia="Arial" w:hAnsi="Arial"/>
                <w:sz w:val="14"/>
                <w:szCs w:val="14"/>
                <w:color w:val="auto"/>
              </w:rPr>
              <w:t>April 30, 2022</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100" w:type="dxa"/>
            <w:vAlign w:val="bottom"/>
            <w:gridSpan w:val="3"/>
          </w:tcPr>
          <w:p>
            <w:pPr>
              <w:spacing w:after="0" w:line="155" w:lineRule="exact"/>
              <w:rPr>
                <w:sz w:val="20"/>
                <w:szCs w:val="20"/>
                <w:color w:val="auto"/>
              </w:rPr>
            </w:pPr>
            <w:r>
              <w:rPr>
                <w:rFonts w:ascii="Arial" w:cs="Arial" w:eastAsia="Arial" w:hAnsi="Arial"/>
                <w:sz w:val="14"/>
                <w:szCs w:val="14"/>
                <w:i w:val="1"/>
                <w:iCs w:val="1"/>
                <w:color w:val="auto"/>
              </w:rPr>
              <w:t>(in millions)</w:t>
            </w: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20" w:type="dxa"/>
            <w:vAlign w:val="bottom"/>
          </w:tcPr>
          <w:p>
            <w:pPr>
              <w:spacing w:after="0"/>
              <w:rPr>
                <w:sz w:val="2"/>
                <w:szCs w:val="2"/>
                <w:color w:val="auto"/>
              </w:rPr>
            </w:pPr>
          </w:p>
        </w:tc>
        <w:tc>
          <w:tcPr>
            <w:tcW w:w="2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shd w:val="clear" w:color="auto" w:fill="CFF0FC"/>
          </w:tcPr>
          <w:p>
            <w:pPr>
              <w:spacing w:after="0"/>
              <w:rPr>
                <w:sz w:val="15"/>
                <w:szCs w:val="15"/>
                <w:color w:val="auto"/>
              </w:rPr>
            </w:pPr>
          </w:p>
        </w:tc>
        <w:tc>
          <w:tcPr>
            <w:tcW w:w="5100" w:type="dxa"/>
            <w:vAlign w:val="bottom"/>
            <w:gridSpan w:val="3"/>
            <w:shd w:val="clear" w:color="auto" w:fill="CFF0FC"/>
          </w:tcPr>
          <w:p>
            <w:pPr>
              <w:spacing w:after="0"/>
              <w:rPr>
                <w:sz w:val="20"/>
                <w:szCs w:val="20"/>
                <w:color w:val="auto"/>
              </w:rPr>
            </w:pPr>
            <w:r>
              <w:rPr>
                <w:rFonts w:ascii="Arial" w:cs="Arial" w:eastAsia="Arial" w:hAnsi="Arial"/>
                <w:sz w:val="14"/>
                <w:szCs w:val="14"/>
                <w:color w:val="auto"/>
              </w:rPr>
              <w:t>Net income (GAAP basis)</w:t>
            </w:r>
          </w:p>
        </w:tc>
        <w:tc>
          <w:tcPr>
            <w:tcW w:w="24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80" w:type="dxa"/>
            <w:vAlign w:val="bottom"/>
            <w:shd w:val="clear" w:color="auto" w:fill="CFF0FC"/>
          </w:tcPr>
          <w:p>
            <w:pPr>
              <w:spacing w:after="0"/>
              <w:rPr>
                <w:sz w:val="15"/>
                <w:szCs w:val="15"/>
                <w:color w:val="auto"/>
              </w:rPr>
            </w:pPr>
          </w:p>
        </w:tc>
        <w:tc>
          <w:tcPr>
            <w:tcW w:w="15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7.0</w:t>
            </w:r>
          </w:p>
        </w:tc>
        <w:tc>
          <w:tcPr>
            <w:tcW w:w="40" w:type="dxa"/>
            <w:vAlign w:val="bottom"/>
            <w:shd w:val="clear" w:color="auto" w:fill="CFF0FC"/>
          </w:tcPr>
          <w:p>
            <w:pPr>
              <w:spacing w:after="0"/>
              <w:rPr>
                <w:sz w:val="15"/>
                <w:szCs w:val="15"/>
                <w:color w:val="auto"/>
              </w:rPr>
            </w:pPr>
          </w:p>
        </w:tc>
        <w:tc>
          <w:tcPr>
            <w:tcW w:w="540" w:type="dxa"/>
            <w:vAlign w:val="bottom"/>
            <w:gridSpan w:val="2"/>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13.4</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120" w:type="dxa"/>
            <w:vAlign w:val="bottom"/>
            <w:gridSpan w:val="4"/>
          </w:tcPr>
          <w:p>
            <w:pPr>
              <w:ind w:left="20"/>
              <w:spacing w:after="0"/>
              <w:rPr>
                <w:sz w:val="20"/>
                <w:szCs w:val="20"/>
                <w:color w:val="auto"/>
              </w:rPr>
            </w:pPr>
            <w:r>
              <w:rPr>
                <w:rFonts w:ascii="Arial" w:cs="Arial" w:eastAsia="Arial" w:hAnsi="Arial"/>
                <w:sz w:val="14"/>
                <w:szCs w:val="14"/>
                <w:color w:val="auto"/>
              </w:rPr>
              <w:t>Add back:</w:t>
            </w: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120" w:type="dxa"/>
            <w:vAlign w:val="bottom"/>
            <w:gridSpan w:val="4"/>
            <w:shd w:val="clear" w:color="auto" w:fill="CFF0FC"/>
          </w:tcPr>
          <w:p>
            <w:pPr>
              <w:ind w:left="20"/>
              <w:spacing w:after="0"/>
              <w:rPr>
                <w:sz w:val="20"/>
                <w:szCs w:val="20"/>
                <w:color w:val="auto"/>
              </w:rPr>
            </w:pPr>
            <w:r>
              <w:rPr>
                <w:rFonts w:ascii="Arial" w:cs="Arial" w:eastAsia="Arial" w:hAnsi="Arial"/>
                <w:sz w:val="14"/>
                <w:szCs w:val="14"/>
                <w:color w:val="auto"/>
              </w:rPr>
              <w:t>Impairment (gain) of assets</w:t>
            </w:r>
          </w:p>
        </w:tc>
        <w:tc>
          <w:tcPr>
            <w:tcW w:w="24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4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w:t>
            </w:r>
          </w:p>
        </w:tc>
        <w:tc>
          <w:tcPr>
            <w:tcW w:w="3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6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(0.4 )</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120" w:type="dxa"/>
            <w:vAlign w:val="bottom"/>
            <w:gridSpan w:val="4"/>
          </w:tcPr>
          <w:p>
            <w:pPr>
              <w:ind w:left="20"/>
              <w:spacing w:after="0"/>
              <w:rPr>
                <w:sz w:val="20"/>
                <w:szCs w:val="20"/>
                <w:color w:val="auto"/>
              </w:rPr>
            </w:pPr>
            <w:r>
              <w:rPr>
                <w:rFonts w:ascii="Arial" w:cs="Arial" w:eastAsia="Arial" w:hAnsi="Arial"/>
                <w:sz w:val="14"/>
                <w:szCs w:val="14"/>
                <w:color w:val="auto"/>
              </w:rPr>
              <w:t>Provision for income taxes</w:t>
            </w: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gridSpan w:val="2"/>
          </w:tcPr>
          <w:p>
            <w:pPr>
              <w:jc w:val="right"/>
              <w:spacing w:after="0"/>
              <w:rPr>
                <w:sz w:val="20"/>
                <w:szCs w:val="20"/>
                <w:color w:val="auto"/>
              </w:rPr>
            </w:pPr>
            <w:r>
              <w:rPr>
                <w:rFonts w:ascii="Arial" w:cs="Arial" w:eastAsia="Arial" w:hAnsi="Arial"/>
                <w:sz w:val="14"/>
                <w:szCs w:val="14"/>
                <w:color w:val="auto"/>
              </w:rPr>
              <w:t>2.5</w:t>
            </w:r>
          </w:p>
        </w:tc>
        <w:tc>
          <w:tcPr>
            <w:tcW w:w="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120" w:type="dxa"/>
            <w:vAlign w:val="bottom"/>
            <w:gridSpan w:val="4"/>
            <w:shd w:val="clear" w:color="auto" w:fill="CFF0FC"/>
          </w:tcPr>
          <w:p>
            <w:pPr>
              <w:ind w:left="20"/>
              <w:spacing w:after="0"/>
              <w:rPr>
                <w:sz w:val="20"/>
                <w:szCs w:val="20"/>
                <w:color w:val="auto"/>
              </w:rPr>
            </w:pPr>
            <w:r>
              <w:rPr>
                <w:rFonts w:ascii="Arial" w:cs="Arial" w:eastAsia="Arial" w:hAnsi="Arial"/>
                <w:sz w:val="14"/>
                <w:szCs w:val="14"/>
                <w:color w:val="auto"/>
              </w:rPr>
              <w:t>Interest (income) expense</w:t>
            </w:r>
          </w:p>
        </w:tc>
        <w:tc>
          <w:tcPr>
            <w:tcW w:w="24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920" w:type="dxa"/>
            <w:vAlign w:val="bottom"/>
            <w:gridSpan w:val="4"/>
            <w:shd w:val="clear" w:color="auto" w:fill="CFF0FC"/>
          </w:tcPr>
          <w:p>
            <w:pPr>
              <w:jc w:val="right"/>
              <w:ind w:right="282"/>
              <w:spacing w:after="0"/>
              <w:rPr>
                <w:sz w:val="20"/>
                <w:szCs w:val="20"/>
                <w:color w:val="auto"/>
              </w:rPr>
            </w:pPr>
            <w:r>
              <w:rPr>
                <w:rFonts w:ascii="Arial" w:cs="Arial" w:eastAsia="Arial" w:hAnsi="Arial"/>
                <w:sz w:val="14"/>
                <w:szCs w:val="14"/>
                <w:color w:val="auto"/>
              </w:rPr>
              <w:t>(0.3 )</w:t>
            </w:r>
          </w:p>
        </w:tc>
        <w:tc>
          <w:tcPr>
            <w:tcW w:w="16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0.1</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120" w:type="dxa"/>
            <w:vAlign w:val="bottom"/>
            <w:gridSpan w:val="4"/>
          </w:tcPr>
          <w:p>
            <w:pPr>
              <w:ind w:left="20"/>
              <w:spacing w:after="0"/>
              <w:rPr>
                <w:sz w:val="20"/>
                <w:szCs w:val="20"/>
                <w:color w:val="auto"/>
              </w:rPr>
            </w:pPr>
            <w:r>
              <w:rPr>
                <w:rFonts w:ascii="Arial" w:cs="Arial" w:eastAsia="Arial" w:hAnsi="Arial"/>
                <w:sz w:val="14"/>
                <w:szCs w:val="14"/>
                <w:color w:val="auto"/>
              </w:rPr>
              <w:t>Depreciation and amortization</w:t>
            </w: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3.5</w:t>
            </w:r>
          </w:p>
        </w:tc>
        <w:tc>
          <w:tcPr>
            <w:tcW w:w="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120" w:type="dxa"/>
            <w:vAlign w:val="bottom"/>
            <w:tcBorders>
              <w:bottom w:val="single" w:sz="8" w:color="CFF0FC"/>
            </w:tcBorders>
            <w:gridSpan w:val="4"/>
            <w:shd w:val="clear" w:color="auto" w:fill="CFF0FC"/>
          </w:tcPr>
          <w:p>
            <w:pPr>
              <w:ind w:left="20"/>
              <w:spacing w:after="0"/>
              <w:rPr>
                <w:sz w:val="20"/>
                <w:szCs w:val="20"/>
                <w:color w:val="auto"/>
              </w:rPr>
            </w:pPr>
            <w:r>
              <w:rPr>
                <w:rFonts w:ascii="Arial" w:cs="Arial" w:eastAsia="Arial" w:hAnsi="Arial"/>
                <w:sz w:val="14"/>
                <w:szCs w:val="14"/>
                <w:color w:val="auto"/>
              </w:rPr>
              <w:t>Adjusted EBITDA (non-GAAP basis)</w:t>
            </w:r>
          </w:p>
        </w:tc>
        <w:tc>
          <w:tcPr>
            <w:tcW w:w="240" w:type="dxa"/>
            <w:vAlign w:val="bottom"/>
            <w:tcBorders>
              <w:bottom w:val="single" w:sz="8" w:color="CFF0FC"/>
            </w:tcBorders>
            <w:shd w:val="clear" w:color="auto" w:fill="CFF0FC"/>
          </w:tcPr>
          <w:p>
            <w:pPr>
              <w:spacing w:after="0"/>
              <w:rPr>
                <w:sz w:val="18"/>
                <w:szCs w:val="18"/>
                <w:color w:val="auto"/>
              </w:rPr>
            </w:pPr>
          </w:p>
        </w:tc>
        <w:tc>
          <w:tcPr>
            <w:tcW w:w="820" w:type="dxa"/>
            <w:vAlign w:val="bottom"/>
            <w:tcBorders>
              <w:bottom w:val="single" w:sz="8" w:color="CFF0FC"/>
            </w:tcBorders>
            <w:shd w:val="clear" w:color="auto" w:fill="CFF0FC"/>
          </w:tcPr>
          <w:p>
            <w:pPr>
              <w:spacing w:after="0"/>
              <w:rPr>
                <w:sz w:val="18"/>
                <w:szCs w:val="18"/>
                <w:color w:val="auto"/>
              </w:rPr>
            </w:pPr>
          </w:p>
        </w:tc>
        <w:tc>
          <w:tcPr>
            <w:tcW w:w="5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80" w:type="dxa"/>
            <w:vAlign w:val="bottom"/>
            <w:tcBorders>
              <w:bottom w:val="single" w:sz="8" w:color="auto"/>
            </w:tcBorders>
            <w:shd w:val="clear" w:color="auto" w:fill="CFF0FC"/>
          </w:tcPr>
          <w:p>
            <w:pPr>
              <w:spacing w:after="0"/>
              <w:rPr>
                <w:sz w:val="18"/>
                <w:szCs w:val="18"/>
                <w:color w:val="auto"/>
              </w:rPr>
            </w:pPr>
          </w:p>
        </w:tc>
        <w:tc>
          <w:tcPr>
            <w:tcW w:w="150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4"/>
                <w:szCs w:val="14"/>
                <w:color w:val="auto"/>
              </w:rPr>
              <w:t>12.6</w:t>
            </w:r>
          </w:p>
        </w:tc>
        <w:tc>
          <w:tcPr>
            <w:tcW w:w="4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17.3</w:t>
            </w: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0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gridSpan w:val="2"/>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5120" w:type="dxa"/>
            <w:vAlign w:val="bottom"/>
            <w:gridSpan w:val="4"/>
            <w:shd w:val="clear" w:color="auto" w:fill="CFF0FC"/>
          </w:tcPr>
          <w:p>
            <w:pPr>
              <w:ind w:left="20"/>
              <w:spacing w:after="0"/>
              <w:rPr>
                <w:sz w:val="20"/>
                <w:szCs w:val="20"/>
                <w:color w:val="auto"/>
              </w:rPr>
            </w:pPr>
            <w:r>
              <w:rPr>
                <w:rFonts w:ascii="Arial" w:cs="Arial" w:eastAsia="Arial" w:hAnsi="Arial"/>
                <w:sz w:val="14"/>
                <w:szCs w:val="14"/>
                <w:color w:val="auto"/>
              </w:rPr>
              <w:t>Sales</w:t>
            </w:r>
          </w:p>
        </w:tc>
        <w:tc>
          <w:tcPr>
            <w:tcW w:w="24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80" w:type="dxa"/>
            <w:vAlign w:val="bottom"/>
            <w:shd w:val="clear" w:color="auto" w:fill="CFF0FC"/>
          </w:tcPr>
          <w:p>
            <w:pPr>
              <w:spacing w:after="0"/>
              <w:rPr>
                <w:sz w:val="15"/>
                <w:szCs w:val="15"/>
                <w:color w:val="auto"/>
              </w:rPr>
            </w:pPr>
          </w:p>
        </w:tc>
        <w:tc>
          <w:tcPr>
            <w:tcW w:w="15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125.4</w:t>
            </w:r>
          </w:p>
        </w:tc>
        <w:tc>
          <w:tcPr>
            <w:tcW w:w="40" w:type="dxa"/>
            <w:vAlign w:val="bottom"/>
            <w:shd w:val="clear" w:color="auto" w:fill="CFF0FC"/>
          </w:tcPr>
          <w:p>
            <w:pPr>
              <w:spacing w:after="0"/>
              <w:rPr>
                <w:sz w:val="15"/>
                <w:szCs w:val="15"/>
                <w:color w:val="auto"/>
              </w:rPr>
            </w:pPr>
          </w:p>
        </w:tc>
        <w:tc>
          <w:tcPr>
            <w:tcW w:w="540" w:type="dxa"/>
            <w:vAlign w:val="bottom"/>
            <w:gridSpan w:val="2"/>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127.7</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5120" w:type="dxa"/>
            <w:vAlign w:val="bottom"/>
            <w:gridSpan w:val="4"/>
          </w:tcPr>
          <w:p>
            <w:pPr>
              <w:ind w:left="20"/>
              <w:spacing w:after="0"/>
              <w:rPr>
                <w:sz w:val="20"/>
                <w:szCs w:val="20"/>
                <w:color w:val="auto"/>
              </w:rPr>
            </w:pPr>
            <w:r>
              <w:rPr>
                <w:rFonts w:ascii="Arial" w:cs="Arial" w:eastAsia="Arial" w:hAnsi="Arial"/>
                <w:sz w:val="14"/>
                <w:szCs w:val="14"/>
                <w:color w:val="auto"/>
              </w:rPr>
              <w:t>Adjusted EBITDA margin (non-GAAP), as a percentage of sales</w:t>
            </w: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20" w:type="dxa"/>
            <w:vAlign w:val="bottom"/>
            <w:gridSpan w:val="4"/>
          </w:tcPr>
          <w:p>
            <w:pPr>
              <w:jc w:val="right"/>
              <w:ind w:right="202"/>
              <w:spacing w:after="0"/>
              <w:rPr>
                <w:sz w:val="20"/>
                <w:szCs w:val="20"/>
                <w:color w:val="auto"/>
              </w:rPr>
            </w:pPr>
            <w:r>
              <w:rPr>
                <w:rFonts w:ascii="Arial" w:cs="Arial" w:eastAsia="Arial" w:hAnsi="Arial"/>
                <w:sz w:val="14"/>
                <w:szCs w:val="14"/>
                <w:color w:val="auto"/>
              </w:rPr>
              <w:t>10.1 %</w:t>
            </w: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13.5 %</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4239895</wp:posOffset>
            </wp:positionH>
            <wp:positionV relativeFrom="paragraph">
              <wp:posOffset>-2832735</wp:posOffset>
            </wp:positionV>
            <wp:extent cx="85725" cy="1631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-2832735</wp:posOffset>
            </wp:positionV>
            <wp:extent cx="85725" cy="1631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-2832735</wp:posOffset>
            </wp:positionV>
            <wp:extent cx="85725" cy="1631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-2832735</wp:posOffset>
            </wp:positionV>
            <wp:extent cx="85725" cy="1631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-363855</wp:posOffset>
            </wp:positionV>
            <wp:extent cx="1551940" cy="1371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551940" cy="137160"/>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GAAP TO NON-GAAP RECONCILIATION OF FREE CASH FLOW</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9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960" w:type="dxa"/>
            <w:vAlign w:val="bottom"/>
            <w:gridSpan w:val="5"/>
          </w:tcPr>
          <w:p>
            <w:pPr>
              <w:jc w:val="right"/>
              <w:ind w:right="1860"/>
              <w:spacing w:after="0"/>
              <w:rPr>
                <w:sz w:val="20"/>
                <w:szCs w:val="20"/>
                <w:color w:val="auto"/>
              </w:rPr>
            </w:pPr>
            <w:r>
              <w:rPr>
                <w:rFonts w:ascii="Arial" w:cs="Arial" w:eastAsia="Arial" w:hAnsi="Arial"/>
                <w:sz w:val="14"/>
                <w:szCs w:val="14"/>
                <w:color w:val="auto"/>
              </w:rPr>
              <w:t>For the three months ended</w:t>
            </w:r>
          </w:p>
        </w:tc>
      </w:tr>
      <w:tr>
        <w:trPr>
          <w:trHeight w:val="181"/>
        </w:trPr>
        <w:tc>
          <w:tcPr>
            <w:tcW w:w="594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34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April 29, 2023</w:t>
            </w:r>
          </w:p>
        </w:tc>
        <w:tc>
          <w:tcPr>
            <w:tcW w:w="40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color w:val="auto"/>
              </w:rPr>
              <w:t>April 30, 2022</w:t>
            </w:r>
          </w:p>
        </w:tc>
        <w:tc>
          <w:tcPr>
            <w:tcW w:w="440" w:type="dxa"/>
            <w:vAlign w:val="bottom"/>
          </w:tcPr>
          <w:p>
            <w:pPr>
              <w:spacing w:after="0"/>
              <w:rPr>
                <w:sz w:val="15"/>
                <w:szCs w:val="15"/>
                <w:color w:val="auto"/>
              </w:rPr>
            </w:pPr>
          </w:p>
        </w:tc>
      </w:tr>
      <w:tr>
        <w:trPr>
          <w:trHeight w:val="223"/>
        </w:trPr>
        <w:tc>
          <w:tcPr>
            <w:tcW w:w="5940" w:type="dxa"/>
            <w:vAlign w:val="bottom"/>
          </w:tcPr>
          <w:p>
            <w:pPr>
              <w:ind w:left="20"/>
              <w:spacing w:after="0"/>
              <w:rPr>
                <w:sz w:val="20"/>
                <w:szCs w:val="20"/>
                <w:color w:val="auto"/>
              </w:rPr>
            </w:pPr>
            <w:r>
              <w:rPr>
                <w:rFonts w:ascii="Arial" w:cs="Arial" w:eastAsia="Arial" w:hAnsi="Arial"/>
                <w:sz w:val="14"/>
                <w:szCs w:val="14"/>
                <w:color w:val="auto"/>
              </w:rPr>
              <w:t>Cash flow from operating activities (GAAP basis)</w:t>
            </w:r>
          </w:p>
        </w:tc>
        <w:tc>
          <w:tcPr>
            <w:tcW w:w="340" w:type="dxa"/>
            <w:vAlign w:val="bottom"/>
          </w:tcPr>
          <w:p>
            <w:pPr>
              <w:jc w:val="right"/>
              <w:ind w:right="188"/>
              <w:spacing w:after="0"/>
              <w:rPr>
                <w:sz w:val="20"/>
                <w:szCs w:val="20"/>
                <w:color w:val="auto"/>
              </w:rPr>
            </w:pPr>
            <w:r>
              <w:rPr>
                <w:rFonts w:ascii="Arial" w:cs="Arial" w:eastAsia="Arial" w:hAnsi="Arial"/>
                <w:sz w:val="14"/>
                <w:szCs w:val="14"/>
                <w:color w:val="auto"/>
                <w:w w:val="76"/>
              </w:rPr>
              <w:t>$</w:t>
            </w:r>
          </w:p>
        </w:tc>
        <w:tc>
          <w:tcPr>
            <w:tcW w:w="2140" w:type="dxa"/>
            <w:vAlign w:val="bottom"/>
            <w:gridSpan w:val="2"/>
          </w:tcPr>
          <w:p>
            <w:pPr>
              <w:jc w:val="right"/>
              <w:ind w:right="340"/>
              <w:spacing w:after="0"/>
              <w:rPr>
                <w:sz w:val="20"/>
                <w:szCs w:val="20"/>
                <w:color w:val="auto"/>
              </w:rPr>
            </w:pPr>
            <w:r>
              <w:rPr>
                <w:rFonts w:ascii="Arial" w:cs="Arial" w:eastAsia="Arial" w:hAnsi="Arial"/>
                <w:sz w:val="14"/>
                <w:szCs w:val="14"/>
                <w:color w:val="auto"/>
              </w:rPr>
              <w:t>(4.2 )</w:t>
            </w:r>
          </w:p>
        </w:tc>
        <w:tc>
          <w:tcPr>
            <w:tcW w:w="420" w:type="dxa"/>
            <w:vAlign w:val="bottom"/>
          </w:tcPr>
          <w:p>
            <w:pPr>
              <w:jc w:val="right"/>
              <w:ind w:right="268"/>
              <w:spacing w:after="0"/>
              <w:rPr>
                <w:sz w:val="20"/>
                <w:szCs w:val="20"/>
                <w:color w:val="auto"/>
              </w:rPr>
            </w:pPr>
            <w:r>
              <w:rPr>
                <w:rFonts w:ascii="Arial" w:cs="Arial" w:eastAsia="Arial" w:hAnsi="Arial"/>
                <w:sz w:val="14"/>
                <w:szCs w:val="14"/>
                <w:color w:val="auto"/>
                <w:w w:val="76"/>
              </w:rPr>
              <w:t>$</w:t>
            </w:r>
          </w:p>
        </w:tc>
        <w:tc>
          <w:tcPr>
            <w:tcW w:w="2400" w:type="dxa"/>
            <w:vAlign w:val="bottom"/>
            <w:gridSpan w:val="2"/>
          </w:tcPr>
          <w:p>
            <w:pPr>
              <w:jc w:val="right"/>
              <w:ind w:right="360"/>
              <w:spacing w:after="0"/>
              <w:rPr>
                <w:sz w:val="20"/>
                <w:szCs w:val="20"/>
                <w:color w:val="auto"/>
              </w:rPr>
            </w:pPr>
            <w:r>
              <w:rPr>
                <w:rFonts w:ascii="Arial" w:cs="Arial" w:eastAsia="Arial" w:hAnsi="Arial"/>
                <w:sz w:val="14"/>
                <w:szCs w:val="14"/>
                <w:color w:val="auto"/>
              </w:rPr>
              <w:t>(1.5 )</w:t>
            </w:r>
          </w:p>
        </w:tc>
      </w:tr>
      <w:tr>
        <w:trPr>
          <w:trHeight w:val="216"/>
        </w:trPr>
        <w:tc>
          <w:tcPr>
            <w:tcW w:w="5940" w:type="dxa"/>
            <w:vAlign w:val="bottom"/>
            <w:shd w:val="clear" w:color="auto" w:fill="CFF0FC"/>
          </w:tcPr>
          <w:p>
            <w:pPr>
              <w:ind w:left="20"/>
              <w:spacing w:after="0"/>
              <w:rPr>
                <w:sz w:val="20"/>
                <w:szCs w:val="20"/>
                <w:color w:val="auto"/>
              </w:rPr>
            </w:pPr>
            <w:r>
              <w:rPr>
                <w:rFonts w:ascii="Arial" w:cs="Arial" w:eastAsia="Arial" w:hAnsi="Arial"/>
                <w:sz w:val="14"/>
                <w:szCs w:val="14"/>
                <w:color w:val="auto"/>
              </w:rPr>
              <w:t>Capital expenditures</w:t>
            </w:r>
          </w:p>
        </w:tc>
        <w:tc>
          <w:tcPr>
            <w:tcW w:w="340" w:type="dxa"/>
            <w:vAlign w:val="bottom"/>
            <w:shd w:val="clear" w:color="auto" w:fill="CFF0FC"/>
          </w:tcPr>
          <w:p>
            <w:pPr>
              <w:spacing w:after="0"/>
              <w:rPr>
                <w:sz w:val="18"/>
                <w:szCs w:val="18"/>
                <w:color w:val="auto"/>
              </w:rPr>
            </w:pPr>
          </w:p>
        </w:tc>
        <w:tc>
          <w:tcPr>
            <w:tcW w:w="2140" w:type="dxa"/>
            <w:vAlign w:val="bottom"/>
            <w:gridSpan w:val="2"/>
            <w:shd w:val="clear" w:color="auto" w:fill="CFF0FC"/>
          </w:tcPr>
          <w:p>
            <w:pPr>
              <w:jc w:val="right"/>
              <w:ind w:right="340"/>
              <w:spacing w:after="0"/>
              <w:rPr>
                <w:sz w:val="20"/>
                <w:szCs w:val="20"/>
                <w:color w:val="auto"/>
              </w:rPr>
            </w:pPr>
            <w:r>
              <w:rPr>
                <w:rFonts w:ascii="Arial" w:cs="Arial" w:eastAsia="Arial" w:hAnsi="Arial"/>
                <w:sz w:val="14"/>
                <w:szCs w:val="14"/>
                <w:color w:val="auto"/>
              </w:rPr>
              <w:t>(1.7 )</w:t>
            </w:r>
          </w:p>
        </w:tc>
        <w:tc>
          <w:tcPr>
            <w:tcW w:w="420" w:type="dxa"/>
            <w:vAlign w:val="bottom"/>
            <w:shd w:val="clear" w:color="auto" w:fill="CFF0FC"/>
          </w:tcPr>
          <w:p>
            <w:pPr>
              <w:spacing w:after="0"/>
              <w:rPr>
                <w:sz w:val="18"/>
                <w:szCs w:val="18"/>
                <w:color w:val="auto"/>
              </w:rPr>
            </w:pPr>
          </w:p>
        </w:tc>
        <w:tc>
          <w:tcPr>
            <w:tcW w:w="2400" w:type="dxa"/>
            <w:vAlign w:val="bottom"/>
            <w:gridSpan w:val="2"/>
            <w:shd w:val="clear" w:color="auto" w:fill="CFF0FC"/>
          </w:tcPr>
          <w:p>
            <w:pPr>
              <w:jc w:val="right"/>
              <w:ind w:right="360"/>
              <w:spacing w:after="0"/>
              <w:rPr>
                <w:sz w:val="20"/>
                <w:szCs w:val="20"/>
                <w:color w:val="auto"/>
              </w:rPr>
            </w:pPr>
            <w:r>
              <w:rPr>
                <w:rFonts w:ascii="Arial" w:cs="Arial" w:eastAsia="Arial" w:hAnsi="Arial"/>
                <w:sz w:val="14"/>
                <w:szCs w:val="14"/>
                <w:color w:val="auto"/>
              </w:rPr>
              <w:t>(1.2 )</w:t>
            </w:r>
          </w:p>
        </w:tc>
      </w:tr>
      <w:tr>
        <w:trPr>
          <w:trHeight w:val="20"/>
        </w:trPr>
        <w:tc>
          <w:tcPr>
            <w:tcW w:w="594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40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960" w:type="dxa"/>
            <w:vAlign w:val="bottom"/>
            <w:shd w:val="clear" w:color="auto" w:fill="000000"/>
          </w:tcPr>
          <w:p>
            <w:pPr>
              <w:spacing w:after="0" w:line="20" w:lineRule="exact"/>
              <w:rPr>
                <w:sz w:val="1"/>
                <w:szCs w:val="1"/>
                <w:color w:val="auto"/>
              </w:rPr>
            </w:pPr>
          </w:p>
        </w:tc>
        <w:tc>
          <w:tcPr>
            <w:tcW w:w="440" w:type="dxa"/>
            <w:vAlign w:val="bottom"/>
            <w:shd w:val="clear" w:color="auto" w:fill="CFF0FC"/>
          </w:tcPr>
          <w:p>
            <w:pPr>
              <w:spacing w:after="0" w:line="20" w:lineRule="exact"/>
              <w:rPr>
                <w:sz w:val="1"/>
                <w:szCs w:val="1"/>
                <w:color w:val="auto"/>
              </w:rPr>
            </w:pPr>
          </w:p>
        </w:tc>
      </w:tr>
      <w:tr>
        <w:trPr>
          <w:trHeight w:val="183"/>
        </w:trPr>
        <w:tc>
          <w:tcPr>
            <w:tcW w:w="5940" w:type="dxa"/>
            <w:vAlign w:val="bottom"/>
          </w:tcPr>
          <w:p>
            <w:pPr>
              <w:ind w:left="120"/>
              <w:spacing w:after="0"/>
              <w:rPr>
                <w:sz w:val="20"/>
                <w:szCs w:val="20"/>
                <w:color w:val="auto"/>
              </w:rPr>
            </w:pPr>
            <w:r>
              <w:rPr>
                <w:rFonts w:ascii="Arial" w:cs="Arial" w:eastAsia="Arial" w:hAnsi="Arial"/>
                <w:sz w:val="14"/>
                <w:szCs w:val="14"/>
                <w:color w:val="auto"/>
              </w:rPr>
              <w:t>Free Cash Flow (non-GAAP basis)</w:t>
            </w:r>
          </w:p>
        </w:tc>
        <w:tc>
          <w:tcPr>
            <w:tcW w:w="340" w:type="dxa"/>
            <w:vAlign w:val="bottom"/>
          </w:tcPr>
          <w:p>
            <w:pPr>
              <w:jc w:val="right"/>
              <w:ind w:right="188"/>
              <w:spacing w:after="0"/>
              <w:rPr>
                <w:sz w:val="20"/>
                <w:szCs w:val="20"/>
                <w:color w:val="auto"/>
              </w:rPr>
            </w:pPr>
            <w:r>
              <w:rPr>
                <w:rFonts w:ascii="Arial" w:cs="Arial" w:eastAsia="Arial" w:hAnsi="Arial"/>
                <w:sz w:val="14"/>
                <w:szCs w:val="14"/>
                <w:color w:val="auto"/>
                <w:w w:val="76"/>
              </w:rPr>
              <w:t>$</w:t>
            </w:r>
          </w:p>
        </w:tc>
        <w:tc>
          <w:tcPr>
            <w:tcW w:w="2140" w:type="dxa"/>
            <w:vAlign w:val="bottom"/>
            <w:gridSpan w:val="2"/>
          </w:tcPr>
          <w:p>
            <w:pPr>
              <w:jc w:val="right"/>
              <w:ind w:right="340"/>
              <w:spacing w:after="0"/>
              <w:rPr>
                <w:sz w:val="20"/>
                <w:szCs w:val="20"/>
                <w:color w:val="auto"/>
              </w:rPr>
            </w:pPr>
            <w:r>
              <w:rPr>
                <w:rFonts w:ascii="Arial" w:cs="Arial" w:eastAsia="Arial" w:hAnsi="Arial"/>
                <w:sz w:val="14"/>
                <w:szCs w:val="14"/>
                <w:color w:val="auto"/>
              </w:rPr>
              <w:t>(5.9 )</w:t>
            </w:r>
          </w:p>
        </w:tc>
        <w:tc>
          <w:tcPr>
            <w:tcW w:w="420" w:type="dxa"/>
            <w:vAlign w:val="bottom"/>
          </w:tcPr>
          <w:p>
            <w:pPr>
              <w:jc w:val="right"/>
              <w:ind w:right="268"/>
              <w:spacing w:after="0"/>
              <w:rPr>
                <w:sz w:val="20"/>
                <w:szCs w:val="20"/>
                <w:color w:val="auto"/>
              </w:rPr>
            </w:pPr>
            <w:r>
              <w:rPr>
                <w:rFonts w:ascii="Arial" w:cs="Arial" w:eastAsia="Arial" w:hAnsi="Arial"/>
                <w:sz w:val="14"/>
                <w:szCs w:val="14"/>
                <w:color w:val="auto"/>
                <w:w w:val="76"/>
              </w:rPr>
              <w:t>$</w:t>
            </w:r>
          </w:p>
        </w:tc>
        <w:tc>
          <w:tcPr>
            <w:tcW w:w="2400" w:type="dxa"/>
            <w:vAlign w:val="bottom"/>
            <w:gridSpan w:val="2"/>
          </w:tcPr>
          <w:p>
            <w:pPr>
              <w:jc w:val="right"/>
              <w:ind w:right="360"/>
              <w:spacing w:after="0"/>
              <w:rPr>
                <w:sz w:val="20"/>
                <w:szCs w:val="20"/>
                <w:color w:val="auto"/>
              </w:rPr>
            </w:pPr>
            <w:r>
              <w:rPr>
                <w:rFonts w:ascii="Arial" w:cs="Arial" w:eastAsia="Arial" w:hAnsi="Arial"/>
                <w:sz w:val="14"/>
                <w:szCs w:val="14"/>
                <w:color w:val="auto"/>
              </w:rPr>
              <w:t>(2.7 )</w:t>
            </w:r>
          </w:p>
        </w:tc>
      </w:tr>
      <w:tr>
        <w:trPr>
          <w:trHeight w:val="20"/>
        </w:trPr>
        <w:tc>
          <w:tcPr>
            <w:tcW w:w="59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9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5088255</wp:posOffset>
            </wp:positionH>
            <wp:positionV relativeFrom="paragraph">
              <wp:posOffset>-153670</wp:posOffset>
            </wp:positionV>
            <wp:extent cx="85725" cy="1543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6863080</wp:posOffset>
            </wp:positionH>
            <wp:positionV relativeFrom="paragraph">
              <wp:posOffset>-153670</wp:posOffset>
            </wp:positionV>
            <wp:extent cx="85725" cy="1543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5725"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3" w:name="page14"/>
    <w:bookmarkEnd w:id="1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2023-05-25T06:14:41Z</dcterms:created>
  <dcterms:modified xsi:type="dcterms:W3CDTF">2023-05-25T06:14:41Z</dcterms:modified>
</cp:coreProperties>
</file>