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January 13, 2025, Destination XL Group, Inc. (the “Company”) issued a press release announcing holiday sales for the nine weeks ended January 4, 2025 and an update to its sales and adjusted EBITDA guidance for the fiscal year ending February 1, 2025 (“fiscal 2024”). A copy of this press release is furnished herewith as Exhibit 99.1.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500" w:type="dxa"/>
            <w:vAlign w:val="bottom"/>
          </w:tcPr>
          <w:p>
            <w:pPr>
              <w:spacing w:after="0"/>
              <w:rPr>
                <w:sz w:val="17"/>
                <w:szCs w:val="17"/>
                <w:color w:val="auto"/>
              </w:rPr>
            </w:pPr>
          </w:p>
        </w:tc>
        <w:tc>
          <w:tcPr>
            <w:tcW w:w="8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January 13, 2025.</w:t>
            </w:r>
          </w:p>
        </w:tc>
      </w:tr>
      <w:tr>
        <w:trPr>
          <w:trHeight w:val="20"/>
        </w:trPr>
        <w:tc>
          <w:tcPr>
            <w:tcW w:w="860" w:type="dxa"/>
            <w:vAlign w:val="bottom"/>
            <w:gridSpan w:val="2"/>
          </w:tcPr>
          <w:p>
            <w:pPr>
              <w:spacing w:after="0" w:line="20" w:lineRule="exact"/>
              <w:rPr>
                <w:sz w:val="1"/>
                <w:szCs w:val="1"/>
                <w:color w:val="auto"/>
              </w:rPr>
            </w:pPr>
          </w:p>
        </w:tc>
        <w:tc>
          <w:tcPr>
            <w:tcW w:w="1500" w:type="dxa"/>
            <w:vAlign w:val="bottom"/>
            <w:tcBorders>
              <w:right w:val="single" w:sz="8" w:color="0000EE"/>
            </w:tcBorders>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tcPr>
          <w:p>
            <w:pPr>
              <w:spacing w:after="0"/>
              <w:rPr>
                <w:sz w:val="24"/>
                <w:szCs w:val="24"/>
                <w:color w:val="auto"/>
              </w:rPr>
            </w:pPr>
          </w:p>
        </w:tc>
        <w:tc>
          <w:tcPr>
            <w:tcW w:w="8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215"/>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780" w:type="dxa"/>
            <w:vAlign w:val="bottom"/>
            <w:tcBorders>
              <w:top w:val="single" w:sz="8" w:color="auto"/>
              <w:bottom w:val="single" w:sz="8" w:color="9A9A9A"/>
            </w:tcBorders>
          </w:tcPr>
          <w:p>
            <w:pPr>
              <w:spacing w:after="0"/>
              <w:rPr>
                <w:sz w:val="24"/>
                <w:szCs w:val="24"/>
                <w:color w:val="auto"/>
              </w:rPr>
            </w:pPr>
          </w:p>
        </w:tc>
        <w:tc>
          <w:tcPr>
            <w:tcW w:w="1960" w:type="dxa"/>
            <w:vAlign w:val="bottom"/>
            <w:tcBorders>
              <w:top w:val="single" w:sz="8" w:color="auto"/>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-116840</wp:posOffset>
            </wp:positionV>
            <wp:extent cx="1088390" cy="608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83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Destination XL Group, Inc. Reports Holiday Sales Results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Updates Fiscal Year 2024 Guidance</w:t>
      </w:r>
    </w:p>
    <w:p>
      <w:pPr>
        <w:spacing w:after="0" w:line="3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CANTON, Mass., January 13, 2025 – Destination XL Group, Inc. (NASDAQ: DXLG), the leading integrated-commerce specialty retailer of Big + Tall men’s clothing and shoes, today announced the following results for the 9-week holiday sales period ended January 4, 2025 (unaudited):</w:t>
      </w:r>
    </w:p>
    <w:p>
      <w:pPr>
        <w:spacing w:after="0" w:line="93" w:lineRule="exact"/>
        <w:rPr>
          <w:sz w:val="20"/>
          <w:szCs w:val="20"/>
          <w:color w:val="auto"/>
        </w:rPr>
      </w:pPr>
    </w:p>
    <w:p>
      <w:pPr>
        <w:ind w:left="1140" w:hanging="383"/>
        <w:spacing w:after="0"/>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were $94.7 million compared to $102.4 million for the 9-week holiday sales period ended December 28, 2023.</w:t>
      </w:r>
    </w:p>
    <w:p>
      <w:pPr>
        <w:spacing w:after="0" w:line="107" w:lineRule="exact"/>
        <w:rPr>
          <w:rFonts w:ascii="Times New Roman" w:cs="Times New Roman" w:eastAsia="Times New Roman" w:hAnsi="Times New Roman"/>
          <w:sz w:val="20"/>
          <w:szCs w:val="20"/>
          <w:color w:val="auto"/>
        </w:rPr>
      </w:pPr>
    </w:p>
    <w:p>
      <w:pPr>
        <w:ind w:left="1140" w:right="160" w:hanging="383"/>
        <w:spacing w:after="0" w:line="269"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Comparable sales for the same 9-week holiday period decreased 7.4%, with comparable sales from stores down 6.2% and the direct business down 10.0%.</w:t>
      </w:r>
    </w:p>
    <w:p>
      <w:pPr>
        <w:spacing w:after="0" w:line="5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Based on the holiday sales results and expectations for the remainder of the fourth quarter, the Company is updating its guidance for fiscal 2024 as follows:</w:t>
      </w:r>
    </w:p>
    <w:p>
      <w:pPr>
        <w:spacing w:after="0" w:line="51" w:lineRule="exact"/>
        <w:rPr>
          <w:sz w:val="20"/>
          <w:szCs w:val="20"/>
          <w:color w:val="auto"/>
        </w:rPr>
      </w:pPr>
    </w:p>
    <w:p>
      <w:pPr>
        <w:ind w:left="1140" w:right="180" w:hanging="383"/>
        <w:spacing w:after="0" w:line="269"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sales for fiscal 2024 are expected to be $467.0 to $470.0 million, a slight decrease from its previous guidance of $470.0 million.</w:t>
      </w:r>
    </w:p>
    <w:p>
      <w:pPr>
        <w:spacing w:after="0" w:line="51" w:lineRule="exact"/>
        <w:rPr>
          <w:rFonts w:ascii="Times New Roman" w:cs="Times New Roman" w:eastAsia="Times New Roman" w:hAnsi="Times New Roman"/>
          <w:sz w:val="20"/>
          <w:szCs w:val="20"/>
          <w:color w:val="auto"/>
        </w:rPr>
      </w:pPr>
    </w:p>
    <w:p>
      <w:pPr>
        <w:ind w:left="1140" w:right="20" w:hanging="383"/>
        <w:spacing w:after="0" w:line="269"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margin of 4.2% to 4.5%, as compared to its previous guidance of 4.5%. Adjusted EBITDA margin is a non-GAAP financial measure.</w:t>
      </w:r>
    </w:p>
    <w:p>
      <w:pPr>
        <w:spacing w:after="0" w:line="5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“Our sales results for the 9-week holiday period were mostly in line with our expectations given the late Thanksgiving holiday and continued headwinds and challenges regarding consumer spending. Our customers have been very price conscious and, when they shop, they are gravitating toward our more moderate and entry-level price points. We had a slow start to the quarter with November sales down 11.8%, but our customer responded positively to strategic promotions during our Black Friday and Cyber Monday deals which drove improvement in comparable sales to a decline of 4.4% in December,” said Harvey Kanter, President and Chief Executive Officer.</w:t>
      </w:r>
    </w:p>
    <w:p>
      <w:pPr>
        <w:spacing w:after="0" w:line="7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Company plans to report its actual fourth-quarter and fiscal 2024 financial results on March 20, 2025, when management will also conduct its quarterly conference call to discuss its results. The earnings call will be hosted by Harvey Kanter, President and Chief Executive Officer, and Peter Stratton, Executive Vice President, Chief Financial Officer, and Treasurer.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a projection for adjusted EBITDA margin for fiscal 2024, a non-GAAP measure. The presentation of this non-GAAP measure is not in accordance with GAAP and should not be considered superior to, or as a substitute for, net income, or any other measure of performance derived in accordance with GAAP. In addition, not all companies calculate non-GAAP financial measures in the same manner and, accordingly, the non-GAAP measure presented in this release may not be comparable to similar measures used by other companies. The Company believes the inclusion of this non-GAAP measure helps investors gain a better understanding of the Company’s performance, especially when comparing such results to previous periods, and that it is useful as an additional means for investors to evaluate the Company's operating results when reviewed in conjunction with the Company's GAAP financial statements.</w:t>
      </w:r>
    </w:p>
    <w:p>
      <w:pPr>
        <w:spacing w:after="0" w:line="18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asset impairment charges (gain), if any. Adjusted EBITDA margin is calculated as adjusted EBITDA divided by total sales.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ind w:right="840"/>
        <w:spacing w:after="0" w:line="269" w:lineRule="auto"/>
        <w:rPr>
          <w:sz w:val="20"/>
          <w:szCs w:val="20"/>
          <w:color w:val="auto"/>
        </w:rPr>
      </w:pPr>
      <w:r>
        <w:rPr>
          <w:rFonts w:ascii="Times New Roman" w:cs="Times New Roman" w:eastAsia="Times New Roman" w:hAnsi="Times New Roman"/>
          <w:sz w:val="20"/>
          <w:szCs w:val="20"/>
          <w:color w:val="auto"/>
        </w:rPr>
        <w:t>Company believes that providing adjusted EBITDA and adjusted EBITDA margin is useful to investors to evaluate the Company’s performance and are key metrics to measure profitability and economic productivity.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2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guidance for fiscal 2024, including expected sales and adjusted EBITDA margin, and the expected timing of the release of its financial results for the fourth quarter and fiscal year 2024.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21, 2024, its Quarterly Reports on Form 10-Q and other filings with the Securities and Exchange Commission that set forth certain risks and uncertainties that may have an impact on future results and the direction of the Company, including risks relating to: changes in consumer spending in response to economic factors; the impact of inflation with rising costs and high interest rates; the impact of ongoing worldwide conflicts on the global economy; potential labor shortages; and the Company’s ability to execute on its marketing, digital, store and collaboration strategies, ability to grow its market share, predict customer tastes and fashion trends, forecast sales growth trends and compete successfully in the United States men’s big and tall apparel market.</w:t>
      </w:r>
    </w:p>
    <w:p>
      <w:pPr>
        <w:spacing w:after="0" w:line="11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 MAY NOT FOOT DUE TO ROUNDING</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FISCAL 2024 FORECAST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GAAP TO NON-GAAP ADJUSTED EBITDA AND ADJUSTED EBITDA MARGIN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2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Projected</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data and percentages)</w:t>
            </w:r>
          </w:p>
        </w:tc>
        <w:tc>
          <w:tcPr>
            <w:tcW w:w="3620" w:type="dxa"/>
            <w:vAlign w:val="bottom"/>
            <w:vMerge w:val="restart"/>
          </w:tcPr>
          <w:p>
            <w:pPr>
              <w:spacing w:after="0"/>
              <w:rPr>
                <w:sz w:val="14"/>
                <w:szCs w:val="14"/>
                <w:color w:val="auto"/>
              </w:rPr>
            </w:pPr>
          </w:p>
        </w:tc>
        <w:tc>
          <w:tcPr>
            <w:tcW w:w="22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Fiscal 2024</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300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21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$467.0 - $470.0</w:t>
            </w:r>
          </w:p>
        </w:tc>
        <w:tc>
          <w:tcPr>
            <w:tcW w:w="120" w:type="dxa"/>
            <w:vAlign w:val="bottom"/>
          </w:tcPr>
          <w:p>
            <w:pPr>
              <w:spacing w:after="0"/>
              <w:rPr>
                <w:sz w:val="12"/>
                <w:szCs w:val="12"/>
                <w:color w:val="auto"/>
              </w:rPr>
            </w:pPr>
          </w:p>
        </w:tc>
        <w:tc>
          <w:tcPr>
            <w:tcW w:w="2380" w:type="dxa"/>
            <w:vAlign w:val="bottom"/>
            <w:tcBorders>
              <w:top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i w:val="1"/>
                <w:iCs w:val="1"/>
                <w:color w:val="auto"/>
              </w:rPr>
              <w:t>per diluted share</w:t>
            </w:r>
          </w:p>
        </w:tc>
        <w:tc>
          <w:tcPr>
            <w:tcW w:w="0" w:type="dxa"/>
            <w:vAlign w:val="bottom"/>
          </w:tcPr>
          <w:p>
            <w:pPr>
              <w:spacing w:after="0"/>
              <w:rPr>
                <w:sz w:val="1"/>
                <w:szCs w:val="1"/>
                <w:color w:val="auto"/>
              </w:rPr>
            </w:pPr>
          </w:p>
        </w:tc>
      </w:tr>
      <w:tr>
        <w:trPr>
          <w:trHeight w:val="129"/>
        </w:trPr>
        <w:tc>
          <w:tcPr>
            <w:tcW w:w="66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Sales</w:t>
            </w:r>
          </w:p>
        </w:tc>
        <w:tc>
          <w:tcPr>
            <w:tcW w:w="2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64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income (GAAP basis) </w:t>
            </w:r>
            <w:r>
              <w:rPr>
                <w:rFonts w:ascii="Times New Roman" w:cs="Times New Roman" w:eastAsia="Times New Roman" w:hAnsi="Times New Roman"/>
                <w:sz w:val="19"/>
                <w:szCs w:val="19"/>
                <w:color w:val="auto"/>
                <w:vertAlign w:val="superscript"/>
              </w:rPr>
              <w:t>(1)</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4.4 - 5.5</w:t>
            </w:r>
          </w:p>
        </w:tc>
        <w:tc>
          <w:tcPr>
            <w:tcW w:w="120" w:type="dxa"/>
            <w:vAlign w:val="bottom"/>
          </w:tcPr>
          <w:p>
            <w:pPr>
              <w:spacing w:after="0"/>
              <w:rPr>
                <w:sz w:val="15"/>
                <w:szCs w:val="15"/>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$0.07-$0.09</w:t>
            </w:r>
          </w:p>
        </w:tc>
        <w:tc>
          <w:tcPr>
            <w:tcW w:w="0" w:type="dxa"/>
            <w:vAlign w:val="bottom"/>
          </w:tcPr>
          <w:p>
            <w:pPr>
              <w:spacing w:after="0"/>
              <w:rPr>
                <w:sz w:val="1"/>
                <w:szCs w:val="1"/>
                <w:color w:val="auto"/>
              </w:rPr>
            </w:pPr>
          </w:p>
        </w:tc>
      </w:tr>
      <w:tr>
        <w:trPr>
          <w:trHeight w:val="148"/>
        </w:trPr>
        <w:tc>
          <w:tcPr>
            <w:tcW w:w="664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2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3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2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2.9 - 3.4</w:t>
            </w: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2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(2.2 )</w:t>
            </w:r>
          </w:p>
        </w:tc>
        <w:tc>
          <w:tcPr>
            <w:tcW w:w="23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Borders>
              <w:bottom w:val="single" w:sz="8" w:color="CFF0FC"/>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20" w:type="dxa"/>
            <w:vAlign w:val="bottom"/>
            <w:tcBorders>
              <w:bottom w:val="single" w:sz="8" w:color="CFF0FC"/>
            </w:tcBorders>
          </w:tcPr>
          <w:p>
            <w:pPr>
              <w:spacing w:after="0"/>
              <w:rPr>
                <w:sz w:val="12"/>
                <w:szCs w:val="12"/>
                <w:color w:val="auto"/>
              </w:rPr>
            </w:pPr>
          </w:p>
        </w:tc>
        <w:tc>
          <w:tcPr>
            <w:tcW w:w="23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4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2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$19.6 - $21.2</w:t>
            </w:r>
          </w:p>
        </w:tc>
        <w:tc>
          <w:tcPr>
            <w:tcW w:w="120" w:type="dxa"/>
            <w:vAlign w:val="bottom"/>
            <w:tcBorders>
              <w:bottom w:val="single" w:sz="8" w:color="CFF0FC"/>
            </w:tcBorders>
            <w:shd w:val="clear" w:color="auto" w:fill="CFF0FC"/>
          </w:tcPr>
          <w:p>
            <w:pPr>
              <w:spacing w:after="0"/>
              <w:rPr>
                <w:sz w:val="15"/>
                <w:szCs w:val="15"/>
                <w:color w:val="auto"/>
              </w:rPr>
            </w:pPr>
          </w:p>
        </w:tc>
        <w:tc>
          <w:tcPr>
            <w:tcW w:w="23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6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Adjusted EBITDA margin as a percentage of sales (non-GAAP basis)</w:t>
            </w:r>
          </w:p>
        </w:tc>
        <w:tc>
          <w:tcPr>
            <w:tcW w:w="2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4.2% - 4.5%</w:t>
            </w: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Weighted average common shares outstanding - diluted </w:t>
            </w:r>
            <w:r>
              <w:rPr>
                <w:rFonts w:ascii="Times New Roman" w:cs="Times New Roman" w:eastAsia="Times New Roman" w:hAnsi="Times New Roman"/>
                <w:sz w:val="19"/>
                <w:szCs w:val="19"/>
                <w:color w:val="auto"/>
                <w:vertAlign w:val="superscript"/>
              </w:rPr>
              <w:t>(2)</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-1024890</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-347345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-330200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-450215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0" w:lineRule="exact"/>
        <w:rPr>
          <w:sz w:val="20"/>
          <w:szCs w:val="20"/>
          <w:color w:val="auto"/>
        </w:rPr>
      </w:pPr>
    </w:p>
    <w:p>
      <w:pPr>
        <w:ind w:left="20" w:right="300" w:firstLine="1"/>
        <w:spacing w:after="0" w:line="243" w:lineRule="auto"/>
        <w:tabs>
          <w:tab w:leader="none" w:pos="173" w:val="left"/>
        </w:tabs>
        <w:numPr>
          <w:ilvl w:val="0"/>
          <w:numId w:val="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Forecasted net income used in this table for purposes of reconciling adjusted EBITDA (a non-GAAP measure) does not include the impact of future events that are outside of our control for which we cannot reasonably predict, such as potential asset impairments.</w:t>
      </w:r>
    </w:p>
    <w:p>
      <w:pPr>
        <w:ind w:left="180" w:hanging="159"/>
        <w:spacing w:after="0"/>
        <w:tabs>
          <w:tab w:leader="none" w:pos="180" w:val="left"/>
        </w:tabs>
        <w:numPr>
          <w:ilvl w:val="0"/>
          <w:numId w:val="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Forecasted weighted average common shares outstanding does not reflect future share repurchase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77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2025-01-13T06:35:54Z</dcterms:created>
  <dcterms:modified xsi:type="dcterms:W3CDTF">2025-01-13T06:35:54Z</dcterms:modified>
</cp:coreProperties>
</file>