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0" w:lineRule="exact"/>
        <w:rPr>
          <w:sz w:val="24"/>
          <w:szCs w:val="24"/>
          <w:color w:val="auto"/>
        </w:rPr>
      </w:pPr>
    </w:p>
    <w:p>
      <w:pPr>
        <w:jc w:val="center"/>
        <w:ind w:right="-4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4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ind w:right="-499"/>
        <w:spacing w:after="0"/>
        <w:rPr>
          <w:sz w:val="20"/>
          <w:szCs w:val="20"/>
          <w:color w:val="auto"/>
        </w:rPr>
      </w:pPr>
      <w:r>
        <w:rPr>
          <w:rFonts w:ascii="Arial" w:cs="Arial" w:eastAsia="Arial" w:hAnsi="Arial"/>
          <w:sz w:val="24"/>
          <w:szCs w:val="24"/>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155"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December 31, 2008</w:t>
      </w:r>
    </w:p>
    <w:p>
      <w:pPr>
        <w:spacing w:after="0" w:line="171"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15(d) OF THE SECURITIES EXCHANGE ACT OF 1934</w:t>
      </w:r>
    </w:p>
    <w:p>
      <w:pPr>
        <w:spacing w:after="0" w:line="190" w:lineRule="exact"/>
        <w:rPr>
          <w:sz w:val="24"/>
          <w:szCs w:val="24"/>
          <w:color w:val="auto"/>
        </w:rPr>
      </w:pPr>
    </w:p>
    <w:p>
      <w:pPr>
        <w:ind w:left="460"/>
        <w:spacing w:after="0"/>
        <w:tabs>
          <w:tab w:leader="none" w:pos="3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1763395</wp:posOffset>
            </wp:positionH>
            <wp:positionV relativeFrom="paragraph">
              <wp:posOffset>-10160</wp:posOffset>
            </wp:positionV>
            <wp:extent cx="1263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51"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Commission File Number 0-15898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499"/>
        <w:spacing w:after="0"/>
        <w:rPr>
          <w:sz w:val="20"/>
          <w:szCs w:val="20"/>
          <w:color w:val="auto"/>
        </w:rPr>
      </w:pPr>
      <w:r>
        <w:rPr>
          <w:rFonts w:ascii="Arial" w:cs="Arial" w:eastAsia="Arial" w:hAnsi="Arial"/>
          <w:sz w:val="24"/>
          <w:szCs w:val="24"/>
          <w:b w:val="1"/>
          <w:bCs w:val="1"/>
          <w:color w:val="auto"/>
        </w:rPr>
        <w:t>CASUAL MALE RETAIL GROUP, INC. 401(K) SALARIED SAVINGS PLAN</w:t>
      </w:r>
    </w:p>
    <w:p>
      <w:pPr>
        <w:spacing w:after="0" w:line="37" w:lineRule="exact"/>
        <w:rPr>
          <w:sz w:val="24"/>
          <w:szCs w:val="24"/>
          <w:color w:val="auto"/>
        </w:rPr>
      </w:pPr>
    </w:p>
    <w:p>
      <w:pPr>
        <w:jc w:val="center"/>
        <w:ind w:right="-499"/>
        <w:spacing w:after="0"/>
        <w:rPr>
          <w:sz w:val="20"/>
          <w:szCs w:val="20"/>
          <w:color w:val="auto"/>
        </w:rPr>
      </w:pPr>
      <w:r>
        <w:rPr>
          <w:rFonts w:ascii="Arial" w:cs="Arial" w:eastAsia="Arial" w:hAnsi="Arial"/>
          <w:sz w:val="14"/>
          <w:szCs w:val="14"/>
          <w:b w:val="1"/>
          <w:bCs w:val="1"/>
          <w:color w:val="auto"/>
        </w:rPr>
        <w:t>(Full title of the plan)</w:t>
      </w:r>
    </w:p>
    <w:p>
      <w:pPr>
        <w:spacing w:after="0" w:line="135"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Canton, Massachusetts 02021</w:t>
      </w:r>
    </w:p>
    <w:p>
      <w:pPr>
        <w:jc w:val="center"/>
        <w:ind w:right="-499"/>
        <w:spacing w:after="0"/>
        <w:rPr>
          <w:sz w:val="20"/>
          <w:szCs w:val="20"/>
          <w:color w:val="auto"/>
        </w:rPr>
      </w:pPr>
      <w:r>
        <w:rPr>
          <w:rFonts w:ascii="Arial" w:cs="Arial" w:eastAsia="Arial" w:hAnsi="Arial"/>
          <w:sz w:val="14"/>
          <w:szCs w:val="14"/>
          <w:b w:val="1"/>
          <w:bCs w:val="1"/>
          <w:color w:val="auto"/>
        </w:rPr>
        <w:t>(Name of issuer of the securities held pursuant to the plan and the address</w:t>
      </w:r>
    </w:p>
    <w:p>
      <w:pPr>
        <w:jc w:val="center"/>
        <w:ind w:right="-499"/>
        <w:spacing w:after="0"/>
        <w:rPr>
          <w:sz w:val="20"/>
          <w:szCs w:val="20"/>
          <w:color w:val="auto"/>
        </w:rPr>
      </w:pPr>
      <w:r>
        <w:rPr>
          <w:rFonts w:ascii="Arial" w:cs="Arial" w:eastAsia="Arial" w:hAnsi="Arial"/>
          <w:sz w:val="14"/>
          <w:szCs w:val="14"/>
          <w:b w:val="1"/>
          <w:bCs w:val="1"/>
          <w:color w:val="auto"/>
        </w:rPr>
        <w:t>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240" w:top="230" w:right="7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 401(k) Salaried Savings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Financial Statements and Supplemental Schedule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 ended December 31, 2008</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2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Reports of Independent Registered Public Accounting Firms</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412"/>
        </w:trPr>
        <w:tc>
          <w:tcPr>
            <w:tcW w:w="586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Statements of Net Assets Available for Benefits as of December 31, 2008 and 2007</w:t>
              </w:r>
            </w:hyperlink>
          </w:p>
        </w:tc>
        <w:tc>
          <w:tcPr>
            <w:tcW w:w="3160" w:type="dxa"/>
            <w:vAlign w:val="bottom"/>
            <w:gridSpan w:val="2"/>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9020" w:type="dxa"/>
            <w:vAlign w:val="bottom"/>
            <w:gridSpan w:val="1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Statement of Changes in Net Assets Available for Benefits For the Year Ended December 31, 2008</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6940" w:type="dxa"/>
            <w:vAlign w:val="bottom"/>
            <w:tcBorders>
              <w:top w:val="single" w:sz="8" w:color="0000EE"/>
            </w:tcBorders>
            <w:gridSpan w:val="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Financial Statements</w:t>
              </w:r>
            </w:hyperlink>
          </w:p>
        </w:tc>
        <w:tc>
          <w:tcPr>
            <w:tcW w:w="208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5-14</w:t>
            </w:r>
          </w:p>
        </w:tc>
      </w:tr>
      <w:tr>
        <w:trPr>
          <w:trHeight w:val="412"/>
        </w:trPr>
        <w:tc>
          <w:tcPr>
            <w:tcW w:w="17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6"/>
              </w:rPr>
            </w:pPr>
            <w:hyperlink w:anchor="page17">
              <w:r>
                <w:rPr>
                  <w:rFonts w:ascii="Arial" w:cs="Arial" w:eastAsia="Arial" w:hAnsi="Arial"/>
                  <w:sz w:val="18"/>
                  <w:szCs w:val="18"/>
                  <w:color w:val="0000EE"/>
                  <w:w w:val="86"/>
                </w:rPr>
                <w:t>Supplementary Schedule</w:t>
              </w:r>
            </w:hyperlink>
          </w:p>
        </w:tc>
        <w:tc>
          <w:tcPr>
            <w:tcW w:w="340" w:type="dxa"/>
            <w:vAlign w:val="bottom"/>
            <w:tcBorders>
              <w:top w:val="single" w:sz="8" w:color="0000EE"/>
            </w:tcBorders>
          </w:tcPr>
          <w:p>
            <w:pPr>
              <w:spacing w:after="0"/>
              <w:rPr>
                <w:sz w:val="24"/>
                <w:szCs w:val="24"/>
                <w:color w:val="auto"/>
              </w:rPr>
            </w:pPr>
          </w:p>
        </w:tc>
        <w:tc>
          <w:tcPr>
            <w:tcW w:w="6920" w:type="dxa"/>
            <w:vAlign w:val="bottom"/>
            <w:gridSpan w:val="6"/>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12"/>
        </w:trPr>
        <w:tc>
          <w:tcPr>
            <w:tcW w:w="440" w:type="dxa"/>
            <w:vAlign w:val="bottom"/>
          </w:tcPr>
          <w:p>
            <w:pPr>
              <w:spacing w:after="0"/>
              <w:rPr>
                <w:sz w:val="24"/>
                <w:szCs w:val="24"/>
                <w:color w:val="auto"/>
              </w:rPr>
            </w:pPr>
          </w:p>
        </w:tc>
        <w:tc>
          <w:tcPr>
            <w:tcW w:w="8580" w:type="dxa"/>
            <w:vAlign w:val="bottom"/>
            <w:gridSpan w:val="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Schedule H, Line 4i – Schedule of Assets For Investment Purposes</w:t>
              </w:r>
            </w:hyperlink>
          </w:p>
        </w:tc>
        <w:tc>
          <w:tcPr>
            <w:tcW w:w="240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6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18">
              <w:r>
                <w:rPr>
                  <w:rFonts w:ascii="Arial" w:cs="Arial" w:eastAsia="Arial" w:hAnsi="Arial"/>
                  <w:sz w:val="18"/>
                  <w:szCs w:val="18"/>
                  <w:color w:val="0000EE"/>
                  <w:w w:val="88"/>
                </w:rPr>
                <w:t>At End of Year (December 31, 2008)</w:t>
              </w:r>
            </w:hyperlink>
          </w:p>
        </w:tc>
        <w:tc>
          <w:tcPr>
            <w:tcW w:w="1880" w:type="dxa"/>
            <w:vAlign w:val="bottom"/>
            <w:tcBorders>
              <w:top w:val="single" w:sz="8" w:color="0000EE"/>
            </w:tcBorders>
            <w:gridSpan w:val="2"/>
          </w:tcPr>
          <w:p>
            <w:pPr>
              <w:spacing w:after="0"/>
              <w:rPr>
                <w:sz w:val="17"/>
                <w:szCs w:val="17"/>
                <w:color w:val="auto"/>
              </w:rPr>
            </w:pPr>
          </w:p>
        </w:tc>
        <w:tc>
          <w:tcPr>
            <w:tcW w:w="3880" w:type="dxa"/>
            <w:vAlign w:val="bottom"/>
            <w:gridSpan w:val="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Plan Administrator and Participants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401(k) Salaried Savings Plan</w:t>
      </w:r>
    </w:p>
    <w:p>
      <w:pPr>
        <w:spacing w:after="0" w:line="165" w:lineRule="exact"/>
        <w:rPr>
          <w:sz w:val="20"/>
          <w:szCs w:val="20"/>
          <w:color w:val="auto"/>
        </w:rPr>
      </w:pPr>
    </w:p>
    <w:p>
      <w:pPr>
        <w:ind w:right="540"/>
        <w:spacing w:after="0" w:line="306" w:lineRule="auto"/>
        <w:rPr>
          <w:sz w:val="20"/>
          <w:szCs w:val="20"/>
          <w:color w:val="auto"/>
        </w:rPr>
      </w:pPr>
      <w:r>
        <w:rPr>
          <w:rFonts w:ascii="Arial" w:cs="Arial" w:eastAsia="Arial" w:hAnsi="Arial"/>
          <w:sz w:val="16"/>
          <w:szCs w:val="16"/>
          <w:color w:val="auto"/>
        </w:rPr>
        <w:t>We have audited the accompanying statement of net assets available for benefits of the Casual Male Retail Group, Inc. 401(k) Salaried Savings Plan as of December 31, 2008, and the related statement of changes in net assets available for benefits for the year then ended. These financial statements are the responsibility of the Plan's management. Our responsibility is to express an opinion on these financial statements based on our audit.</w:t>
      </w:r>
    </w:p>
    <w:p>
      <w:pPr>
        <w:spacing w:after="0" w:line="1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conducted our audit in accordance with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our opinion, the 2008 financial statements referred to above present fairly, in all material respects, the net assets available for benefits of the Plan as of December 31, 2008 and the changes in its net assets available for benefits for the year then ended, in conformity with accounting principles generally accepted in the United States of America.</w:t>
      </w:r>
    </w:p>
    <w:p>
      <w:pPr>
        <w:spacing w:after="0" w:line="14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audit was performed for the purpose of forming an opinion on the financial statements taken as a whole. The accompanying supplemental schedule of assets held for investment purposes at end of year (December 31, 2008) is presented for the purpose of additional analysis and is not a required part of the financial statements but is supplementary information required by the Department of Labor’s Rules and Regulations for Reporting and Disclosure under the Employee Retirement Income Security Act of 1974. This supplemental schedule is the responsibility of the Plan's management. This supplemental schedule has been subjected to the auditing procedures applied in our audit of the financial statements and, in our opinion, is fairly stated in all material respects in relation to the financial statements taken as a whole.</w:t>
      </w:r>
    </w:p>
    <w:p>
      <w:pPr>
        <w:spacing w:after="0" w:line="200" w:lineRule="exact"/>
        <w:rPr>
          <w:sz w:val="20"/>
          <w:szCs w:val="20"/>
          <w:color w:val="auto"/>
        </w:rPr>
      </w:pPr>
    </w:p>
    <w:p>
      <w:pPr>
        <w:spacing w:after="0" w:line="20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MHM Mahoney Cohen CPAs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(The New York Practice of Mayer Hoffman McCann P.C.)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29, 2009</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459"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Plan Administrator and Participants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401(k) Salaried Savings Plan</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statement of net assets available for benefits of the Casual Male Retail Group, Inc. 401(k) Salaried Savings Plan as of December 31, 2007. This financial statement is the responsibility of the Plan's management. Our responsibility is to express an opinion on this financial statement based on our audit.</w:t>
      </w:r>
    </w:p>
    <w:p>
      <w:pPr>
        <w:spacing w:after="0" w:line="14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conducted our audit in accordance with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43"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In our opinion, the 2007 financial statement referred to above presents fairly, in all material respects, the net assets available for benefits of the Plan as of December 31, 2007, in conformity with accounting principles generally accepted in the United States of America.</w:t>
      </w:r>
    </w:p>
    <w:p>
      <w:pPr>
        <w:spacing w:after="0" w:line="85" w:lineRule="exact"/>
        <w:rPr>
          <w:sz w:val="20"/>
          <w:szCs w:val="20"/>
          <w:color w:val="auto"/>
        </w:rPr>
      </w:pPr>
    </w:p>
    <w:p>
      <w:pPr>
        <w:ind w:left="7380"/>
        <w:spacing w:after="0"/>
        <w:rPr>
          <w:sz w:val="20"/>
          <w:szCs w:val="20"/>
          <w:color w:val="auto"/>
        </w:rPr>
      </w:pPr>
      <w:r>
        <w:rPr>
          <w:rFonts w:ascii="Arial" w:cs="Arial" w:eastAsia="Arial" w:hAnsi="Arial"/>
          <w:sz w:val="18"/>
          <w:szCs w:val="18"/>
          <w:u w:val="single" w:color="auto"/>
          <w:color w:val="auto"/>
        </w:rPr>
        <w:t>/s/ Mahoney Cohen &amp; Company, CPA, P.C.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26, 2008</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Casual Male Retail Group, Inc. 401(k) Salaried Savings Plan</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Statements of Net Assets Available for Benefits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2008 and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2080" w:type="dxa"/>
            <w:vAlign w:val="bottom"/>
            <w:gridSpan w:val="2"/>
          </w:tcPr>
          <w:p>
            <w:pPr>
              <w:jc w:val="right"/>
              <w:ind w:right="256"/>
              <w:spacing w:after="0"/>
              <w:rPr>
                <w:sz w:val="20"/>
                <w:szCs w:val="20"/>
                <w:color w:val="auto"/>
              </w:rPr>
            </w:pPr>
            <w:r>
              <w:rPr>
                <w:rFonts w:ascii="Arial" w:cs="Arial" w:eastAsia="Arial" w:hAnsi="Arial"/>
                <w:sz w:val="14"/>
                <w:szCs w:val="14"/>
                <w:b w:val="1"/>
                <w:bCs w:val="1"/>
                <w:color w:val="auto"/>
              </w:rPr>
              <w:t>2008</w:t>
            </w:r>
          </w:p>
        </w:tc>
        <w:tc>
          <w:tcPr>
            <w:tcW w:w="114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1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Investments, at fair value (Notes 2 and 3)</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$ 16,817,863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$ 27,704,998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Participant loans receivable</w:t>
            </w:r>
          </w:p>
        </w:tc>
        <w:tc>
          <w:tcPr>
            <w:tcW w:w="1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817,646</w:t>
            </w: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669,053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00" w:type="dxa"/>
            <w:vAlign w:val="bottom"/>
            <w:gridSpan w:val="2"/>
          </w:tcPr>
          <w:p>
            <w:pPr>
              <w:spacing w:after="0"/>
              <w:rPr>
                <w:sz w:val="20"/>
                <w:szCs w:val="20"/>
                <w:color w:val="auto"/>
              </w:rPr>
            </w:pPr>
            <w:r>
              <w:rPr>
                <w:rFonts w:ascii="Arial" w:cs="Arial" w:eastAsia="Arial" w:hAnsi="Arial"/>
                <w:sz w:val="18"/>
                <w:szCs w:val="18"/>
                <w:color w:val="auto"/>
              </w:rPr>
              <w:t>Total investments at fair value (Note 5)</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17,635,509</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28,374,051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contributions receivable</w:t>
            </w:r>
          </w:p>
        </w:tc>
        <w:tc>
          <w:tcPr>
            <w:tcW w:w="1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1,001,294</w:t>
            </w: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653,512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18,636,803</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29,027,563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Excess deferred compensation contributions (Note 8)</w:t>
            </w:r>
          </w:p>
        </w:tc>
        <w:tc>
          <w:tcPr>
            <w:tcW w:w="11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2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assets reflecting all investments at fair value</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18,636,558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29,023,132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11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118,977</w:t>
            </w:r>
          </w:p>
        </w:tc>
        <w:tc>
          <w:tcPr>
            <w:tcW w:w="2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$ 18,755,535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$ 29,037,681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left="1800"/>
        <w:spacing w:after="0"/>
        <w:rPr>
          <w:sz w:val="20"/>
          <w:szCs w:val="20"/>
          <w:color w:val="auto"/>
        </w:rPr>
      </w:pPr>
      <w:r>
        <w:rPr>
          <w:rFonts w:ascii="Arial" w:cs="Arial" w:eastAsia="Arial" w:hAnsi="Arial"/>
          <w:sz w:val="15"/>
          <w:szCs w:val="15"/>
          <w:color w:val="auto"/>
        </w:rPr>
        <w:t>Casual Male Retail Group, Inc. 401(k) Salaried Savings Plan</w:t>
      </w:r>
    </w:p>
    <w:p>
      <w:pPr>
        <w:spacing w:after="0" w:line="206" w:lineRule="exact"/>
        <w:rPr>
          <w:sz w:val="20"/>
          <w:szCs w:val="20"/>
          <w:color w:val="auto"/>
        </w:rPr>
      </w:pPr>
    </w:p>
    <w:p>
      <w:pPr>
        <w:jc w:val="center"/>
        <w:ind w:left="1800"/>
        <w:spacing w:after="0"/>
        <w:rPr>
          <w:sz w:val="20"/>
          <w:szCs w:val="20"/>
          <w:color w:val="auto"/>
        </w:rPr>
      </w:pPr>
      <w:r>
        <w:rPr>
          <w:rFonts w:ascii="Arial" w:cs="Arial" w:eastAsia="Arial" w:hAnsi="Arial"/>
          <w:sz w:val="16"/>
          <w:szCs w:val="16"/>
          <w:color w:val="auto"/>
        </w:rPr>
        <w:t>Statement of Changes in Net Assets Available for Benefits</w:t>
      </w:r>
    </w:p>
    <w:p>
      <w:pPr>
        <w:spacing w:after="0" w:line="194" w:lineRule="exact"/>
        <w:rPr>
          <w:sz w:val="20"/>
          <w:szCs w:val="20"/>
          <w:color w:val="auto"/>
        </w:rPr>
      </w:pPr>
    </w:p>
    <w:p>
      <w:pPr>
        <w:jc w:val="center"/>
        <w:ind w:left="1800"/>
        <w:spacing w:after="0"/>
        <w:rPr>
          <w:sz w:val="20"/>
          <w:szCs w:val="20"/>
          <w:color w:val="auto"/>
        </w:rPr>
      </w:pPr>
      <w:r>
        <w:rPr>
          <w:rFonts w:ascii="Arial" w:cs="Arial" w:eastAsia="Arial" w:hAnsi="Arial"/>
          <w:sz w:val="18"/>
          <w:szCs w:val="18"/>
          <w:color w:val="auto"/>
        </w:rPr>
        <w:t>Year ended December 31, 2008</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Additions to net assets attributed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Contributions: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Employer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Rollovers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Transfers into the Plan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Total additions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Deductions from net assets attributed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Investment loss: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depreciation in fair value of investments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Interest and dividend income</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investment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Benefits paid directly to participants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2832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Transfers out of the Plan (Note 1)</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Total deductions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Net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Net assets available for benefits at beginning of year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Net assets available for benefits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40" w:hanging="233"/>
        <w:spacing w:after="0"/>
        <w:tabs>
          <w:tab w:leader="none" w:pos="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2,320,039</w:t>
      </w:r>
    </w:p>
    <w:p>
      <w:pPr>
        <w:spacing w:after="0" w:line="38"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6"/>
          <w:szCs w:val="16"/>
          <w:color w:val="auto"/>
        </w:rPr>
        <w:t>1,005,361</w:t>
      </w:r>
    </w:p>
    <w:p>
      <w:pPr>
        <w:spacing w:after="0" w:line="32"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6"/>
          <w:szCs w:val="16"/>
          <w:color w:val="auto"/>
        </w:rPr>
        <w:t>365,145</w:t>
      </w:r>
    </w:p>
    <w:p>
      <w:pPr>
        <w:spacing w:after="0" w:line="52"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6"/>
          <w:szCs w:val="16"/>
          <w:color w:val="auto"/>
        </w:rPr>
        <w:t>3,690,545</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36,448</w:t>
      </w:r>
    </w:p>
    <w:p>
      <w:pPr>
        <w:spacing w:after="0" w:line="29"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6"/>
          <w:szCs w:val="16"/>
          <w:color w:val="auto"/>
        </w:rPr>
        <w:t>3,726,993</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6"/>
          <w:szCs w:val="16"/>
          <w:color w:val="auto"/>
        </w:rPr>
        <w:t>8,668,284</w:t>
      </w:r>
    </w:p>
    <w:p>
      <w:pPr>
        <w:spacing w:after="0" w:line="38"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6"/>
          <w:szCs w:val="16"/>
          <w:color w:val="auto"/>
        </w:rPr>
        <w:t>(751,357)</w:t>
      </w:r>
    </w:p>
    <w:p>
      <w:pPr>
        <w:spacing w:after="0" w:line="52"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6"/>
          <w:szCs w:val="16"/>
          <w:color w:val="auto"/>
        </w:rPr>
        <w:t>7,916,927</w:t>
      </w:r>
    </w:p>
    <w:p>
      <w:pPr>
        <w:spacing w:after="0" w:line="38"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6"/>
          <w:szCs w:val="16"/>
          <w:color w:val="auto"/>
        </w:rPr>
        <w:t>5,969,133</w:t>
      </w:r>
    </w:p>
    <w:p>
      <w:pPr>
        <w:spacing w:after="0" w:line="3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34,049</w:t>
      </w:r>
    </w:p>
    <w:p>
      <w:pPr>
        <w:spacing w:after="0" w:line="9"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89,030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-1570355</wp:posOffset>
            </wp:positionV>
            <wp:extent cx="6000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-1278890</wp:posOffset>
            </wp:positionV>
            <wp:extent cx="6000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-1124585</wp:posOffset>
            </wp:positionV>
            <wp:extent cx="6000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-558165</wp:posOffset>
            </wp:positionV>
            <wp:extent cx="6000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15875</wp:posOffset>
            </wp:positionV>
            <wp:extent cx="6000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14,009,139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6000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(10,282,146)</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29,037,681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6000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$ 18,755,535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6000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ectPr>
          <w:pgSz w:w="11900" w:h="16838" w:orient="portrait"/>
          <w:cols w:equalWidth="0" w:num="2">
            <w:col w:w="9640" w:space="720"/>
            <w:col w:w="102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Casual Male Retail Group, Inc. 401(k) Salaried Savings Plan</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w:t>
      </w:r>
      <w:r>
        <w:rPr>
          <w:rFonts w:ascii="Arial" w:cs="Arial" w:eastAsia="Arial" w:hAnsi="Arial"/>
          <w:sz w:val="18"/>
          <w:szCs w:val="18"/>
          <w:u w:val="single" w:color="auto"/>
          <w:color w:val="auto"/>
        </w:rPr>
        <w:t>Description of the Plan</w:t>
      </w:r>
    </w:p>
    <w:p>
      <w:pPr>
        <w:spacing w:after="0" w:line="9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following description of Casual Male Retail Group, Inc. 401(k) Salaried Savings Plan (the “Plan”) provides only general information. Participants should refer to the Plan document for a more complete description of the Plan’s provisions.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9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Plan is a defined contribution plan covering certain eligible employees of the Casual Male Retail Group, Inc. (the “Company”). The Plan is subject to the provisions of the Employee Retirement Income Security Act of 1974 (ERISA).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Eligibility</w:t>
      </w:r>
    </w:p>
    <w:p>
      <w:pPr>
        <w:spacing w:after="0" w:line="90"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All regular, full-time (as defined in the Plan) salaried employees of the Company who have completed six months of employment and are at least 21 years of age are eligible to participate in the Plan. After completing age and service requirements, the employee can enter the Plan on the first day of any subsequent month.</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participants change positions at the Company, they may change from hourly to salary status or vice versa. Assets transferred to the Casual Male Retail Group, Inc. 401(k) Hourly Savings Plan during the year ended December 31, 2008 were $89,030. Assets transferred from the Casual Male Retail Group, Inc. 401(k) Hourly Savings Plan during the year ended December 31, 2008 were $36,448.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Contributions</w:t>
      </w:r>
    </w:p>
    <w:p>
      <w:pPr>
        <w:spacing w:after="0" w:line="90"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Each year, participants may contribute from 1% to 80% of pretax annual compensation as defined in the Plan, subject to the provisions of ERISA. Participants may also contribute amounts representing distributions from other qualified defined benefit or defined contribution plans.</w:t>
      </w:r>
    </w:p>
    <w:p>
      <w:pPr>
        <w:spacing w:after="0" w:line="8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Effective January 1, 2008, the Plan approved and adopted the Safe Harbor Matching provisions permitted under the Pension Protection Act of 2006. For the year ended December 31, 2008, the Company contributed a match equal to the sum of ( i ) 100% of the participant’s elective deferral for the first 1% of compensation plus ( ii ) 50% of the participant’s elective deferral for the next 5% of compensation.</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459" w:right="3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Casual Male Retail Group, Inc. 401(k) Salaried Savings Plan</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 </w:t>
      </w:r>
      <w:r>
        <w:rPr>
          <w:rFonts w:ascii="Arial" w:cs="Arial" w:eastAsia="Arial" w:hAnsi="Arial"/>
          <w:sz w:val="18"/>
          <w:szCs w:val="18"/>
          <w:u w:val="single" w:color="auto"/>
          <w:color w:val="auto"/>
        </w:rPr>
        <w:t>Description of the Plan (continued)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Automatic Enrollment</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Each employee who has satisfied the eligibility requirements shall be automatically enrolled and shall have an amount equal to 5% of their compensation automatically deferred unless the employee affirmatively elects a different elective deferral contribution percentage (including a zero percent election). Unless an eligible employee affirmatively elects not to contribute or changes it’s deferral rate, the pre-tax deferral will increase annually by 1% not to exceed 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Participants’ Accounts</w:t>
      </w:r>
    </w:p>
    <w:p>
      <w:pPr>
        <w:spacing w:after="0" w:line="90"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Each participant’s account is credited with the participant’s contributions, the Company’s matching contribution, plan earnings, and an allocation of plan expenses. The benefit to which a participant is entitled is the benefit that can be provided from the participant’s account.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Forfeitures</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Amounts forfeited under the Plan are used to reduce future employer contributions and administrative expenses. At December 31, 2008 and 2007, forfeited non-vested accounts totaled $13,028 and $44,272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w:t>
      </w:r>
    </w:p>
    <w:p>
      <w:pPr>
        <w:spacing w:after="0" w:line="90"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Participants are immediately vested in their contributions plus actual earnings thereon. Vesting in the Company contribution portion of their accounts plus actual earnings thereon is based on years of continuous service. Effective January 1, 2008 a participant is 100% vested after two years of credited service.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Options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Upon enrollment in the Plan, a participant may direct their elective contribution and Company contributions into various investment options offered by the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Participants may change their investment options at any time.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459" w:right="3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Casual Male Retail Group, Inc. 401(k) Salaried Savings Plan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 </w:t>
      </w:r>
      <w:r>
        <w:rPr>
          <w:rFonts w:ascii="Arial" w:cs="Arial" w:eastAsia="Arial" w:hAnsi="Arial"/>
          <w:sz w:val="18"/>
          <w:szCs w:val="18"/>
          <w:u w:val="single" w:color="auto"/>
          <w:color w:val="auto"/>
        </w:rPr>
        <w:t>Description of the Plan (continued)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Participant Loans</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Participants may borrow the lesser of $50,000 reduced by the individual’s highest outstanding loan balance during the preceding twelve months or 50% of the individual’s vested balance with a minimum of $1,000 per loan. Loan transactions are treated as a transfer to / (from) the investment fund from / (to) the Participant loans fund. Loans are secured by the balance in the participant’s account. Loan terms range from one to five years unless the loan is used to purchase a primary residence, in which case the loan may be repaid over a ten-year period. Other restrictions, as specified in the Plan agreement, may apply to a participant’s loan transaction. Interest rates range from 4.75% to 9.25% at December 31, 2008. Principal and interest is paid ratably through payroll deductions.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Expenses</w:t>
      </w:r>
    </w:p>
    <w:p>
      <w:pPr>
        <w:spacing w:after="0" w:line="9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accordance with the Plan, all administrative expenses may be paid out of the Plan unless paid by the Company. During 2008, certain administrative expenses were paid by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Benefits</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termination of service for any reason, a participant may receive a lump sum amount equal to the vested value of the participant’s vested interest in his or her account, if the vested interest is $5,000 or less. If the participant’s vested interest is over $5,000, the participant may elect to receive payment in a lump-sum amount or installments paid over a certain number of years selected by the participant.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Termination</w:t>
      </w:r>
    </w:p>
    <w:p>
      <w:pPr>
        <w:spacing w:after="0" w:line="9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Although it has not expressed any intent to do so, the Company has the right under the Plan to discontinue its contributions at any time and to terminate the Plan subject to the provisions of ERISA. In the event of a plan termination, participants will become 100% vested in their accounts.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2 - - </w:t>
      </w:r>
      <w:r>
        <w:rPr>
          <w:rFonts w:ascii="Arial" w:cs="Arial" w:eastAsia="Arial" w:hAnsi="Arial"/>
          <w:sz w:val="18"/>
          <w:szCs w:val="18"/>
          <w:u w:val="single" w:color="auto"/>
          <w:color w:val="auto"/>
        </w:rPr>
        <w:t>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Accounting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have been prepared on the accrual basis of accounting.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Casual Male Retail Group, Inc. 401(k) Salaried Savings Plan</w:t>
      </w:r>
    </w:p>
    <w:p>
      <w:pPr>
        <w:spacing w:after="0" w:line="17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Notes to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2 - </w:t>
      </w:r>
      <w:r>
        <w:rPr>
          <w:rFonts w:ascii="Arial" w:cs="Arial" w:eastAsia="Arial" w:hAnsi="Arial"/>
          <w:sz w:val="18"/>
          <w:szCs w:val="18"/>
          <w:u w:val="single" w:color="auto"/>
          <w:color w:val="auto"/>
        </w:rPr>
        <w:t>Summary of Significant Accounting Policies (Continued)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Accounting (continued)</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Fidelity Advisor Stable Value Fund invests in fully benefit-responsive investment contracts which are reported at fair value (see Note 5); however, contract value is the relevant measurement attribute for that portion of the net assets available for benefits attributable to fully benefit-responsive investment contracts because contract value is the amount participants would receive if they were to initiate permitted transactions under the terms of the plan. The Statement of Net Assets Available for Benefits presents the fair value of the investment contracts as well as the adjustment of the fully benefit-responsive investment contracts from fair value to contract value. The Statement of Changes in Net Assets Available for Benefits is prepared on a contract value basis.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Valuation</w:t>
      </w:r>
    </w:p>
    <w:p>
      <w:pPr>
        <w:spacing w:after="0" w:line="90"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Investments are stated at fair value. Fair value is the price that would be received to sell an asset or paid to transfer a liability in an orderly transaction between market participants at the measurement date (an exit price). See Note 5 for further discussion of fair value measurements.</w:t>
      </w:r>
    </w:p>
    <w:p>
      <w:pPr>
        <w:spacing w:after="0" w:line="85"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Purchases and sales of securities are recorded on a trade-date basis. Interest income is recorded on the accrual basis. Dividends are recorded on the ex-dividend date. Net depreciation includes the plan’s gains and losses on investments bought and sold as well as held during the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changes therein and disclosure of contingent assets and liabilities. Actual results could differ from those estimates.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Benefits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Benefits are recorded when paid.</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 401(k) Salaried Savings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3- </w:t>
      </w:r>
      <w:r>
        <w:rPr>
          <w:rFonts w:ascii="Arial" w:cs="Arial" w:eastAsia="Arial" w:hAnsi="Arial"/>
          <w:sz w:val="18"/>
          <w:szCs w:val="18"/>
          <w:u w:val="single" w:color="auto"/>
          <w:color w:val="auto"/>
        </w:rPr>
        <w:t>Investments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During 2008, the Plan’s investments (including investments purchased, sold as well as held during the year) depreciated in fair value as follows: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Net Depreciation</w:t>
            </w:r>
          </w:p>
        </w:tc>
      </w:tr>
      <w:tr>
        <w:trPr>
          <w:trHeight w:val="149"/>
        </w:trPr>
        <w:tc>
          <w:tcPr>
            <w:tcW w:w="52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1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in Fair Value of</w:t>
            </w:r>
          </w:p>
        </w:tc>
      </w:tr>
      <w:tr>
        <w:trPr>
          <w:trHeight w:val="161"/>
        </w:trPr>
        <w:tc>
          <w:tcPr>
            <w:tcW w:w="52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3"/>
              </w:rPr>
              <w:t>Investments</w:t>
            </w:r>
          </w:p>
        </w:tc>
        <w:tc>
          <w:tcPr>
            <w:tcW w:w="100" w:type="dxa"/>
            <w:vAlign w:val="bottom"/>
          </w:tcPr>
          <w:p>
            <w:pPr>
              <w:spacing w:after="0"/>
              <w:rPr>
                <w:sz w:val="14"/>
                <w:szCs w:val="14"/>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4260" w:type="dxa"/>
            <w:vAlign w:val="bottom"/>
            <w:gridSpan w:val="2"/>
            <w:shd w:val="clear" w:color="auto" w:fill="CCEEFF"/>
          </w:tcPr>
          <w:p>
            <w:pPr>
              <w:ind w:left="414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(8,470,002)</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Common Stock</w:t>
            </w: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(198,282)</w:t>
            </w:r>
          </w:p>
        </w:tc>
      </w:tr>
      <w:tr>
        <w:trPr>
          <w:trHeight w:val="27"/>
        </w:trPr>
        <w:tc>
          <w:tcPr>
            <w:tcW w:w="52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6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(8,668,284)</w:t>
            </w:r>
          </w:p>
        </w:tc>
      </w:tr>
      <w:tr>
        <w:trPr>
          <w:trHeight w:val="20"/>
        </w:trPr>
        <w:tc>
          <w:tcPr>
            <w:tcW w:w="52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Investments that represent 5% or more of the Plan’s net assets available for benefits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Advisor Stable Value Fund *</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4,457,492</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23.8%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3,674,041</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12.7%</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JP Morgan Equity Index</w:t>
            </w:r>
          </w:p>
        </w:tc>
        <w:tc>
          <w:tcPr>
            <w:tcW w:w="8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1,703,029</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2,919,883</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10.1%</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Advisor Freedom 2005</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1,635,784</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2,270,850</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T Rowe Price Growth Stock</w:t>
            </w:r>
          </w:p>
        </w:tc>
        <w:tc>
          <w:tcPr>
            <w:tcW w:w="8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1,364,018</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3,285,685</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11.3%</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Federated Bond Fund</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1,127,412</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Fidelity Advisor Freedom 2010</w:t>
            </w:r>
          </w:p>
        </w:tc>
        <w:tc>
          <w:tcPr>
            <w:tcW w:w="8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3,002,870</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10.3%</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Large Cap Value</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1,590,136</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Columbia Acorn Small Cap Value II</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1,468,648</w:t>
            </w:r>
          </w:p>
        </w:tc>
        <w:tc>
          <w:tcPr>
            <w:tcW w:w="4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7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10,287,735</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54.9%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18,212,113</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62.8%</w:t>
            </w: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8"/>
                <w:szCs w:val="18"/>
                <w:color w:val="auto"/>
              </w:rPr>
              <w:t>*</w:t>
            </w:r>
          </w:p>
        </w:tc>
        <w:tc>
          <w:tcPr>
            <w:tcW w:w="7040" w:type="dxa"/>
            <w:vAlign w:val="bottom"/>
            <w:vMerge w:val="restart"/>
          </w:tcPr>
          <w:p>
            <w:pPr>
              <w:ind w:left="180"/>
              <w:spacing w:after="0"/>
              <w:rPr>
                <w:sz w:val="20"/>
                <w:szCs w:val="20"/>
                <w:color w:val="auto"/>
              </w:rPr>
            </w:pPr>
            <w:r>
              <w:rPr>
                <w:rFonts w:ascii="Arial" w:cs="Arial" w:eastAsia="Arial" w:hAnsi="Arial"/>
                <w:sz w:val="18"/>
                <w:szCs w:val="18"/>
                <w:color w:val="auto"/>
              </w:rPr>
              <w:t>The amount represents contract value for this investment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80" w:type="dxa"/>
            <w:vAlign w:val="bottom"/>
            <w:vMerge w:val="continue"/>
          </w:tcPr>
          <w:p>
            <w:pPr>
              <w:spacing w:after="0"/>
              <w:rPr>
                <w:sz w:val="18"/>
                <w:szCs w:val="18"/>
                <w:color w:val="auto"/>
              </w:rPr>
            </w:pPr>
          </w:p>
        </w:tc>
        <w:tc>
          <w:tcPr>
            <w:tcW w:w="7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4- </w:t>
      </w:r>
      <w:r>
        <w:rPr>
          <w:rFonts w:ascii="Arial" w:cs="Arial" w:eastAsia="Arial" w:hAnsi="Arial"/>
          <w:sz w:val="18"/>
          <w:szCs w:val="18"/>
          <w:u w:val="single" w:color="auto"/>
          <w:color w:val="auto"/>
        </w:rPr>
        <w:t>Non Participant Directed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the net assets and the significant components of the change in net assets relating to the non participant directed investments is as follows: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Casual Male Retail Group, Inc. 401(k) Salaried Savings Plan</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4- </w:t>
      </w:r>
      <w:r>
        <w:rPr>
          <w:rFonts w:ascii="Arial" w:cs="Arial" w:eastAsia="Arial" w:hAnsi="Arial"/>
          <w:sz w:val="18"/>
          <w:szCs w:val="18"/>
          <w:u w:val="single" w:color="auto"/>
          <w:color w:val="auto"/>
        </w:rPr>
        <w:t>Non Participant Directed Investments (continued)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Net assets:</w:t>
      </w:r>
    </w:p>
    <w:p>
      <w:pPr>
        <w:spacing w:after="0" w:line="207" w:lineRule="exact"/>
        <w:rPr>
          <w:sz w:val="20"/>
          <w:szCs w:val="20"/>
          <w:color w:val="auto"/>
        </w:rPr>
      </w:pPr>
    </w:p>
    <w:p>
      <w:pPr>
        <w:jc w:val="center"/>
        <w:ind w:left="80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5690870</wp:posOffset>
            </wp:positionH>
            <wp:positionV relativeFrom="paragraph">
              <wp:posOffset>0</wp:posOffset>
            </wp:positionV>
            <wp:extent cx="9779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jc w:val="both"/>
        <w:ind w:left="9120"/>
        <w:spacing w:after="0"/>
        <w:tabs>
          <w:tab w:leader="none" w:pos="10060" w:val="left"/>
        </w:tabs>
        <w:rPr>
          <w:sz w:val="20"/>
          <w:szCs w:val="20"/>
          <w:color w:val="auto"/>
        </w:rPr>
      </w:pPr>
      <w:r>
        <w:rPr>
          <w:rFonts w:ascii="Arial" w:cs="Arial" w:eastAsia="Arial" w:hAnsi="Arial"/>
          <w:sz w:val="14"/>
          <w:szCs w:val="14"/>
          <w:b w:val="1"/>
          <w:bCs w:val="1"/>
          <w:color w:val="auto"/>
        </w:rPr>
        <w:t>2008</w:t>
      </w:r>
      <w:r>
        <w:rPr>
          <w:sz w:val="20"/>
          <w:szCs w:val="20"/>
          <w:color w:val="auto"/>
        </w:rPr>
        <w:tab/>
      </w:r>
      <w:r>
        <w:rPr>
          <w:rFonts w:ascii="Arial" w:cs="Arial" w:eastAsia="Arial" w:hAnsi="Arial"/>
          <w:sz w:val="14"/>
          <w:szCs w:val="14"/>
          <w:b w:val="1"/>
          <w:bCs w:val="1"/>
          <w:color w:val="auto"/>
        </w:rPr>
        <w:t>2007</w:t>
      </w:r>
    </w:p>
    <w:p>
      <w:pPr>
        <w:spacing w:after="0" w:line="20" w:lineRule="exact"/>
        <w:rPr>
          <w:sz w:val="20"/>
          <w:szCs w:val="20"/>
          <w:color w:val="auto"/>
        </w:rPr>
      </w:pPr>
    </w:p>
    <w:tbl>
      <w:tblPr>
        <w:tblLayout w:type="fixed"/>
        <w:tblInd w:w="920" w:type="dxa"/>
        <w:tblCellMar>
          <w:top w:w="0" w:type="dxa"/>
          <w:left w:w="0" w:type="dxa"/>
          <w:bottom w:w="0" w:type="dxa"/>
          <w:right w:w="0" w:type="dxa"/>
        </w:tblCellMar>
      </w:tblPr>
      <w:tr>
        <w:trPr>
          <w:trHeight w:val="20"/>
        </w:trPr>
        <w:tc>
          <w:tcPr>
            <w:tcW w:w="52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190"/>
        </w:trPr>
        <w:tc>
          <w:tcPr>
            <w:tcW w:w="52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Fidelity Advisor Stable Value Fund</w:t>
            </w:r>
          </w:p>
        </w:tc>
        <w:tc>
          <w:tcPr>
            <w:tcW w:w="27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8"/>
                <w:szCs w:val="18"/>
                <w:color w:val="auto"/>
                <w:w w:val="86"/>
              </w:rPr>
              <w:t>$13,028</w:t>
            </w:r>
          </w:p>
        </w:tc>
        <w:tc>
          <w:tcPr>
            <w:tcW w:w="7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$44,272</w:t>
            </w:r>
          </w:p>
        </w:tc>
      </w:tr>
    </w:tbl>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Changes in net assets:</w:t>
      </w:r>
    </w:p>
    <w:p>
      <w:pPr>
        <w:sectPr>
          <w:pgSz w:w="11900" w:h="16838" w:orient="portrait"/>
          <w:cols w:equalWidth="0" w:num="1">
            <w:col w:w="11360"/>
          </w:cols>
          <w:pgMar w:left="240" w:top="459" w:right="29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Interest and dividend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Current year forfeitures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Forfeiture used for employer match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-114935</wp:posOffset>
            </wp:positionV>
            <wp:extent cx="6080125"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5- </w:t>
      </w:r>
      <w:r>
        <w:rPr>
          <w:rFonts w:ascii="Arial" w:cs="Arial" w:eastAsia="Arial" w:hAnsi="Arial"/>
          <w:sz w:val="18"/>
          <w:szCs w:val="18"/>
          <w:u w:val="single" w:color="auto"/>
          <w:color w:val="auto"/>
        </w:rPr>
        <w:t>Fair Value Measurements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960"/>
        <w:spacing w:after="0"/>
        <w:rPr>
          <w:sz w:val="20"/>
          <w:szCs w:val="20"/>
          <w:color w:val="auto"/>
        </w:rPr>
      </w:pPr>
      <w:r>
        <w:rPr>
          <w:rFonts w:ascii="Arial" w:cs="Arial" w:eastAsia="Arial" w:hAnsi="Arial"/>
          <w:sz w:val="14"/>
          <w:szCs w:val="14"/>
          <w:b w:val="1"/>
          <w:bCs w:val="1"/>
          <w:color w:val="auto"/>
        </w:rPr>
        <w:t>Year Ended</w:t>
      </w:r>
    </w:p>
    <w:p>
      <w:pPr>
        <w:spacing w:after="0" w:line="2" w:lineRule="exact"/>
        <w:rPr>
          <w:sz w:val="20"/>
          <w:szCs w:val="20"/>
          <w:color w:val="auto"/>
        </w:rPr>
      </w:pPr>
    </w:p>
    <w:p>
      <w:pPr>
        <w:jc w:val="center"/>
        <w:ind w:right="960"/>
        <w:spacing w:after="0"/>
        <w:rPr>
          <w:sz w:val="20"/>
          <w:szCs w:val="20"/>
          <w:color w:val="auto"/>
        </w:rPr>
      </w:pPr>
      <w:r>
        <w:rPr>
          <w:rFonts w:ascii="Arial" w:cs="Arial" w:eastAsia="Arial" w:hAnsi="Arial"/>
          <w:sz w:val="12"/>
          <w:szCs w:val="12"/>
          <w:b w:val="1"/>
          <w:bCs w:val="1"/>
          <w:u w:val="single" w:color="auto"/>
          <w:color w:val="auto"/>
        </w:rPr>
        <w:t>December 31, 2008</w:t>
      </w:r>
    </w:p>
    <w:p>
      <w:pPr>
        <w:spacing w:after="0" w:line="22" w:lineRule="exact"/>
        <w:rPr>
          <w:sz w:val="20"/>
          <w:szCs w:val="20"/>
          <w:color w:val="auto"/>
        </w:rPr>
      </w:pPr>
    </w:p>
    <w:p>
      <w:pPr>
        <w:ind w:left="840" w:hanging="840"/>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629</w:t>
      </w:r>
    </w:p>
    <w:p>
      <w:pPr>
        <w:spacing w:after="0" w:line="7"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6"/>
          <w:szCs w:val="16"/>
          <w:color w:val="auto"/>
        </w:rPr>
        <w:t>12,625</w:t>
      </w:r>
    </w:p>
    <w:p>
      <w:pPr>
        <w:spacing w:after="0" w:line="32" w:lineRule="exact"/>
        <w:rPr>
          <w:sz w:val="20"/>
          <w:szCs w:val="20"/>
          <w:color w:val="auto"/>
        </w:rPr>
      </w:pPr>
    </w:p>
    <w:p>
      <w:pPr>
        <w:jc w:val="right"/>
        <w:ind w:right="900"/>
        <w:spacing w:after="0"/>
        <w:rPr>
          <w:sz w:val="20"/>
          <w:szCs w:val="20"/>
          <w:color w:val="auto"/>
        </w:rPr>
      </w:pPr>
      <w:r>
        <w:rPr>
          <w:rFonts w:ascii="Arial" w:cs="Arial" w:eastAsia="Arial" w:hAnsi="Arial"/>
          <w:sz w:val="18"/>
          <w:szCs w:val="18"/>
          <w:color w:val="auto"/>
        </w:rPr>
        <w:t>(44,498)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946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0" w:lineRule="exact"/>
        <w:rPr>
          <w:sz w:val="20"/>
          <w:szCs w:val="20"/>
          <w:color w:val="auto"/>
        </w:rPr>
      </w:pPr>
    </w:p>
    <w:p>
      <w:pPr>
        <w:ind w:left="560" w:hanging="560"/>
        <w:spacing w:after="0"/>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(31,244)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6946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46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42545</wp:posOffset>
            </wp:positionV>
            <wp:extent cx="6946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626" w:lineRule="exact"/>
        <w:rPr>
          <w:sz w:val="20"/>
          <w:szCs w:val="20"/>
          <w:color w:val="auto"/>
        </w:rPr>
      </w:pPr>
    </w:p>
    <w:p>
      <w:pPr>
        <w:sectPr>
          <w:pgSz w:w="11900" w:h="16838" w:orient="portrait"/>
          <w:cols w:equalWidth="0" w:num="2">
            <w:col w:w="8580" w:space="720"/>
            <w:col w:w="2060"/>
          </w:cols>
          <w:pgMar w:left="240" w:top="459" w:right="299" w:bottom="1440" w:gutter="0" w:footer="0" w:header="0"/>
          <w:type w:val="continuous"/>
        </w:sectPr>
      </w:pPr>
    </w:p>
    <w:p>
      <w:pPr>
        <w:spacing w:after="0" w:line="298" w:lineRule="auto"/>
        <w:rPr>
          <w:sz w:val="20"/>
          <w:szCs w:val="20"/>
          <w:color w:val="auto"/>
        </w:rPr>
      </w:pPr>
      <w:r>
        <w:rPr>
          <w:rFonts w:ascii="Arial" w:cs="Arial" w:eastAsia="Arial" w:hAnsi="Arial"/>
          <w:sz w:val="16"/>
          <w:szCs w:val="16"/>
          <w:color w:val="auto"/>
        </w:rPr>
        <w:t xml:space="preserve">Effective January 1, 2008, the Plan adopted FASB Statement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which establishes a framework for measuring fair value. That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FASB Statement No. 157 are described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Level 1</w:t>
            </w:r>
          </w:p>
        </w:tc>
        <w:tc>
          <w:tcPr>
            <w:tcW w:w="10500" w:type="dxa"/>
            <w:vAlign w:val="bottom"/>
            <w:gridSpan w:val="2"/>
          </w:tcPr>
          <w:p>
            <w:pPr>
              <w:ind w:left="300"/>
              <w:spacing w:after="0"/>
              <w:rPr>
                <w:sz w:val="20"/>
                <w:szCs w:val="20"/>
                <w:color w:val="auto"/>
              </w:rPr>
            </w:pPr>
            <w:r>
              <w:rPr>
                <w:rFonts w:ascii="Arial" w:cs="Arial" w:eastAsia="Arial" w:hAnsi="Arial"/>
                <w:sz w:val="18"/>
                <w:szCs w:val="18"/>
                <w:color w:val="auto"/>
                <w:w w:val="88"/>
              </w:rPr>
              <w:t>Inputs to the valuation methodology are unadjusted quoted prices for identical assets or liabilities in active markets that the plan has the ability to</w:t>
            </w:r>
          </w:p>
        </w:tc>
      </w:tr>
      <w:tr>
        <w:trPr>
          <w:trHeight w:val="222"/>
        </w:trPr>
        <w:tc>
          <w:tcPr>
            <w:tcW w:w="840" w:type="dxa"/>
            <w:vAlign w:val="bottom"/>
          </w:tcPr>
          <w:p>
            <w:pPr>
              <w:spacing w:after="0"/>
              <w:rPr>
                <w:sz w:val="19"/>
                <w:szCs w:val="19"/>
                <w:color w:val="auto"/>
              </w:rPr>
            </w:pPr>
          </w:p>
        </w:tc>
        <w:tc>
          <w:tcPr>
            <w:tcW w:w="10500" w:type="dxa"/>
            <w:vAlign w:val="bottom"/>
            <w:gridSpan w:val="2"/>
          </w:tcPr>
          <w:p>
            <w:pPr>
              <w:ind w:left="300"/>
              <w:spacing w:after="0"/>
              <w:rPr>
                <w:sz w:val="20"/>
                <w:szCs w:val="20"/>
                <w:color w:val="auto"/>
              </w:rPr>
            </w:pPr>
            <w:r>
              <w:rPr>
                <w:rFonts w:ascii="Arial" w:cs="Arial" w:eastAsia="Arial" w:hAnsi="Arial"/>
                <w:sz w:val="18"/>
                <w:szCs w:val="18"/>
                <w:color w:val="auto"/>
              </w:rPr>
              <w:t>access.</w:t>
            </w:r>
          </w:p>
        </w:tc>
      </w:tr>
      <w:tr>
        <w:trPr>
          <w:trHeight w:val="412"/>
        </w:trPr>
        <w:tc>
          <w:tcPr>
            <w:tcW w:w="840" w:type="dxa"/>
            <w:vAlign w:val="bottom"/>
          </w:tcPr>
          <w:p>
            <w:pPr>
              <w:spacing w:after="0"/>
              <w:rPr>
                <w:sz w:val="20"/>
                <w:szCs w:val="20"/>
                <w:color w:val="auto"/>
              </w:rPr>
            </w:pPr>
            <w:r>
              <w:rPr>
                <w:rFonts w:ascii="Arial" w:cs="Arial" w:eastAsia="Arial" w:hAnsi="Arial"/>
                <w:sz w:val="18"/>
                <w:szCs w:val="18"/>
                <w:color w:val="auto"/>
              </w:rPr>
              <w:t>Level 2</w:t>
            </w:r>
          </w:p>
        </w:tc>
        <w:tc>
          <w:tcPr>
            <w:tcW w:w="10500" w:type="dxa"/>
            <w:vAlign w:val="bottom"/>
            <w:gridSpan w:val="2"/>
          </w:tcPr>
          <w:p>
            <w:pPr>
              <w:ind w:left="300"/>
              <w:spacing w:after="0"/>
              <w:rPr>
                <w:sz w:val="20"/>
                <w:szCs w:val="20"/>
                <w:color w:val="auto"/>
              </w:rPr>
            </w:pPr>
            <w:r>
              <w:rPr>
                <w:rFonts w:ascii="Arial" w:cs="Arial" w:eastAsia="Arial" w:hAnsi="Arial"/>
                <w:sz w:val="18"/>
                <w:szCs w:val="18"/>
                <w:color w:val="auto"/>
              </w:rPr>
              <w:t>Inputs to the valuation methodology include</w:t>
            </w:r>
          </w:p>
        </w:tc>
      </w:tr>
      <w:tr>
        <w:trPr>
          <w:trHeight w:val="216"/>
        </w:trPr>
        <w:tc>
          <w:tcPr>
            <w:tcW w:w="8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9940" w:type="dxa"/>
            <w:vAlign w:val="bottom"/>
          </w:tcPr>
          <w:p>
            <w:pPr>
              <w:ind w:left="180"/>
              <w:spacing w:after="0"/>
              <w:rPr>
                <w:sz w:val="20"/>
                <w:szCs w:val="20"/>
                <w:color w:val="auto"/>
              </w:rPr>
            </w:pPr>
            <w:r>
              <w:rPr>
                <w:rFonts w:ascii="Arial" w:cs="Arial" w:eastAsia="Arial" w:hAnsi="Arial"/>
                <w:sz w:val="18"/>
                <w:szCs w:val="18"/>
                <w:color w:val="auto"/>
              </w:rPr>
              <w:t>Quoted prices for similar assets or liabilities in active markets;</w:t>
            </w:r>
          </w:p>
        </w:tc>
      </w:tr>
      <w:tr>
        <w:trPr>
          <w:trHeight w:val="216"/>
        </w:trPr>
        <w:tc>
          <w:tcPr>
            <w:tcW w:w="8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9940" w:type="dxa"/>
            <w:vAlign w:val="bottom"/>
          </w:tcPr>
          <w:p>
            <w:pPr>
              <w:ind w:left="180"/>
              <w:spacing w:after="0"/>
              <w:rPr>
                <w:sz w:val="20"/>
                <w:szCs w:val="20"/>
                <w:color w:val="auto"/>
              </w:rPr>
            </w:pPr>
            <w:r>
              <w:rPr>
                <w:rFonts w:ascii="Arial" w:cs="Arial" w:eastAsia="Arial" w:hAnsi="Arial"/>
                <w:sz w:val="18"/>
                <w:szCs w:val="18"/>
                <w:color w:val="auto"/>
              </w:rPr>
              <w:t>Quoted prices for identical or similar assets or liabilities in inactive markets;</w:t>
            </w:r>
          </w:p>
        </w:tc>
      </w:tr>
      <w:tr>
        <w:trPr>
          <w:trHeight w:val="216"/>
        </w:trPr>
        <w:tc>
          <w:tcPr>
            <w:tcW w:w="8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9940" w:type="dxa"/>
            <w:vAlign w:val="bottom"/>
          </w:tcPr>
          <w:p>
            <w:pPr>
              <w:ind w:left="180"/>
              <w:spacing w:after="0"/>
              <w:rPr>
                <w:sz w:val="20"/>
                <w:szCs w:val="20"/>
                <w:color w:val="auto"/>
              </w:rPr>
            </w:pPr>
            <w:r>
              <w:rPr>
                <w:rFonts w:ascii="Arial" w:cs="Arial" w:eastAsia="Arial" w:hAnsi="Arial"/>
                <w:sz w:val="18"/>
                <w:szCs w:val="18"/>
                <w:color w:val="auto"/>
              </w:rPr>
              <w:t>Inputs other than quoted prices that are observable for the asset or liability;</w:t>
            </w:r>
          </w:p>
        </w:tc>
      </w:tr>
      <w:tr>
        <w:trPr>
          <w:trHeight w:val="222"/>
        </w:trPr>
        <w:tc>
          <w:tcPr>
            <w:tcW w:w="84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9940" w:type="dxa"/>
            <w:vAlign w:val="bottom"/>
          </w:tcPr>
          <w:p>
            <w:pPr>
              <w:ind w:left="180"/>
              <w:spacing w:after="0"/>
              <w:rPr>
                <w:sz w:val="20"/>
                <w:szCs w:val="20"/>
                <w:color w:val="auto"/>
              </w:rPr>
            </w:pPr>
            <w:r>
              <w:rPr>
                <w:rFonts w:ascii="Arial" w:cs="Arial" w:eastAsia="Arial" w:hAnsi="Arial"/>
                <w:sz w:val="18"/>
                <w:szCs w:val="18"/>
                <w:color w:val="auto"/>
              </w:rPr>
              <w:t>Inputs that are derived principally from or corroborated by observable market data by correlation or other means.</w:t>
            </w:r>
          </w:p>
        </w:tc>
      </w:tr>
    </w:tbl>
    <w:p>
      <w:pPr>
        <w:spacing w:after="0" w:line="156" w:lineRule="exact"/>
        <w:rPr>
          <w:sz w:val="20"/>
          <w:szCs w:val="20"/>
          <w:color w:val="auto"/>
        </w:rPr>
      </w:pPr>
    </w:p>
    <w:p>
      <w:pPr>
        <w:ind w:left="1140" w:right="540"/>
        <w:spacing w:after="0" w:line="268" w:lineRule="auto"/>
        <w:rPr>
          <w:sz w:val="20"/>
          <w:szCs w:val="20"/>
          <w:color w:val="auto"/>
        </w:rPr>
      </w:pPr>
      <w:r>
        <w:rPr>
          <w:rFonts w:ascii="Arial" w:cs="Arial" w:eastAsia="Arial" w:hAnsi="Arial"/>
          <w:sz w:val="18"/>
          <w:szCs w:val="18"/>
          <w:color w:val="auto"/>
        </w:rPr>
        <w:t>If the asset or liability has a specified (contractual) term, the level 2 input must be observable for substantially the full term of the asset or liability.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Casual Male Retail Group, Inc. 401(k) Salaried Savings Plan</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5 - </w:t>
      </w:r>
      <w:r>
        <w:rPr>
          <w:rFonts w:ascii="Arial" w:cs="Arial" w:eastAsia="Arial" w:hAnsi="Arial"/>
          <w:sz w:val="18"/>
          <w:szCs w:val="18"/>
          <w:u w:val="single" w:color="auto"/>
          <w:color w:val="auto"/>
        </w:rPr>
        <w:t>Fair Value Measurements (continued)</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5"/>
          <w:szCs w:val="15"/>
          <w:color w:val="auto"/>
        </w:rPr>
        <w:t>Inputs to the valuation methodology are unobservable and significant to the fair value measurement.</w:t>
      </w:r>
    </w:p>
    <w:p>
      <w:pPr>
        <w:spacing w:after="0" w:line="171"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8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Following is a description of the valuation methodologies used for assets measured at fair value. There have been no changes in the methodologies used at December 31, 2008 and 2007.</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Common stocks: </w:t>
      </w:r>
      <w:r>
        <w:rPr>
          <w:rFonts w:ascii="Arial" w:cs="Arial" w:eastAsia="Arial" w:hAnsi="Arial"/>
          <w:sz w:val="18"/>
          <w:szCs w:val="18"/>
          <w:color w:val="auto"/>
        </w:rPr>
        <w:t>Valued at the closing price reported on the active market on which the individual securities are traded.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Mutual funds: </w:t>
      </w:r>
      <w:r>
        <w:rPr>
          <w:rFonts w:ascii="Arial" w:cs="Arial" w:eastAsia="Arial" w:hAnsi="Arial"/>
          <w:sz w:val="18"/>
          <w:szCs w:val="18"/>
          <w:color w:val="auto"/>
        </w:rPr>
        <w:t>Valued at the net asset value (NAV) of shares held by the plan at year end.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Participant loans: </w:t>
      </w:r>
      <w:r>
        <w:rPr>
          <w:rFonts w:ascii="Arial" w:cs="Arial" w:eastAsia="Arial" w:hAnsi="Arial"/>
          <w:sz w:val="18"/>
          <w:szCs w:val="18"/>
          <w:color w:val="auto"/>
        </w:rPr>
        <w:t>Valued at amortized cost, which approximates fair value.</w:t>
      </w:r>
    </w:p>
    <w:p>
      <w:pPr>
        <w:spacing w:after="0" w:line="17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i w:val="1"/>
          <w:iCs w:val="1"/>
          <w:color w:val="auto"/>
        </w:rPr>
        <w:t xml:space="preserve">Fidelity Advisor Stable Value Fund: </w:t>
      </w:r>
      <w:r>
        <w:rPr>
          <w:rFonts w:ascii="Arial" w:cs="Arial" w:eastAsia="Arial" w:hAnsi="Arial"/>
          <w:sz w:val="18"/>
          <w:szCs w:val="18"/>
          <w:color w:val="auto"/>
        </w:rPr>
        <w:t>Valued at fair value by discounting the related cash flows based on current yields of similar instruments with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durations considering the credit-worthiness of the issuer of the specific instruments of the fund at year-end.</w:t>
      </w:r>
    </w:p>
    <w:p>
      <w:pPr>
        <w:spacing w:after="0" w:line="13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preceding methods described may produce a fair value calculation that may not be indicative of net realizable value or reflective of future fair values. Furthermore, although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level, within the fair value hierarchy, the plan’s assets at fair value as of December 31, 2008.</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45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 401(k) Salaried Savings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5- Fair Value Measurements (continued)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Assets at Fair Value as of December 31,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9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47"/>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$ 12,429,317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$ 12,428,124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Common Stocks</w:t>
            </w:r>
          </w:p>
        </w:tc>
        <w:tc>
          <w:tcPr>
            <w:tcW w:w="920" w:type="dxa"/>
            <w:vAlign w:val="bottom"/>
          </w:tcPr>
          <w:p>
            <w:pPr>
              <w:jc w:val="right"/>
              <w:spacing w:after="0"/>
              <w:rPr>
                <w:sz w:val="20"/>
                <w:szCs w:val="20"/>
                <w:color w:val="auto"/>
              </w:rPr>
            </w:pPr>
            <w:r>
              <w:rPr>
                <w:rFonts w:ascii="Arial" w:cs="Arial" w:eastAsia="Arial" w:hAnsi="Arial"/>
                <w:sz w:val="18"/>
                <w:szCs w:val="18"/>
                <w:color w:val="auto"/>
              </w:rPr>
              <w:t>50,031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50,031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Common Collective Trusts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4,338,515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4,338,515</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Participant Loans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6"/>
              </w:rPr>
              <w:t>817,646</w:t>
            </w:r>
          </w:p>
        </w:tc>
        <w:tc>
          <w:tcPr>
            <w:tcW w:w="220" w:type="dxa"/>
            <w:vAlign w:val="bottom"/>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817,646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$ 12,479,348</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4,338,515</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817,646</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$ 17,635,509</w:t>
            </w:r>
          </w:p>
        </w:tc>
        <w:tc>
          <w:tcPr>
            <w:tcW w:w="20" w:type="dxa"/>
            <w:vAlign w:val="bottom"/>
          </w:tcPr>
          <w:p>
            <w:pPr>
              <w:spacing w:after="0"/>
              <w:rPr>
                <w:sz w:val="18"/>
                <w:szCs w:val="18"/>
                <w:color w:val="auto"/>
              </w:rPr>
            </w:pPr>
          </w:p>
        </w:tc>
      </w:tr>
      <w:tr>
        <w:trPr>
          <w:trHeight w:val="20"/>
        </w:trPr>
        <w:tc>
          <w:tcPr>
            <w:tcW w:w="7400" w:type="dxa"/>
            <w:vAlign w:val="bottom"/>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0"/>
        </w:trPr>
        <w:tc>
          <w:tcPr>
            <w:tcW w:w="9560" w:type="dxa"/>
            <w:vAlign w:val="bottom"/>
            <w:gridSpan w:val="7"/>
          </w:tcPr>
          <w:p>
            <w:pPr>
              <w:spacing w:after="0"/>
              <w:rPr>
                <w:sz w:val="20"/>
                <w:szCs w:val="20"/>
                <w:color w:val="auto"/>
              </w:rPr>
            </w:pPr>
            <w:r>
              <w:rPr>
                <w:rFonts w:ascii="Arial" w:cs="Arial" w:eastAsia="Arial" w:hAnsi="Arial"/>
                <w:sz w:val="18"/>
                <w:szCs w:val="18"/>
                <w:color w:val="auto"/>
                <w:w w:val="88"/>
              </w:rPr>
              <w:t>The following table sets forth a summary of changes in the fair value of the plan’s level 3 assets for the year ended December 31, 2008.</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0"/>
        </w:trPr>
        <w:tc>
          <w:tcPr>
            <w:tcW w:w="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Participant</w:t>
            </w:r>
          </w:p>
        </w:tc>
      </w:t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b w:val="1"/>
                <w:bCs w:val="1"/>
                <w:color w:val="auto"/>
              </w:rPr>
              <w:t>loans</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$ 669,053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Purchases, sales, issuances, and settlements (net)</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148,593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year</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$ 817,646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Note 6—</w:t>
      </w:r>
      <w:r>
        <w:rPr>
          <w:rFonts w:ascii="Arial" w:cs="Arial" w:eastAsia="Arial" w:hAnsi="Arial"/>
          <w:sz w:val="18"/>
          <w:szCs w:val="18"/>
          <w:u w:val="single" w:color="auto"/>
          <w:color w:val="auto"/>
        </w:rPr>
        <w:t>Risks and Uncertainties</w:t>
      </w:r>
    </w:p>
    <w:p>
      <w:pPr>
        <w:spacing w:after="0" w:line="90" w:lineRule="exact"/>
        <w:rPr>
          <w:sz w:val="20"/>
          <w:szCs w:val="20"/>
          <w:color w:val="auto"/>
        </w:rPr>
      </w:pPr>
    </w:p>
    <w:p>
      <w:pPr>
        <w:jc w:val="both"/>
        <w:ind w:right="20"/>
        <w:spacing w:after="0" w:line="335" w:lineRule="auto"/>
        <w:rPr>
          <w:sz w:val="20"/>
          <w:szCs w:val="20"/>
          <w:color w:val="auto"/>
        </w:rPr>
      </w:pPr>
      <w:r>
        <w:rPr>
          <w:rFonts w:ascii="Arial" w:cs="Arial" w:eastAsia="Arial" w:hAnsi="Arial"/>
          <w:sz w:val="15"/>
          <w:szCs w:val="15"/>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 401(k) Salaried Savings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7—</w:t>
      </w:r>
      <w:r>
        <w:rPr>
          <w:rFonts w:ascii="Arial" w:cs="Arial" w:eastAsia="Arial" w:hAnsi="Arial"/>
          <w:sz w:val="18"/>
          <w:szCs w:val="18"/>
          <w:u w:val="single" w:color="auto"/>
          <w:color w:val="auto"/>
        </w:rPr>
        <w:t>Income Tax Status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underlying non-standardized prototype plan has received an opinion letter from the Internal Revenue Service (IRS) dated August 9, 2002 stating that the form of the plan is qualified under Section 401 of the Internal Revenue Code (the “Code”) and, therefore, the related trust is tax-exempt. In accordance with Revenue Procedure 2002-6 and Announcement 2001-77, the Plan Sponsor has determined that it is eligible to and has chosen to rely on the current IRS prototype plan opinion letter. Once qualified, the Plan is required to operate in conformity with the Code to maintain its qualification. The Plan has been amended since receiving the determination letter. However, the plan administrator believes the Plan is being operated in compliance with the applicable requirements of the Code and, therefore, believes that the Plan is qualified and the related trust is tax-exempt.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8 – </w:t>
      </w:r>
      <w:r>
        <w:rPr>
          <w:rFonts w:ascii="Arial" w:cs="Arial" w:eastAsia="Arial" w:hAnsi="Arial"/>
          <w:sz w:val="18"/>
          <w:szCs w:val="18"/>
          <w:u w:val="single" w:color="auto"/>
          <w:color w:val="auto"/>
        </w:rPr>
        <w:t>Excess Deferred Compensation Contributions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Excess contributions to the Plan for the year ended December 31, 2008 were $ 1,242. Prior to March 15, 2009, $245 was paid and is shown as a deduction against contributions for the year ended December 31, 2008. Subsequent to March 15, 2009, $997 was paid and will be shown as a distribution for the year ended December 31, 2009.</w:t>
      </w:r>
    </w:p>
    <w:p>
      <w:pPr>
        <w:spacing w:after="0" w:line="14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Excess contributions to the Plan for the year ended December 31, 2007 were $12,370. The Plan returned $4,431 of the excess contribution to the participants on March 10, 2008, $387 was paid in 2008 and $7,552 can be used as catch up contributions. The $4,431 is recorded as a deduction from contributions for the year ended December 31, 2007, the $7,552 is shown as a contribution for the year ended December 31, 2008 and the $387 is shown as distributions for the year ended December 31, 2008.</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9- </w:t>
      </w:r>
      <w:r>
        <w:rPr>
          <w:rFonts w:ascii="Arial" w:cs="Arial" w:eastAsia="Arial" w:hAnsi="Arial"/>
          <w:sz w:val="18"/>
          <w:szCs w:val="18"/>
          <w:u w:val="single" w:color="auto"/>
          <w:color w:val="auto"/>
        </w:rPr>
        <w:t>Reconciliation of Financial Statement to Form 5500</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net assets available for benefits according to the financial statements to Form 5500 December 31, 2008 and 2007:</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9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9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$18,755,535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$29,037,681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Less: Adjustment from fair value to contract value for fully benefit-responsive investment contract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(118,977)</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Form 5500</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18,636,558</w:t>
            </w:r>
          </w:p>
        </w:tc>
        <w:tc>
          <w:tcPr>
            <w:tcW w:w="32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29,023,132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jc w:val="right"/>
              <w:ind w:right="3312"/>
              <w:spacing w:after="0"/>
              <w:rPr>
                <w:sz w:val="20"/>
                <w:szCs w:val="20"/>
                <w:color w:val="auto"/>
              </w:rPr>
            </w:pPr>
            <w:r>
              <w:rPr>
                <w:rFonts w:ascii="Arial" w:cs="Arial" w:eastAsia="Arial" w:hAnsi="Arial"/>
                <w:sz w:val="18"/>
                <w:szCs w:val="18"/>
                <w:color w:val="auto"/>
              </w:rPr>
              <w:t>13</w:t>
            </w: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20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Casual Male Retail Group, Inc. 401(k) Salaried Savings Plan</w:t>
      </w:r>
    </w:p>
    <w:p>
      <w:pPr>
        <w:spacing w:after="0" w:line="17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9 - </w:t>
      </w:r>
      <w:r>
        <w:rPr>
          <w:rFonts w:ascii="Arial" w:cs="Arial" w:eastAsia="Arial" w:hAnsi="Arial"/>
          <w:sz w:val="18"/>
          <w:szCs w:val="18"/>
          <w:u w:val="single" w:color="auto"/>
          <w:color w:val="auto"/>
        </w:rPr>
        <w:t>Reconciliation of Financial Statement to Form 5500 (continued)</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is a reconciliation of net depreciation in fair value of investments and interest and dividend income for the year ended December 31, 2008 per the financial statements to Form 5500:</w:t>
      </w:r>
    </w:p>
    <w:p>
      <w:pPr>
        <w:sectPr>
          <w:pgSz w:w="11900" w:h="16838" w:orient="portrait"/>
          <w:cols w:equalWidth="0" w:num="1">
            <w:col w:w="11260"/>
          </w:cols>
          <w:pgMar w:left="240" w:top="459" w:right="399" w:bottom="1440" w:gutter="0" w:footer="0" w:header="0"/>
        </w:sectPr>
      </w:pPr>
    </w:p>
    <w:p>
      <w:pPr>
        <w:spacing w:after="0" w:line="172" w:lineRule="exact"/>
        <w:rPr>
          <w:sz w:val="20"/>
          <w:szCs w:val="20"/>
          <w:color w:val="auto"/>
        </w:rPr>
      </w:pPr>
    </w:p>
    <w:p>
      <w:pPr>
        <w:ind w:left="920" w:right="2920"/>
        <w:spacing w:after="0" w:line="258" w:lineRule="auto"/>
        <w:rPr>
          <w:sz w:val="20"/>
          <w:szCs w:val="20"/>
          <w:color w:val="auto"/>
        </w:rPr>
      </w:pPr>
      <w:r>
        <w:rPr>
          <w:rFonts w:ascii="Arial" w:cs="Arial" w:eastAsia="Arial" w:hAnsi="Arial"/>
          <w:sz w:val="18"/>
          <w:szCs w:val="18"/>
          <w:color w:val="auto"/>
        </w:rPr>
        <w:t>Net depreciation in fair value of investments and interest and dividend income per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-276860</wp:posOffset>
            </wp:positionV>
            <wp:extent cx="6080125" cy="2832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80125" cy="28321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6"/>
          <w:szCs w:val="16"/>
          <w:color w:val="auto"/>
        </w:rPr>
        <w:t>Add: Adjustment from fair value to contract value for fully benefit-</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responsive investment contracts in 2008</w:t>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Less: Adjustment from fair value to contract value for fully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-111125</wp:posOffset>
            </wp:positionV>
            <wp:extent cx="6080125" cy="2832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80125" cy="283210"/>
                    </a:xfrm>
                    <a:prstGeom prst="rect">
                      <a:avLst/>
                    </a:prstGeom>
                    <a:noFill/>
                  </pic:spPr>
                </pic:pic>
              </a:graphicData>
            </a:graphic>
          </wp:anchor>
        </w:drawing>
      </w:r>
    </w:p>
    <w:p>
      <w:pPr>
        <w:spacing w:after="0" w:line="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responsive investment contracts in 2007</w:t>
      </w:r>
    </w:p>
    <w:p>
      <w:pPr>
        <w:spacing w:after="0" w:line="43" w:lineRule="exact"/>
        <w:rPr>
          <w:sz w:val="20"/>
          <w:szCs w:val="20"/>
          <w:color w:val="auto"/>
        </w:rPr>
      </w:pPr>
    </w:p>
    <w:p>
      <w:pPr>
        <w:ind w:left="920" w:right="2920"/>
        <w:spacing w:after="0" w:line="268" w:lineRule="auto"/>
        <w:rPr>
          <w:sz w:val="20"/>
          <w:szCs w:val="20"/>
          <w:color w:val="auto"/>
        </w:rPr>
      </w:pPr>
      <w:r>
        <w:rPr>
          <w:rFonts w:ascii="Arial" w:cs="Arial" w:eastAsia="Arial" w:hAnsi="Arial"/>
          <w:sz w:val="18"/>
          <w:szCs w:val="18"/>
          <w:color w:val="auto"/>
        </w:rPr>
        <w:t>Net depreciation in fair value of investments and interest and dividend income per Form 5500</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10 - </w:t>
      </w:r>
      <w:r>
        <w:rPr>
          <w:rFonts w:ascii="Arial" w:cs="Arial" w:eastAsia="Arial" w:hAnsi="Arial"/>
          <w:sz w:val="18"/>
          <w:szCs w:val="18"/>
          <w:u w:val="single" w:color="auto"/>
          <w:color w:val="auto"/>
        </w:rPr>
        <w:t>Subsequent Event</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ind w:left="120" w:hanging="111"/>
        <w:spacing w:after="0"/>
        <w:tabs>
          <w:tab w:leader="none" w:pos="120" w:val="left"/>
        </w:tabs>
        <w:numPr>
          <w:ilvl w:val="0"/>
          <w:numId w:val="6"/>
        </w:numPr>
        <w:rPr>
          <w:rFonts w:ascii="Arial" w:cs="Arial" w:eastAsia="Arial" w:hAnsi="Arial"/>
          <w:sz w:val="16"/>
          <w:szCs w:val="16"/>
          <w:color w:val="auto"/>
        </w:rPr>
      </w:pPr>
      <w:r>
        <w:rPr>
          <w:rFonts w:ascii="Arial" w:cs="Arial" w:eastAsia="Arial" w:hAnsi="Arial"/>
          <w:sz w:val="16"/>
          <w:szCs w:val="16"/>
          <w:color w:val="auto"/>
        </w:rPr>
        <w:t>(7,916,927)</w:t>
      </w:r>
    </w:p>
    <w:p>
      <w:pPr>
        <w:spacing w:after="0" w:line="261" w:lineRule="exact"/>
        <w:rPr>
          <w:rFonts w:ascii="Arial" w:cs="Arial" w:eastAsia="Arial" w:hAnsi="Arial"/>
          <w:sz w:val="16"/>
          <w:szCs w:val="16"/>
          <w:color w:val="auto"/>
        </w:rPr>
      </w:pPr>
    </w:p>
    <w:p>
      <w:pPr>
        <w:ind w:left="260"/>
        <w:spacing w:after="0"/>
        <w:rPr>
          <w:rFonts w:ascii="Arial" w:cs="Arial" w:eastAsia="Arial" w:hAnsi="Arial"/>
          <w:sz w:val="16"/>
          <w:szCs w:val="16"/>
          <w:color w:val="auto"/>
        </w:rPr>
      </w:pPr>
      <w:r>
        <w:rPr>
          <w:rFonts w:ascii="Arial" w:cs="Arial" w:eastAsia="Arial" w:hAnsi="Arial"/>
          <w:sz w:val="15"/>
          <w:szCs w:val="15"/>
          <w:color w:val="auto"/>
        </w:rPr>
        <w:t>(118,977)</w:t>
      </w:r>
    </w:p>
    <w:p>
      <w:pPr>
        <w:spacing w:after="0" w:line="273" w:lineRule="exact"/>
        <w:rPr>
          <w:rFonts w:ascii="Arial" w:cs="Arial" w:eastAsia="Arial" w:hAnsi="Arial"/>
          <w:sz w:val="16"/>
          <w:szCs w:val="16"/>
          <w:color w:val="auto"/>
        </w:rPr>
      </w:pPr>
    </w:p>
    <w:p>
      <w:pPr>
        <w:ind w:left="400"/>
        <w:spacing w:after="0"/>
        <w:rPr>
          <w:rFonts w:ascii="Arial" w:cs="Arial" w:eastAsia="Arial" w:hAnsi="Arial"/>
          <w:sz w:val="16"/>
          <w:szCs w:val="16"/>
          <w:color w:val="auto"/>
        </w:rPr>
      </w:pPr>
      <w:r>
        <w:rPr>
          <w:rFonts w:ascii="Arial" w:cs="Arial" w:eastAsia="Arial" w:hAnsi="Arial"/>
          <w:sz w:val="16"/>
          <w:szCs w:val="16"/>
          <w:color w:val="auto"/>
        </w:rPr>
        <w:t>14,549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25400</wp:posOffset>
            </wp:positionV>
            <wp:extent cx="5486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$(8,021,355</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5486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626" w:lineRule="exact"/>
        <w:rPr>
          <w:sz w:val="20"/>
          <w:szCs w:val="20"/>
          <w:color w:val="auto"/>
        </w:rPr>
      </w:pPr>
    </w:p>
    <w:p>
      <w:pPr>
        <w:sectPr>
          <w:pgSz w:w="11900" w:h="16838" w:orient="portrait"/>
          <w:cols w:equalWidth="0" w:num="2">
            <w:col w:w="8800" w:space="720"/>
            <w:col w:w="1740"/>
          </w:cols>
          <w:pgMar w:left="240" w:top="459" w:right="399" w:bottom="1440" w:gutter="0" w:footer="0" w:header="0"/>
          <w:type w:val="continuous"/>
        </w:sectPr>
      </w:pPr>
    </w:p>
    <w:p>
      <w:pPr>
        <w:ind w:right="460"/>
        <w:spacing w:after="0" w:line="332" w:lineRule="auto"/>
        <w:rPr>
          <w:sz w:val="20"/>
          <w:szCs w:val="20"/>
          <w:color w:val="auto"/>
        </w:rPr>
      </w:pPr>
      <w:r>
        <w:rPr>
          <w:rFonts w:ascii="Arial" w:cs="Arial" w:eastAsia="Arial" w:hAnsi="Arial"/>
          <w:sz w:val="16"/>
          <w:szCs w:val="16"/>
          <w:color w:val="auto"/>
        </w:rPr>
        <w:t>Effective May 31, 2009, the Company has cancelled the Safe Harbor Matching contribution. While there is no immediate intent to match the participant’s deferrals beyond pay period ending May 31, 2009, the Company retains the right to make a discretionary matching contribution.</w:t>
      </w:r>
    </w:p>
    <w:p>
      <w:pPr>
        <w:spacing w:after="0" w:line="7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60"/>
          </w:cols>
          <w:pgMar w:left="240" w:top="459" w:right="39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200"/>
        <w:spacing w:after="0"/>
        <w:rPr>
          <w:sz w:val="20"/>
          <w:szCs w:val="20"/>
          <w:color w:val="auto"/>
        </w:rPr>
      </w:pPr>
      <w:r>
        <w:rPr>
          <w:rFonts w:ascii="Arial" w:cs="Arial" w:eastAsia="Arial" w:hAnsi="Arial"/>
          <w:sz w:val="28"/>
          <w:szCs w:val="28"/>
          <w:b w:val="1"/>
          <w:bCs w:val="1"/>
          <w:color w:val="auto"/>
        </w:rPr>
        <w:t>Supplementary Schedule</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219"/>
          </w:cols>
          <w:pgMar w:left="240" w:top="45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Casual Male Retail Group, Inc. 401(k) Salaried Savings Plan</w:t>
      </w:r>
    </w:p>
    <w:p>
      <w:pPr>
        <w:spacing w:after="0" w:line="17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EIN: 04-2623104/Plan Number: 004</w:t>
      </w:r>
    </w:p>
    <w:p>
      <w:pPr>
        <w:spacing w:after="0" w:line="171"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Schedule H, Line 4i – Schedule of Assets Held For Investment Purposes at End of Year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4"/>
          </w:tcPr>
          <w:p>
            <w:pPr>
              <w:spacing w:after="0"/>
              <w:rPr>
                <w:sz w:val="20"/>
                <w:szCs w:val="20"/>
                <w:color w:val="auto"/>
              </w:rPr>
            </w:pPr>
            <w:r>
              <w:rPr>
                <w:rFonts w:ascii="Arial" w:cs="Arial" w:eastAsia="Arial" w:hAnsi="Arial"/>
                <w:sz w:val="14"/>
                <w:szCs w:val="14"/>
                <w:b w:val="1"/>
                <w:bCs w:val="1"/>
                <w:color w:val="auto"/>
              </w:rPr>
              <w:t>Identity of Issue,</w:t>
            </w:r>
          </w:p>
        </w:tc>
        <w:tc>
          <w:tcPr>
            <w:tcW w:w="7660" w:type="dxa"/>
            <w:vAlign w:val="bottom"/>
          </w:tcPr>
          <w:p>
            <w:pPr>
              <w:spacing w:after="0"/>
              <w:rPr>
                <w:sz w:val="20"/>
                <w:szCs w:val="20"/>
                <w:color w:val="auto"/>
              </w:rPr>
            </w:pPr>
            <w:r>
              <w:rPr>
                <w:rFonts w:ascii="Arial" w:cs="Arial" w:eastAsia="Arial" w:hAnsi="Arial"/>
                <w:sz w:val="14"/>
                <w:szCs w:val="14"/>
                <w:b w:val="1"/>
                <w:bCs w:val="1"/>
                <w:color w:val="auto"/>
              </w:rPr>
              <w:t>Description of investment including</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Borrower, Lessor,</w:t>
            </w:r>
          </w:p>
        </w:tc>
        <w:tc>
          <w:tcPr>
            <w:tcW w:w="7660" w:type="dxa"/>
            <w:vAlign w:val="bottom"/>
          </w:tcPr>
          <w:p>
            <w:pPr>
              <w:spacing w:after="0" w:line="149" w:lineRule="exact"/>
              <w:rPr>
                <w:sz w:val="20"/>
                <w:szCs w:val="20"/>
                <w:color w:val="auto"/>
              </w:rPr>
            </w:pPr>
            <w:r>
              <w:rPr>
                <w:rFonts w:ascii="Arial" w:cs="Arial" w:eastAsia="Arial" w:hAnsi="Arial"/>
                <w:sz w:val="14"/>
                <w:szCs w:val="14"/>
                <w:b w:val="1"/>
                <w:bCs w:val="1"/>
                <w:color w:val="auto"/>
              </w:rPr>
              <w:t>maturity date, rate of interest,</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580" w:type="dxa"/>
            <w:vAlign w:val="bottom"/>
            <w:gridSpan w:val="4"/>
          </w:tcPr>
          <w:p>
            <w:pPr>
              <w:spacing w:after="0"/>
              <w:rPr>
                <w:sz w:val="20"/>
                <w:szCs w:val="20"/>
                <w:color w:val="auto"/>
              </w:rPr>
            </w:pPr>
            <w:r>
              <w:rPr>
                <w:rFonts w:ascii="Arial" w:cs="Arial" w:eastAsia="Arial" w:hAnsi="Arial"/>
                <w:sz w:val="14"/>
                <w:szCs w:val="14"/>
                <w:b w:val="1"/>
                <w:bCs w:val="1"/>
                <w:color w:val="auto"/>
              </w:rPr>
              <w:t>or Similar Party</w:t>
            </w:r>
          </w:p>
        </w:tc>
        <w:tc>
          <w:tcPr>
            <w:tcW w:w="7660" w:type="dxa"/>
            <w:vAlign w:val="bottom"/>
          </w:tcPr>
          <w:p>
            <w:pPr>
              <w:spacing w:after="0"/>
              <w:rPr>
                <w:sz w:val="20"/>
                <w:szCs w:val="20"/>
                <w:color w:val="auto"/>
              </w:rPr>
            </w:pPr>
            <w:r>
              <w:rPr>
                <w:rFonts w:ascii="Arial" w:cs="Arial" w:eastAsia="Arial" w:hAnsi="Arial"/>
                <w:sz w:val="14"/>
                <w:szCs w:val="14"/>
                <w:b w:val="1"/>
                <w:bCs w:val="1"/>
                <w:color w:val="auto"/>
              </w:rPr>
              <w:t>collateral, par, or maturity value</w:t>
            </w:r>
          </w:p>
        </w:tc>
        <w:tc>
          <w:tcPr>
            <w:tcW w:w="20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Shares/Unit</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Current Value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1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Commingled funds</w:t>
            </w:r>
          </w:p>
        </w:tc>
        <w:tc>
          <w:tcPr>
            <w:tcW w:w="7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held through</w:t>
            </w:r>
          </w:p>
        </w:tc>
        <w:tc>
          <w:tcPr>
            <w:tcW w:w="7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Fidelity</w:t>
            </w:r>
          </w:p>
        </w:tc>
        <w:tc>
          <w:tcPr>
            <w:tcW w:w="7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Investments:</w:t>
            </w:r>
          </w:p>
        </w:tc>
        <w:tc>
          <w:tcPr>
            <w:tcW w:w="7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 Fidelity Advisor Stable Value Fund (1)</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4,457,492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4,338,515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Mutual funds held</w:t>
            </w:r>
          </w:p>
        </w:tc>
        <w:tc>
          <w:tcPr>
            <w:tcW w:w="7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through Fidelity</w:t>
            </w:r>
          </w:p>
        </w:tc>
        <w:tc>
          <w:tcPr>
            <w:tcW w:w="7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Investments:</w:t>
            </w:r>
          </w:p>
        </w:tc>
        <w:tc>
          <w:tcPr>
            <w:tcW w:w="7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Cash – interest bearing</w:t>
            </w:r>
          </w:p>
        </w:tc>
        <w:tc>
          <w:tcPr>
            <w:tcW w:w="20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 Fidelity Advisor Leveraged Company</w:t>
            </w:r>
          </w:p>
        </w:tc>
        <w:tc>
          <w:tcPr>
            <w:tcW w:w="120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34,602</w:t>
            </w:r>
          </w:p>
        </w:tc>
        <w:tc>
          <w:tcPr>
            <w:tcW w:w="14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603,111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Stock</w:t>
            </w:r>
          </w:p>
        </w:tc>
        <w:tc>
          <w:tcPr>
            <w:tcW w:w="120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 Fidelity Advisor High Income Adv</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14,177</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 Fidelity Advisor Strategic Income</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24,062</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235,081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 Fidelity Advisor Freedom 2010</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47,112</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 Fidelity Advisor Freedom 2020</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65,560</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561,191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 Fidelity Advisor Freedom 2030</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20,928</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 Fidelity Advisor Freedom 2040</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21,152</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177,250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 Fidelity Advisor Freedom Income</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 Fidelity Advisor Freedom 2005</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192,899</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1,635,784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 Fidelity Advisor Freedom 2015</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37,687</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 Fidelity Advisor Freedom 2025</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50,475</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409,349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 Fidelity Advisor Freedom 2035</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37,485</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 Fidelity Advisor Freedom 2045</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15,558</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100,815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 Fidelity Advisor Freedom 2050</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3,358</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21,257</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Federated Bond Fund</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152,559</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Columbia Acorn USA</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17,537</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278,837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First American Midcap Value</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22,345</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Columbia Acorn International</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34,840</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802,377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Columbia Acorn Small Cap Val II</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32,102</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JP Morgan Equity Index</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82,994</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1,703,029</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Columbia Acorn A</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20,765</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357,582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Goldman Sachs Large Cap Value</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79,113</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677,211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Alliance Bernstein International Value</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44,785</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461,287</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T Rowe Price Growth Stock</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71,753</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1,364,018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gridSpan w:val="3"/>
          </w:tcPr>
          <w:p>
            <w:pPr>
              <w:spacing w:after="0"/>
              <w:rPr>
                <w:sz w:val="20"/>
                <w:szCs w:val="20"/>
                <w:color w:val="auto"/>
              </w:rPr>
            </w:pPr>
            <w:r>
              <w:rPr>
                <w:rFonts w:ascii="Arial" w:cs="Arial" w:eastAsia="Arial" w:hAnsi="Arial"/>
                <w:sz w:val="18"/>
                <w:szCs w:val="18"/>
                <w:color w:val="auto"/>
              </w:rPr>
              <w:t>Common Stock</w:t>
            </w:r>
          </w:p>
        </w:tc>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tcPr>
          <w:p>
            <w:pPr>
              <w:ind w:left="200"/>
              <w:spacing w:after="0"/>
              <w:rPr>
                <w:sz w:val="20"/>
                <w:szCs w:val="20"/>
                <w:color w:val="auto"/>
              </w:rPr>
            </w:pPr>
            <w:r>
              <w:rPr>
                <w:rFonts w:ascii="Arial" w:cs="Arial" w:eastAsia="Arial" w:hAnsi="Arial"/>
                <w:sz w:val="18"/>
                <w:szCs w:val="18"/>
                <w:color w:val="auto"/>
              </w:rPr>
              <w:t>held through</w:t>
            </w:r>
          </w:p>
        </w:tc>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tcPr>
          <w:p>
            <w:pPr>
              <w:ind w:left="200"/>
              <w:spacing w:after="0"/>
              <w:rPr>
                <w:sz w:val="20"/>
                <w:szCs w:val="20"/>
                <w:color w:val="auto"/>
              </w:rPr>
            </w:pPr>
            <w:r>
              <w:rPr>
                <w:rFonts w:ascii="Arial" w:cs="Arial" w:eastAsia="Arial" w:hAnsi="Arial"/>
                <w:sz w:val="18"/>
                <w:szCs w:val="18"/>
                <w:color w:val="auto"/>
              </w:rPr>
              <w:t>Fidelity</w:t>
            </w:r>
          </w:p>
        </w:tc>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60" w:type="dxa"/>
            <w:vAlign w:val="bottom"/>
            <w:gridSpan w:val="3"/>
          </w:tcPr>
          <w:p>
            <w:pPr>
              <w:ind w:left="200"/>
              <w:spacing w:after="0"/>
              <w:rPr>
                <w:sz w:val="20"/>
                <w:szCs w:val="20"/>
                <w:color w:val="auto"/>
              </w:rPr>
            </w:pPr>
            <w:r>
              <w:rPr>
                <w:rFonts w:ascii="Arial" w:cs="Arial" w:eastAsia="Arial" w:hAnsi="Arial"/>
                <w:sz w:val="18"/>
                <w:szCs w:val="18"/>
                <w:color w:val="auto"/>
              </w:rPr>
              <w:t>Investments:</w:t>
            </w:r>
          </w:p>
        </w:tc>
        <w:tc>
          <w:tcPr>
            <w:tcW w:w="7660" w:type="dxa"/>
            <w:vAlign w:val="bottom"/>
          </w:tcPr>
          <w:p>
            <w:pPr>
              <w:spacing w:after="0"/>
              <w:rPr>
                <w:sz w:val="20"/>
                <w:szCs w:val="20"/>
                <w:color w:val="auto"/>
              </w:rPr>
            </w:pPr>
            <w:r>
              <w:rPr>
                <w:rFonts w:ascii="Arial" w:cs="Arial" w:eastAsia="Arial" w:hAnsi="Arial"/>
                <w:sz w:val="18"/>
                <w:szCs w:val="18"/>
                <w:color w:val="auto"/>
              </w:rPr>
              <w:t>*Casual Male Retail Group, Inc</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96,214</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50,031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Participant loans</w:t>
            </w: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4.75% - 9.25%</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817,646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17,635,509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7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Indicates party-in-interest to the Plan.</w:t>
      </w:r>
    </w:p>
    <w:p>
      <w:pPr>
        <w:spacing w:after="0" w:line="15" w:lineRule="exact"/>
        <w:rPr>
          <w:sz w:val="20"/>
          <w:szCs w:val="20"/>
          <w:color w:val="auto"/>
        </w:rPr>
      </w:pPr>
    </w:p>
    <w:p>
      <w:pPr>
        <w:ind w:left="5620" w:right="2160" w:hanging="5612"/>
        <w:spacing w:after="0" w:line="433" w:lineRule="auto"/>
        <w:tabs>
          <w:tab w:leader="none" w:pos="448"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$ 13,028 of non participant- directed, unallocated forfeitures for which historical cost approximates to current value. 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Index to Exhibits</w:t>
      </w:r>
    </w:p>
    <w:p>
      <w:pPr>
        <w:spacing w:after="0" w:line="32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Independent Registered Public Accounting Firm</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 pursuant to 18 U.S.C. Section 1350, as adopted pursuant to Section 906 of the Sarbanes –Oxley Act of 2002</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219"/>
          </w:cols>
          <w:pgMar w:left="240" w:top="45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 xml:space="preserve">The Plan. </w:t>
      </w:r>
      <w:r>
        <w:rPr>
          <w:rFonts w:ascii="Arial" w:cs="Arial" w:eastAsia="Arial" w:hAnsi="Arial"/>
          <w:sz w:val="18"/>
          <w:szCs w:val="18"/>
          <w:color w:val="auto"/>
        </w:rPr>
        <w:t>Pursuant to the requirements of the Securities Exchange Act of 1934, the trustees (or other persons who administer the employee benefit plan) have</w:t>
      </w:r>
      <w:r>
        <w:rPr>
          <w:rFonts w:ascii="Arial" w:cs="Arial" w:eastAsia="Arial" w:hAnsi="Arial"/>
          <w:sz w:val="18"/>
          <w:szCs w:val="18"/>
          <w:i w:val="1"/>
          <w:iCs w:val="1"/>
          <w:color w:val="auto"/>
        </w:rPr>
        <w:t xml:space="preserve"> </w:t>
      </w:r>
      <w:r>
        <w:rPr>
          <w:rFonts w:ascii="Arial" w:cs="Arial" w:eastAsia="Arial" w:hAnsi="Arial"/>
          <w:sz w:val="18"/>
          <w:szCs w:val="18"/>
          <w:color w:val="auto"/>
        </w:rPr>
        <w:t>duly caused this annual report to be signed on its behalf by the undersigned hereunto duly authorized.</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Casual Male Retail Group, Inc. 401(k) Salary Savings plan</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Dennis R. Hernreich, Executive Vice President,</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Chief Financial Officer and Chief Operating</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Officer of Casual Male Retail Group, Inc., the</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Plan Administrator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June 29, 2009</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240" w:top="459" w:right="55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23.1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Reg. No. 333-112218) of Casual Male Retail Group, Inc. of our report dated June 29, 2009, with respect to the financial statements and schedule of the Casual Male Retail Group, Inc. 401(k) Salaried Savings Plan included in this Annual Report (Form 11-K) for the year ended December 31, 2008.</w:t>
      </w:r>
    </w:p>
    <w:p>
      <w:pPr>
        <w:spacing w:after="0" w:line="221"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/s/ MHM Mahoney Cohen CPAs</w:t>
      </w:r>
    </w:p>
    <w:p>
      <w:pPr>
        <w:spacing w:after="0" w:line="15"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(The New York Practice of Mayer Hoffman McCann P.C.)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29, 2009</w:t>
      </w:r>
    </w:p>
    <w:p>
      <w:pPr>
        <w:sectPr>
          <w:pgSz w:w="11900" w:h="16838" w:orient="portrait"/>
          <w:cols w:equalWidth="0" w:num="1">
            <w:col w:w="11420"/>
          </w:cols>
          <w:pgMar w:left="240" w:top="125"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23.2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We consent to the incorporation by reference in the Registration Statement (Form S-8, Reg. No. 333-112218) of Casual Male Retail Group, Inc. of our report dated June 26, 2008, with respect to the statement of net assets available for benefits as of December 31, 2007 of the Casual Male Retail Group, Inc. 401(k) Salaried Savings Plan included in this Annual Report (Form 11-K) for the year ended December 31, 2008.</w:t>
      </w:r>
    </w:p>
    <w:p>
      <w:pPr>
        <w:spacing w:after="0" w:line="10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/s/ Mahoney Cohen &amp; Company, CPA P.C.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29, 2009</w:t>
      </w:r>
    </w:p>
    <w:p>
      <w:pPr>
        <w:sectPr>
          <w:pgSz w:w="11900" w:h="16838" w:orient="portrait"/>
          <w:cols w:equalWidth="0" w:num="1">
            <w:col w:w="11420"/>
          </w:cols>
          <w:pgMar w:left="240" w:top="125"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Of the Sarbanes-Oxley Act of 2002</w:t>
      </w:r>
    </w:p>
    <w:p>
      <w:pPr>
        <w:spacing w:after="0" w:line="16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 connection with the Annual Report on Form 11-K of the Casual Male Retail Group, Inc. 401(k) Salaried Saving Plan (the “Plan”) for the period ending December 31, 2008 as filed with the Securities and Exchange Commission on the date hereof (the “Report”), I, Dennis R. Hernreich, Executive Vice President, Chief Financial Officer and Chief Operating Officer of Casual Male Retail Group, Inc., the Plan Administrator, certify pursuant to 18 U.S.C. Section 1350, as adopted pursuant to Section 906 of the Sarbanes-Oxley Act of 2002, that:</w:t>
      </w:r>
    </w:p>
    <w:p>
      <w:pPr>
        <w:spacing w:after="0" w:line="62"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15(d) of the Securities Exchange Act of 1934, as amended (the “Exchange Act”); and</w:t>
      </w:r>
    </w:p>
    <w:p>
      <w:pPr>
        <w:spacing w:after="0" w:line="113" w:lineRule="exact"/>
        <w:rPr>
          <w:rFonts w:ascii="Arial" w:cs="Arial" w:eastAsia="Arial" w:hAnsi="Arial"/>
          <w:sz w:val="16"/>
          <w:szCs w:val="16"/>
          <w:color w:val="auto"/>
        </w:rPr>
      </w:pPr>
    </w:p>
    <w:p>
      <w:pPr>
        <w:ind w:left="900" w:right="58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net assets available for benefits, and changes in net assets available for benefits of the Plan.</w:t>
      </w:r>
    </w:p>
    <w:p>
      <w:pPr>
        <w:spacing w:after="0" w:line="132"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Casual Male Retail Group, Inc. and will be retained by Casual Male Retail Group, Inc. and furnished to the Securities and Exchange Commission or its staff upon request.</w:t>
      </w:r>
    </w:p>
    <w:p>
      <w:pPr>
        <w:spacing w:after="0" w:line="36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Operating Officer of Casual Male Retail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Group, Inc., the Plan Administrator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June 29, 2009</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2019-12-10T06:27:56Z</dcterms:created>
  <dcterms:modified xsi:type="dcterms:W3CDTF">2019-12-10T06:27:56Z</dcterms:modified>
</cp:coreProperties>
</file>