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October 7, 2016</w:t>
      </w:r>
    </w:p>
    <w:p>
      <w:pPr>
        <w:spacing w:after="0" w:line="23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333-112561</w:t>
      </w:r>
    </w:p>
    <w:p>
      <w:pPr>
        <w:spacing w:after="0" w:line="18" w:lineRule="exact"/>
        <w:rPr>
          <w:sz w:val="24"/>
          <w:szCs w:val="24"/>
          <w:color w:val="auto"/>
        </w:rPr>
      </w:pPr>
    </w:p>
    <w:p>
      <w:pPr>
        <w:jc w:val="right"/>
        <w:spacing w:after="0"/>
        <w:tabs>
          <w:tab w:leader="none" w:pos="800" w:val="left"/>
        </w:tabs>
        <w:rPr>
          <w:sz w:val="20"/>
          <w:szCs w:val="20"/>
          <w:color w:val="auto"/>
        </w:rPr>
      </w:pPr>
      <w:r>
        <w:rPr>
          <w:rFonts w:ascii="Times New Roman" w:cs="Times New Roman" w:eastAsia="Times New Roman" w:hAnsi="Times New Roman"/>
          <w:sz w:val="22"/>
          <w:szCs w:val="22"/>
          <w:b w:val="1"/>
          <w:bCs w:val="1"/>
          <w:color w:val="auto"/>
        </w:rPr>
        <w:t>Registration No.</w:t>
      </w:r>
      <w:r>
        <w:rPr>
          <w:sz w:val="20"/>
          <w:szCs w:val="20"/>
          <w:color w:val="auto"/>
        </w:rPr>
        <w:tab/>
      </w:r>
      <w:r>
        <w:rPr>
          <w:rFonts w:ascii="Times New Roman" w:cs="Times New Roman" w:eastAsia="Times New Roman" w:hAnsi="Times New Roman"/>
          <w:sz w:val="21"/>
          <w:szCs w:val="21"/>
          <w:b w:val="1"/>
          <w:bCs w:val="1"/>
          <w:color w:val="auto"/>
        </w:rPr>
        <w:t>33-52892</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8" w:lineRule="exact"/>
        <w:rPr>
          <w:sz w:val="24"/>
          <w:szCs w:val="24"/>
          <w:color w:val="auto"/>
        </w:rPr>
      </w:pPr>
    </w:p>
    <w:tbl>
      <w:tblPr>
        <w:tblLayout w:type="fixed"/>
        <w:tblInd w:w="800" w:type="dxa"/>
        <w:tblCellMar>
          <w:top w:w="0" w:type="dxa"/>
          <w:left w:w="0" w:type="dxa"/>
          <w:bottom w:w="0" w:type="dxa"/>
          <w:right w:w="0" w:type="dxa"/>
        </w:tblCellMar>
      </w:tblPr>
      <w:tr>
        <w:trPr>
          <w:trHeight w:val="297"/>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Times New Roman" w:cs="Times New Roman" w:eastAsia="Times New Roman" w:hAnsi="Times New Roman"/>
                <w:sz w:val="25"/>
                <w:szCs w:val="25"/>
                <w:b w:val="1"/>
                <w:bCs w:val="1"/>
                <w:color w:val="auto"/>
              </w:rPr>
              <w:t>Post-Effective Amendment No. 1</w:t>
            </w: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Times New Roman" w:cs="Times New Roman" w:eastAsia="Times New Roman" w:hAnsi="Times New Roman"/>
                <w:sz w:val="25"/>
                <w:szCs w:val="25"/>
                <w:b w:val="1"/>
                <w:bCs w:val="1"/>
                <w:color w:val="auto"/>
              </w:rPr>
              <w:t>to Form S-8</w:t>
            </w: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Times New Roman" w:cs="Times New Roman" w:eastAsia="Times New Roman" w:hAnsi="Times New Roman"/>
                <w:sz w:val="25"/>
                <w:szCs w:val="25"/>
                <w:b w:val="1"/>
                <w:bCs w:val="1"/>
                <w:color w:val="auto"/>
              </w:rPr>
              <w:t>Registration Statement</w:t>
            </w:r>
          </w:p>
        </w:tc>
        <w:tc>
          <w:tcPr>
            <w:tcW w:w="0" w:type="dxa"/>
            <w:vAlign w:val="bottom"/>
          </w:tcPr>
          <w:p>
            <w:pPr>
              <w:spacing w:after="0"/>
              <w:rPr>
                <w:sz w:val="1"/>
                <w:szCs w:val="1"/>
                <w:color w:val="auto"/>
              </w:rPr>
            </w:pPr>
          </w:p>
        </w:tc>
      </w:tr>
      <w:tr>
        <w:trPr>
          <w:trHeight w:val="335"/>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Times New Roman" w:cs="Times New Roman" w:eastAsia="Times New Roman" w:hAnsi="Times New Roman"/>
                <w:sz w:val="25"/>
                <w:szCs w:val="25"/>
                <w:b w:val="1"/>
                <w:bCs w:val="1"/>
                <w:color w:val="auto"/>
              </w:rPr>
              <w:t>under the Securities Act of 1933</w:t>
            </w:r>
          </w:p>
        </w:tc>
        <w:tc>
          <w:tcPr>
            <w:tcW w:w="0" w:type="dxa"/>
            <w:vAlign w:val="bottom"/>
          </w:tcPr>
          <w:p>
            <w:pPr>
              <w:spacing w:after="0"/>
              <w:rPr>
                <w:sz w:val="1"/>
                <w:szCs w:val="1"/>
                <w:color w:val="auto"/>
              </w:rPr>
            </w:pPr>
          </w:p>
        </w:tc>
      </w:tr>
      <w:tr>
        <w:trPr>
          <w:trHeight w:val="572"/>
        </w:trPr>
        <w:tc>
          <w:tcPr>
            <w:tcW w:w="2400" w:type="dxa"/>
            <w:vAlign w:val="bottom"/>
          </w:tcPr>
          <w:p>
            <w:pPr>
              <w:spacing w:after="0"/>
              <w:rPr>
                <w:sz w:val="24"/>
                <w:szCs w:val="24"/>
                <w:color w:val="auto"/>
              </w:rPr>
            </w:pPr>
          </w:p>
        </w:tc>
        <w:tc>
          <w:tcPr>
            <w:tcW w:w="6800" w:type="dxa"/>
            <w:vAlign w:val="bottom"/>
          </w:tcPr>
          <w:p>
            <w:pPr>
              <w:jc w:val="center"/>
              <w:ind w:right="1652"/>
              <w:spacing w:after="0"/>
              <w:rPr>
                <w:sz w:val="20"/>
                <w:szCs w:val="20"/>
                <w:color w:val="auto"/>
              </w:rPr>
            </w:pPr>
            <w:r>
              <w:rPr>
                <w:rFonts w:ascii="Times New Roman" w:cs="Times New Roman" w:eastAsia="Times New Roman" w:hAnsi="Times New Roman"/>
                <w:sz w:val="32"/>
                <w:szCs w:val="32"/>
                <w:b w:val="1"/>
                <w:bCs w:val="1"/>
                <w:color w:val="auto"/>
              </w:rPr>
              <w:t>DESTINATION XL GROUP, INC.</w:t>
            </w: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4"/>
                <w:szCs w:val="24"/>
                <w:color w:val="auto"/>
              </w:rPr>
            </w:pPr>
          </w:p>
        </w:tc>
        <w:tc>
          <w:tcPr>
            <w:tcW w:w="6800" w:type="dxa"/>
            <w:vAlign w:val="bottom"/>
          </w:tcPr>
          <w:p>
            <w:pPr>
              <w:jc w:val="center"/>
              <w:ind w:right="1672"/>
              <w:spacing w:after="0"/>
              <w:rPr>
                <w:sz w:val="20"/>
                <w:szCs w:val="20"/>
                <w:color w:val="auto"/>
              </w:rPr>
            </w:pPr>
            <w:r>
              <w:rPr>
                <w:rFonts w:ascii="Times New Roman" w:cs="Times New Roman" w:eastAsia="Times New Roman" w:hAnsi="Times New Roman"/>
                <w:sz w:val="22"/>
                <w:szCs w:val="22"/>
                <w:color w:val="auto"/>
                <w:w w:val="98"/>
              </w:rPr>
              <w:t>(Exact name of registrant as specified in its charter)</w:t>
            </w:r>
          </w:p>
        </w:tc>
        <w:tc>
          <w:tcPr>
            <w:tcW w:w="0" w:type="dxa"/>
            <w:vAlign w:val="bottom"/>
          </w:tcPr>
          <w:p>
            <w:pPr>
              <w:spacing w:after="0"/>
              <w:rPr>
                <w:sz w:val="1"/>
                <w:szCs w:val="1"/>
                <w:color w:val="auto"/>
              </w:rPr>
            </w:pPr>
          </w:p>
        </w:tc>
      </w:tr>
      <w:tr>
        <w:trPr>
          <w:trHeight w:val="660"/>
        </w:trPr>
        <w:tc>
          <w:tcPr>
            <w:tcW w:w="2400" w:type="dxa"/>
            <w:vAlign w:val="bottom"/>
          </w:tcPr>
          <w:p>
            <w:pPr>
              <w:jc w:val="center"/>
              <w:ind w:right="18"/>
              <w:spacing w:after="0"/>
              <w:rPr>
                <w:sz w:val="20"/>
                <w:szCs w:val="20"/>
                <w:color w:val="auto"/>
              </w:rPr>
            </w:pPr>
            <w:r>
              <w:rPr>
                <w:rFonts w:ascii="Times New Roman" w:cs="Times New Roman" w:eastAsia="Times New Roman" w:hAnsi="Times New Roman"/>
                <w:sz w:val="22"/>
                <w:szCs w:val="22"/>
                <w:b w:val="1"/>
                <w:bCs w:val="1"/>
                <w:color w:val="auto"/>
                <w:w w:val="96"/>
              </w:rPr>
              <w:t>Delaware</w:t>
            </w:r>
          </w:p>
        </w:tc>
        <w:tc>
          <w:tcPr>
            <w:tcW w:w="68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240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6800" w:type="dxa"/>
            <w:vAlign w:val="bottom"/>
          </w:tcPr>
          <w:p>
            <w:pPr>
              <w:jc w:val="center"/>
              <w:ind w:left="5652"/>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78"/>
        </w:trPr>
        <w:tc>
          <w:tcPr>
            <w:tcW w:w="24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6"/>
              </w:rPr>
              <w:t>of Incorporation)</w:t>
            </w:r>
          </w:p>
        </w:tc>
        <w:tc>
          <w:tcPr>
            <w:tcW w:w="6800" w:type="dxa"/>
            <w:vAlign w:val="bottom"/>
          </w:tcPr>
          <w:p>
            <w:pPr>
              <w:jc w:val="center"/>
              <w:ind w:left="5632"/>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c>
          <w:tcPr>
            <w:tcW w:w="0" w:type="dxa"/>
            <w:vAlign w:val="bottom"/>
          </w:tcPr>
          <w:p>
            <w:pPr>
              <w:spacing w:after="0"/>
              <w:rPr>
                <w:sz w:val="1"/>
                <w:szCs w:val="1"/>
                <w:color w:val="auto"/>
              </w:rPr>
            </w:pPr>
          </w:p>
        </w:tc>
      </w:tr>
      <w:tr>
        <w:trPr>
          <w:trHeight w:val="424"/>
        </w:trPr>
        <w:tc>
          <w:tcPr>
            <w:tcW w:w="240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555 Turnpike Street,</w:t>
            </w:r>
          </w:p>
        </w:tc>
        <w:tc>
          <w:tcPr>
            <w:tcW w:w="6800" w:type="dxa"/>
            <w:vAlign w:val="bottom"/>
            <w:vMerge w:val="restart"/>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02021</w:t>
            </w:r>
          </w:p>
        </w:tc>
        <w:tc>
          <w:tcPr>
            <w:tcW w:w="0" w:type="dxa"/>
            <w:vAlign w:val="bottom"/>
          </w:tcPr>
          <w:p>
            <w:pPr>
              <w:spacing w:after="0"/>
              <w:rPr>
                <w:sz w:val="1"/>
                <w:szCs w:val="1"/>
                <w:color w:val="auto"/>
              </w:rPr>
            </w:pPr>
          </w:p>
        </w:tc>
      </w:tr>
      <w:tr>
        <w:trPr>
          <w:trHeight w:val="222"/>
        </w:trPr>
        <w:tc>
          <w:tcPr>
            <w:tcW w:w="240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rPr>
              <w:t>Canton, Massachusetts</w:t>
            </w:r>
          </w:p>
        </w:tc>
        <w:tc>
          <w:tcPr>
            <w:tcW w:w="6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0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6800" w:type="dxa"/>
            <w:vAlign w:val="bottom"/>
          </w:tcPr>
          <w:p>
            <w:pPr>
              <w:jc w:val="center"/>
              <w:ind w:left="5632"/>
              <w:spacing w:after="0"/>
              <w:rPr>
                <w:sz w:val="20"/>
                <w:szCs w:val="20"/>
                <w:color w:val="auto"/>
              </w:rPr>
            </w:pPr>
            <w:r>
              <w:rPr>
                <w:rFonts w:ascii="Times New Roman" w:cs="Times New Roman" w:eastAsia="Times New Roman" w:hAnsi="Times New Roman"/>
                <w:sz w:val="14"/>
                <w:szCs w:val="14"/>
                <w:b w:val="1"/>
                <w:bCs w:val="1"/>
                <w:color w:val="auto"/>
                <w:w w:val="95"/>
              </w:rPr>
              <w:t>(Zip Code)</w:t>
            </w:r>
          </w:p>
        </w:tc>
        <w:tc>
          <w:tcPr>
            <w:tcW w:w="0" w:type="dxa"/>
            <w:vAlign w:val="bottom"/>
          </w:tcPr>
          <w:p>
            <w:pPr>
              <w:spacing w:after="0"/>
              <w:rPr>
                <w:sz w:val="1"/>
                <w:szCs w:val="1"/>
                <w:color w:val="auto"/>
              </w:rPr>
            </w:pPr>
          </w:p>
        </w:tc>
      </w:tr>
    </w:tbl>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DESTINATION XL GROUP, INC.</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1992 STOCK INCENTIVE PLAN</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(formerly known as Casual Male Retail Group, Inc. 1992 Stock Incentive Plan)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(Full title of the plan)</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Robert S. Molloy</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Senior Vice President, General Counsel and Secretary</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Destination XL Group, Inc.</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555 Turnpike Street</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Canton, Massachusetts 02021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and address of agent for service)</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(781) 828−9300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(Telephone number, including area code, of agent for service)</w:t>
      </w:r>
    </w:p>
    <w:p>
      <w:pPr>
        <w:spacing w:after="0" w:line="209" w:lineRule="exact"/>
        <w:rPr>
          <w:sz w:val="24"/>
          <w:szCs w:val="24"/>
          <w:color w:val="auto"/>
        </w:rPr>
      </w:pPr>
    </w:p>
    <w:p>
      <w:pPr>
        <w:jc w:val="both"/>
        <w:ind w:right="340"/>
        <w:spacing w:after="0" w:line="244" w:lineRule="auto"/>
        <w:rPr>
          <w:sz w:val="20"/>
          <w:szCs w:val="20"/>
          <w:color w:val="auto"/>
        </w:rPr>
      </w:pPr>
      <w:r>
        <w:rPr>
          <w:rFonts w:ascii="Times New Roman" w:cs="Times New Roman" w:eastAsia="Times New Roman" w:hAnsi="Times New Roman"/>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16" w:right="239" w:bottom="1440" w:gutter="0" w:footer="0" w:header="0"/>
        </w:sectPr>
      </w:pPr>
    </w:p>
    <w:p>
      <w:pPr>
        <w:spacing w:after="0" w:line="214" w:lineRule="exact"/>
        <w:rPr>
          <w:sz w:val="24"/>
          <w:szCs w:val="24"/>
          <w:color w:val="auto"/>
        </w:rPr>
      </w:pPr>
    </w:p>
    <w:p>
      <w:pPr>
        <w:ind w:left="420"/>
        <w:spacing w:after="0"/>
        <w:tabs>
          <w:tab w:leader="none" w:pos="3160" w:val="left"/>
        </w:tabs>
        <w:rPr>
          <w:sz w:val="20"/>
          <w:szCs w:val="20"/>
          <w:color w:val="auto"/>
        </w:rPr>
      </w:pPr>
      <w:r>
        <w:rPr>
          <w:rFonts w:ascii="Times New Roman" w:cs="Times New Roman" w:eastAsia="Times New Roman" w:hAnsi="Times New Roman"/>
          <w:sz w:val="22"/>
          <w:szCs w:val="22"/>
          <w:color w:val="auto"/>
        </w:rPr>
        <w:t>Large accelerated filer</w:t>
      </w:r>
      <w:r>
        <w:rPr>
          <w:sz w:val="20"/>
          <w:szCs w:val="20"/>
          <w:color w:val="auto"/>
        </w:rPr>
        <w:tab/>
      </w:r>
      <w:r>
        <w:rPr>
          <w:rFonts w:ascii="Times New Roman" w:cs="Times New Roman" w:eastAsia="Times New Roman" w:hAnsi="Times New Roman"/>
          <w:sz w:val="19"/>
          <w:szCs w:val="19"/>
          <w:color w:val="auto"/>
        </w:rPr>
        <w:t>o</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Accelerated filer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16" w:lineRule="exact"/>
        <w:rPr>
          <w:sz w:val="24"/>
          <w:szCs w:val="24"/>
          <w:color w:val="auto"/>
        </w:rPr>
      </w:pPr>
    </w:p>
    <w:p>
      <w:pPr>
        <w:sectPr>
          <w:pgSz w:w="11900" w:h="16838" w:orient="portrait"/>
          <w:cols w:equalWidth="0" w:num="3">
            <w:col w:w="4180" w:space="720"/>
            <w:col w:w="1440" w:space="120"/>
            <w:col w:w="4960"/>
          </w:cols>
          <w:pgMar w:left="240" w:top="216" w:right="239" w:bottom="1440" w:gutter="0" w:footer="0" w:header="0"/>
          <w:type w:val="continuous"/>
        </w:sectPr>
      </w:pPr>
    </w:p>
    <w:p>
      <w:pPr>
        <w:ind w:left="420"/>
        <w:spacing w:after="0"/>
        <w:tabs>
          <w:tab w:leader="none" w:pos="3160" w:val="left"/>
        </w:tabs>
        <w:rPr>
          <w:sz w:val="20"/>
          <w:szCs w:val="20"/>
          <w:color w:val="auto"/>
        </w:rPr>
      </w:pPr>
      <w:r>
        <w:rPr>
          <w:rFonts w:ascii="Times New Roman" w:cs="Times New Roman" w:eastAsia="Times New Roman" w:hAnsi="Times New Roman"/>
          <w:sz w:val="22"/>
          <w:szCs w:val="22"/>
          <w:color w:val="auto"/>
        </w:rPr>
        <w:t>Non-accelerated filer</w:t>
      </w:r>
      <w:r>
        <w:rPr>
          <w:sz w:val="20"/>
          <w:szCs w:val="20"/>
          <w:color w:val="auto"/>
        </w:rPr>
        <w:tab/>
      </w:r>
      <w:r>
        <w:rPr>
          <w:rFonts w:ascii="Times New Roman" w:cs="Times New Roman" w:eastAsia="Times New Roman" w:hAnsi="Times New Roman"/>
          <w:sz w:val="19"/>
          <w:szCs w:val="19"/>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21"/>
          <w:szCs w:val="21"/>
          <w:color w:val="auto"/>
        </w:rPr>
        <w:t>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o</w:t>
      </w:r>
    </w:p>
    <w:p>
      <w:pPr>
        <w:spacing w:after="0" w:line="3" w:lineRule="exact"/>
        <w:rPr>
          <w:sz w:val="24"/>
          <w:szCs w:val="24"/>
          <w:color w:val="auto"/>
        </w:rPr>
      </w:pPr>
    </w:p>
    <w:p>
      <w:pPr>
        <w:sectPr>
          <w:pgSz w:w="11900" w:h="16838" w:orient="portrait"/>
          <w:cols w:equalWidth="0" w:num="3">
            <w:col w:w="7000" w:space="720"/>
            <w:col w:w="2380" w:space="640"/>
            <w:col w:w="680"/>
          </w:cols>
          <w:pgMar w:left="240" w:top="21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type w:val="continuous"/>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color w:val="auto"/>
        </w:rPr>
        <w:t>EXPLANATORY NOTE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Post-Effective Amendment No.1 (this “Post-Effective Amendment”) to each of the following Registration Statements on Form S-8 (the “Prior Registration Statements”) of Destination XL Group, Inc. (formerly known as Casual Male Retail Group, Inc.) (the “Registrant”) relating to the offering and sale of shares of Common Stock under the Registrant’s 1992 Stock Incentive Plan (the “1992 Plan): (i) Registration Statement on Form S-8, File No. 333-112561, filed with the Securities and Exchange Commission on February 4, 2004, and (ii) Registration Statement on Form S-8, File No. 33-52892, filed with the Securities and Exchange Commission on October 2, 1992, is being filed to deregister any and all securities that remain unsold pursuant to the Prior Registration Statements.</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DEREGISTRATION OF UNSOLD SECURITIES</w:t>
      </w:r>
    </w:p>
    <w:p>
      <w:pPr>
        <w:spacing w:after="0" w:line="200" w:lineRule="exact"/>
        <w:rPr>
          <w:sz w:val="20"/>
          <w:szCs w:val="20"/>
          <w:color w:val="auto"/>
        </w:rPr>
      </w:pPr>
    </w:p>
    <w:p>
      <w:pPr>
        <w:spacing w:after="0" w:line="24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accordance with the undertakings contained in the Prior Registration Statements, the Registrant hereby deregisters all shares of Common Stock that were previously registered under the Prior Registration Statements that remain unissued under the 1992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22"/>
          <w:szCs w:val="22"/>
          <w:b w:val="1"/>
          <w:bCs w:val="1"/>
          <w:color w:val="000033"/>
        </w:rPr>
        <w:t>SIGNATURES</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000033"/>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Town of Canton, Commonwealth of Massachusetts, on this 7th day of October 2016.</w:t>
      </w:r>
    </w:p>
    <w:p>
      <w:pPr>
        <w:spacing w:after="0" w:line="39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ESTINATION</w:t>
      </w:r>
      <w:r>
        <w:rPr>
          <w:rFonts w:ascii="Times New Roman" w:cs="Times New Roman" w:eastAsia="Times New Roman" w:hAnsi="Times New Roman"/>
          <w:sz w:val="18"/>
          <w:szCs w:val="18"/>
          <w:color w:val="auto"/>
        </w:rPr>
        <w:t xml:space="preserve"> XL G</w:t>
      </w:r>
      <w:r>
        <w:rPr>
          <w:rFonts w:ascii="Times New Roman" w:cs="Times New Roman" w:eastAsia="Times New Roman" w:hAnsi="Times New Roman"/>
          <w:sz w:val="14"/>
          <w:szCs w:val="14"/>
          <w:color w:val="auto"/>
        </w:rPr>
        <w:t>ROUP</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7, 2016</w:t>
      </w:r>
    </w:p>
    <w:p>
      <w:pPr>
        <w:spacing w:after="0" w:line="24" w:lineRule="exact"/>
        <w:rPr>
          <w:sz w:val="20"/>
          <w:szCs w:val="20"/>
          <w:color w:val="auto"/>
        </w:rPr>
      </w:pPr>
    </w:p>
    <w:p>
      <w:pPr>
        <w:ind w:left="6820"/>
        <w:spacing w:after="0"/>
        <w:tabs>
          <w:tab w:leader="none" w:pos="8520" w:val="left"/>
        </w:tabs>
        <w:rPr>
          <w:sz w:val="20"/>
          <w:szCs w:val="20"/>
          <w:color w:val="auto"/>
        </w:rPr>
      </w:pPr>
      <w:r>
        <w:rPr>
          <w:rFonts w:ascii="Times New Roman" w:cs="Times New Roman" w:eastAsia="Times New Roman" w:hAnsi="Times New Roman"/>
          <w:sz w:val="18"/>
          <w:szCs w:val="18"/>
          <w:color w:val="000033"/>
        </w:rPr>
        <w:t>By:</w:t>
      </w:r>
      <w:r>
        <w:rPr>
          <w:sz w:val="20"/>
          <w:szCs w:val="20"/>
          <w:color w:val="auto"/>
        </w:rPr>
        <w:tab/>
      </w:r>
      <w:r>
        <w:rPr>
          <w:rFonts w:ascii="Times New Roman" w:cs="Times New Roman" w:eastAsia="Times New Roman" w:hAnsi="Times New Roman"/>
          <w:sz w:val="22"/>
          <w:szCs w:val="22"/>
          <w:color w:val="000033"/>
        </w:rPr>
        <w:t>/</w:t>
      </w:r>
      <w:r>
        <w:rPr>
          <w:rFonts w:ascii="Times New Roman" w:cs="Times New Roman" w:eastAsia="Times New Roman" w:hAnsi="Times New Roman"/>
          <w:sz w:val="18"/>
          <w:szCs w:val="18"/>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wp:posOffset>
            </wp:positionV>
            <wp:extent cx="2667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jc w:val="center"/>
        <w:ind w:left="7220"/>
        <w:spacing w:after="0" w:line="221" w:lineRule="auto"/>
        <w:rPr>
          <w:sz w:val="20"/>
          <w:szCs w:val="20"/>
          <w:color w:val="auto"/>
        </w:rPr>
      </w:pPr>
      <w:r>
        <w:rPr>
          <w:rFonts w:ascii="Times New Roman" w:cs="Times New Roman" w:eastAsia="Times New Roman" w:hAnsi="Times New Roman"/>
          <w:sz w:val="14"/>
          <w:szCs w:val="14"/>
          <w:b w:val="1"/>
          <w:bCs w:val="1"/>
          <w:color w:val="000033"/>
        </w:rPr>
        <w:t>Robert S. Molloy</w:t>
      </w:r>
    </w:p>
    <w:p>
      <w:pPr>
        <w:spacing w:after="0" w:line="1"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4"/>
          <w:szCs w:val="14"/>
          <w:b w:val="1"/>
          <w:bCs w:val="1"/>
          <w:color w:val="000033"/>
        </w:rPr>
        <w:t>Senior Vice President, General Counsel and Secretary</w:t>
      </w:r>
    </w:p>
    <w:sectPr>
      <w:pgSz w:w="11900" w:h="16838" w:orient="portrait"/>
      <w:cols w:equalWidth="0" w:num="1">
        <w:col w:w="11320"/>
      </w:cols>
      <w:pgMar w:left="240" w:top="3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2019-12-05T20:14:22Z</dcterms:created>
  <dcterms:modified xsi:type="dcterms:W3CDTF">2019-12-05T20:14:22Z</dcterms:modified>
</cp:coreProperties>
</file>