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480" w:right="2240" w:hanging="3472"/>
        <w:spacing w:after="0" w:line="313" w:lineRule="auto"/>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29, 2022 (Fiscal 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jc w:val="center"/>
        <w:ind w:left="4480" w:right="500" w:hanging="3964"/>
        <w:spacing w:after="0" w:line="281" w:lineRule="auto"/>
        <w:tabs>
          <w:tab w:leader="none" w:pos="71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01-34219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500" w:type="dxa"/>
            <w:vAlign w:val="bottom"/>
            <w:gridSpan w:val="2"/>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4500" w:type="dxa"/>
            <w:vAlign w:val="bottom"/>
            <w:gridSpan w:val="2"/>
          </w:tcPr>
          <w:p>
            <w:pPr>
              <w:jc w:val="right"/>
              <w:ind w:right="2311"/>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66"/>
        </w:trPr>
        <w:tc>
          <w:tcPr>
            <w:tcW w:w="4500" w:type="dxa"/>
            <w:vAlign w:val="bottom"/>
            <w:gridSpan w:val="2"/>
          </w:tcPr>
          <w:p>
            <w:pPr>
              <w:jc w:val="center"/>
              <w:ind w:left="106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2240" w:type="dxa"/>
            <w:vAlign w:val="bottom"/>
          </w:tcPr>
          <w:p>
            <w:pPr>
              <w:spacing w:after="0"/>
              <w:rPr>
                <w:sz w:val="14"/>
                <w:szCs w:val="14"/>
                <w:color w:val="auto"/>
              </w:rPr>
            </w:pPr>
          </w:p>
        </w:tc>
        <w:tc>
          <w:tcPr>
            <w:tcW w:w="4500" w:type="dxa"/>
            <w:vAlign w:val="bottom"/>
            <w:gridSpan w:val="2"/>
          </w:tcPr>
          <w:p>
            <w:pPr>
              <w:jc w:val="center"/>
              <w:ind w:right="1051"/>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347"/>
        </w:trPr>
        <w:tc>
          <w:tcPr>
            <w:tcW w:w="4500" w:type="dxa"/>
            <w:vAlign w:val="bottom"/>
            <w:gridSpan w:val="2"/>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2240" w:type="dxa"/>
            <w:vAlign w:val="bottom"/>
          </w:tcPr>
          <w:p>
            <w:pPr>
              <w:spacing w:after="0"/>
              <w:rPr>
                <w:sz w:val="24"/>
                <w:szCs w:val="24"/>
                <w:color w:val="auto"/>
              </w:rPr>
            </w:pPr>
          </w:p>
        </w:tc>
        <w:tc>
          <w:tcPr>
            <w:tcW w:w="4500" w:type="dxa"/>
            <w:vAlign w:val="bottom"/>
            <w:gridSpan w:val="2"/>
          </w:tcPr>
          <w:p>
            <w:pPr>
              <w:jc w:val="right"/>
              <w:ind w:right="2511"/>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66"/>
        </w:trPr>
        <w:tc>
          <w:tcPr>
            <w:tcW w:w="4500" w:type="dxa"/>
            <w:vAlign w:val="bottom"/>
            <w:gridSpan w:val="2"/>
          </w:tcPr>
          <w:p>
            <w:pPr>
              <w:jc w:val="center"/>
              <w:ind w:left="106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40" w:type="dxa"/>
            <w:vAlign w:val="bottom"/>
          </w:tcPr>
          <w:p>
            <w:pPr>
              <w:jc w:val="center"/>
              <w:ind w:right="181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86"/>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828-9300</w:t>
            </w:r>
          </w:p>
        </w:tc>
      </w:tr>
      <w:tr>
        <w:trPr>
          <w:trHeight w:val="122"/>
        </w:trPr>
        <w:tc>
          <w:tcPr>
            <w:tcW w:w="3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3740" w:type="dxa"/>
            <w:vAlign w:val="bottom"/>
          </w:tcPr>
          <w:p>
            <w:pPr>
              <w:spacing w:after="0"/>
              <w:rPr>
                <w:sz w:val="10"/>
                <w:szCs w:val="10"/>
                <w:color w:val="auto"/>
              </w:rPr>
            </w:pPr>
          </w:p>
        </w:tc>
      </w:tr>
      <w:tr>
        <w:trPr>
          <w:trHeight w:val="247"/>
        </w:trPr>
        <w:tc>
          <w:tcPr>
            <w:tcW w:w="1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7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DXLG</w:t>
            </w:r>
          </w:p>
        </w:tc>
        <w:tc>
          <w:tcPr>
            <w:tcW w:w="76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none.</w:t>
      </w:r>
    </w:p>
    <w:p>
      <w:pPr>
        <w:spacing w:after="0" w:line="26" w:lineRule="exact"/>
        <w:rPr>
          <w:sz w:val="24"/>
          <w:szCs w:val="24"/>
          <w:color w:val="auto"/>
        </w:rPr>
      </w:pPr>
    </w:p>
    <w:p>
      <w:pPr>
        <w:ind w:right="2600"/>
        <w:spacing w:after="0" w:line="22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40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3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12b-2 of the Exchange Act.</w:t>
      </w:r>
    </w:p>
    <w:p>
      <w:pPr>
        <w:spacing w:after="0" w:line="56" w:lineRule="exact"/>
        <w:rPr>
          <w:sz w:val="24"/>
          <w:szCs w:val="24"/>
          <w:color w:val="auto"/>
        </w:rPr>
      </w:pPr>
    </w:p>
    <w:tbl>
      <w:tblPr>
        <w:tblLayout w:type="fixed"/>
        <w:tblInd w:w="860" w:type="dxa"/>
        <w:tblCellMar>
          <w:top w:w="0" w:type="dxa"/>
          <w:left w:w="0" w:type="dxa"/>
          <w:bottom w:w="0" w:type="dxa"/>
          <w:right w:w="0" w:type="dxa"/>
        </w:tblCellMar>
      </w:tblP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80"/>
        <w:spacing w:after="0" w:line="225" w:lineRule="auto"/>
        <w:rPr>
          <w:sz w:val="20"/>
          <w:szCs w:val="20"/>
          <w:color w:val="auto"/>
        </w:rPr>
      </w:pPr>
      <w:r>
        <w:rPr>
          <w:rFonts w:ascii="Times New Roman" w:cs="Times New Roman" w:eastAsia="Times New Roman" w:hAnsi="Times New Roman"/>
          <w:sz w:val="16"/>
          <w:szCs w:val="16"/>
          <w:color w:val="auto"/>
        </w:rPr>
        <w:t>As of July 30, 2021, the aggregate market value of the Common Stock held by non-affiliates of the registrant was approximately $199.9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w:t>
      </w:r>
    </w:p>
    <w:p>
      <w:pPr>
        <w:spacing w:after="0"/>
        <w:rPr>
          <w:sz w:val="20"/>
          <w:szCs w:val="20"/>
          <w:color w:val="auto"/>
        </w:rPr>
      </w:pPr>
      <w:r>
        <w:rPr>
          <w:rFonts w:ascii="Times New Roman" w:cs="Times New Roman" w:eastAsia="Times New Roman" w:hAnsi="Times New Roman"/>
          <w:sz w:val="16"/>
          <w:szCs w:val="16"/>
          <w:color w:val="auto"/>
        </w:rPr>
        <w:t>purposes.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63,646,745 shares of Common Stock, $0.01 par value, outstanding as of May 13, 2022.</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Documents Incorporated by Reference: None.</w:t>
      </w:r>
    </w:p>
    <w:p>
      <w:pPr>
        <w:spacing w:after="0" w:line="38" w:lineRule="exact"/>
        <w:rPr>
          <w:sz w:val="24"/>
          <w:szCs w:val="24"/>
          <w:color w:val="auto"/>
        </w:rPr>
      </w:pPr>
    </w:p>
    <w:p>
      <w:pPr>
        <w:ind w:left="20"/>
        <w:spacing w:after="0"/>
        <w:tabs>
          <w:tab w:leader="none" w:pos="4280" w:val="left"/>
          <w:tab w:leader="none" w:pos="9800" w:val="left"/>
        </w:tabs>
        <w:rPr>
          <w:sz w:val="20"/>
          <w:szCs w:val="20"/>
          <w:color w:val="auto"/>
        </w:rPr>
      </w:pPr>
      <w:r>
        <w:rPr>
          <w:rFonts w:ascii="Times New Roman" w:cs="Times New Roman" w:eastAsia="Times New Roman" w:hAnsi="Times New Roman"/>
          <w:sz w:val="16"/>
          <w:szCs w:val="16"/>
          <w:color w:val="auto"/>
        </w:rPr>
        <w:t>Auditor Name: KPMG, LLC</w:t>
      </w:r>
      <w:r>
        <w:rPr>
          <w:sz w:val="20"/>
          <w:szCs w:val="20"/>
          <w:color w:val="auto"/>
        </w:rPr>
        <w:tab/>
      </w:r>
      <w:r>
        <w:rPr>
          <w:rFonts w:ascii="Times New Roman" w:cs="Times New Roman" w:eastAsia="Times New Roman" w:hAnsi="Times New Roman"/>
          <w:sz w:val="16"/>
          <w:szCs w:val="16"/>
          <w:color w:val="auto"/>
        </w:rPr>
        <w:t>Auditor Location: Boston, Massachusetts</w:t>
      </w:r>
      <w:r>
        <w:rPr>
          <w:sz w:val="20"/>
          <w:szCs w:val="20"/>
          <w:color w:val="auto"/>
        </w:rPr>
        <w:tab/>
      </w:r>
      <w:r>
        <w:rPr>
          <w:rFonts w:ascii="Times New Roman" w:cs="Times New Roman" w:eastAsia="Times New Roman" w:hAnsi="Times New Roman"/>
          <w:sz w:val="16"/>
          <w:szCs w:val="16"/>
          <w:color w:val="auto"/>
        </w:rPr>
        <w:t>Auditor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filing this Amendment No. 1 to our Annual Report on Form 10−K for the fiscal year ended January 29, 2022 (this “Form 10-K/A”) pursuant to General Instruction G(3) to Form 10−K for the purposes of filing the information required to be disclosed pursuant to Part III of Form 10−K.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for the amendments described above, this Form 10−K/A does not modify or update the disclosure in our Annual Report on Form 10−K for the fiscal year ended January 29, 2022 filed with the Securities and Exchange Commission on March 17, 2022.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8"/>
        </w:trPr>
        <w:tc>
          <w:tcPr>
            <w:tcW w:w="1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PART III</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4"/>
        </w:trPr>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Executive Compensation</w:t>
            </w:r>
          </w:p>
        </w:tc>
        <w:tc>
          <w:tcPr>
            <w:tcW w:w="2280" w:type="dxa"/>
            <w:vAlign w:val="bottom"/>
            <w:tcBorders>
              <w:top w:val="single" w:sz="8" w:color="0000EE"/>
            </w:tcBorders>
            <w:gridSpan w:val="3"/>
          </w:tcPr>
          <w:p>
            <w:pPr>
              <w:spacing w:after="0"/>
              <w:rPr>
                <w:sz w:val="17"/>
                <w:szCs w:val="17"/>
                <w:color w:val="auto"/>
              </w:rPr>
            </w:pPr>
          </w:p>
        </w:tc>
        <w:tc>
          <w:tcPr>
            <w:tcW w:w="488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6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352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32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5800" w:type="dxa"/>
            <w:vAlign w:val="bottom"/>
            <w:gridSpan w:val="4"/>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r>
      <w:tr>
        <w:trPr>
          <w:trHeight w:val="304"/>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SIGNATURES</w:t>
            </w:r>
          </w:p>
        </w:tc>
        <w:tc>
          <w:tcPr>
            <w:tcW w:w="894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83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40" w:type="dxa"/>
            <w:vAlign w:val="bottom"/>
            <w:gridSpan w:val="6"/>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13, 2022, current committee membership, and the year in which each became a director of our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Cybersecurity</w:t>
            </w:r>
          </w:p>
        </w:tc>
        <w:tc>
          <w:tcPr>
            <w:tcW w:w="0" w:type="dxa"/>
            <w:vAlign w:val="bottom"/>
          </w:tcPr>
          <w:p>
            <w:pPr>
              <w:spacing w:after="0"/>
              <w:rPr>
                <w:sz w:val="1"/>
                <w:szCs w:val="1"/>
                <w:color w:val="auto"/>
              </w:rPr>
            </w:pPr>
          </w:p>
        </w:tc>
      </w:tr>
      <w:tr>
        <w:trPr>
          <w:trHeight w:val="14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60" w:type="dxa"/>
            <w:vAlign w:val="bottom"/>
          </w:tcPr>
          <w:p>
            <w:pPr>
              <w:spacing w:after="0"/>
              <w:rPr>
                <w:sz w:val="12"/>
                <w:szCs w:val="12"/>
                <w:color w:val="auto"/>
              </w:rPr>
            </w:pP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Age</w:t>
            </w:r>
          </w:p>
        </w:tc>
        <w:tc>
          <w:tcPr>
            <w:tcW w:w="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2"/>
                <w:szCs w:val="12"/>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Governance </w:t>
            </w:r>
            <w:r>
              <w:rPr>
                <w:rFonts w:ascii="Times New Roman" w:cs="Times New Roman" w:eastAsia="Times New Roman" w:hAnsi="Times New Roman"/>
                <w:sz w:val="18"/>
                <w:szCs w:val="18"/>
                <w:b w:val="1"/>
                <w:bCs w:val="1"/>
                <w:color w:val="auto"/>
                <w:w w:val="97"/>
                <w:vertAlign w:val="superscript"/>
              </w:rPr>
              <w:t>(2)</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Data Privacy </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 of the Board and Director</w:t>
            </w: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Harvey S. Kanter, President and Chief Executive Officer and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Carmen Bauza, Director (1)</w:t>
            </w:r>
          </w:p>
        </w:tc>
        <w:tc>
          <w:tcPr>
            <w:tcW w:w="6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60</w:t>
            </w:r>
          </w:p>
        </w:tc>
        <w:tc>
          <w:tcPr>
            <w:tcW w:w="8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 Boyle, Director</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Willem Mesdag, Director</w:t>
            </w:r>
          </w:p>
        </w:tc>
        <w:tc>
          <w:tcPr>
            <w:tcW w:w="6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68</w:t>
            </w:r>
          </w:p>
        </w:tc>
        <w:tc>
          <w:tcPr>
            <w:tcW w:w="8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Ross, Director</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Elaine Rubin, Director</w:t>
            </w:r>
          </w:p>
        </w:tc>
        <w:tc>
          <w:tcPr>
            <w:tcW w:w="6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15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17, 2021, the Board of Directors expanded the size of the Board to seven members and appointed Ms. Bauza as a director.</w:t>
      </w:r>
    </w:p>
    <w:p>
      <w:pPr>
        <w:spacing w:after="0" w:line="27" w:lineRule="exact"/>
        <w:rPr>
          <w:rFonts w:ascii="Times New Roman" w:cs="Times New Roman" w:eastAsia="Times New Roman" w:hAnsi="Times New Roman"/>
          <w:sz w:val="18"/>
          <w:szCs w:val="18"/>
          <w:color w:val="auto"/>
        </w:rPr>
      </w:pPr>
    </w:p>
    <w:p>
      <w:pPr>
        <w:ind w:left="760" w:right="10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2022, Ms. Rubin replaced Ms. Ross as a member of the Nominating and Corporate Governance Committee. Ms. Bauza replaced Mr. Boyle as a member of the Cybersecurity and Data Privacy Committee and was added as a member of the Nominating and Corporate Governance Committee.</w:t>
      </w:r>
    </w:p>
    <w:p>
      <w:pPr>
        <w:spacing w:after="0" w:line="19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Lionel F. Conacher </w:t>
      </w:r>
      <w:r>
        <w:rPr>
          <w:rFonts w:ascii="Times New Roman" w:cs="Times New Roman" w:eastAsia="Times New Roman" w:hAnsi="Times New Roman"/>
          <w:sz w:val="18"/>
          <w:szCs w:val="18"/>
          <w:color w:val="auto"/>
        </w:rPr>
        <w:t>has been a director since June 2018 and became Chairman of the Board on August 12, 2020. Since November 2021, Mr. Conacher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the board of directors and as a member of the audit committee for Better Choice Company, a publicly-traded company.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18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Harvey S. Kanter </w:t>
      </w:r>
      <w:r>
        <w:rPr>
          <w:rFonts w:ascii="Times New Roman" w:cs="Times New Roman" w:eastAsia="Times New Roman" w:hAnsi="Times New Roman"/>
          <w:sz w:val="18"/>
          <w:szCs w:val="18"/>
          <w:color w:val="auto"/>
        </w:rPr>
        <w:t>is the President, Chief Executive Officer and a director of the Company. Mr. Kanter joined the Company in February 2019 in a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as Advisor to the Acting CEO and assumed the role of President and Chief Executive Officer and a director of the Company in April 2019. Mr. Kanter currently serves as a non-executive co-chair, Seattle University Center for Leadership Formation, Albers School of Business and Economics. Mr. Kanter served as a director and a member of the compensation committee of Potbelly Corporation, a publicly-traded company, from August 2015 until May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an extensive knowledge of omni-channel retailing, with strong strategic and operational expertise.</w:t>
      </w:r>
    </w:p>
    <w:p>
      <w:pPr>
        <w:spacing w:after="0" w:line="19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Carmen R. Bauza </w:t>
      </w:r>
      <w:r>
        <w:rPr>
          <w:rFonts w:ascii="Times New Roman" w:cs="Times New Roman" w:eastAsia="Times New Roman" w:hAnsi="Times New Roman"/>
          <w:sz w:val="18"/>
          <w:szCs w:val="18"/>
          <w:color w:val="auto"/>
        </w:rPr>
        <w:t>was appointed a director of the Company in December 2021. In May 2022, Ms. Bauza joined the board of directors of Zumiez,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publicly-traded company, and serves as a member of its audit committee. Ms. Bauza also serves as a member of the board of managers of Claire’s Holdings LLC. which she joined in October 2018. Most recently, Ms. Bauza served as the Chief Merchandising Officer at Fanatics, Inc. from January 2019 until April 2021. Prior to that, she was the Chief Merchandising Officer at HSN from November 2016 until December 2017 and the Senior Vice President, General Merchandise Manager Consumables, Health</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right="80"/>
        <w:spacing w:after="0" w:line="258" w:lineRule="auto"/>
        <w:rPr>
          <w:sz w:val="20"/>
          <w:szCs w:val="20"/>
          <w:color w:val="auto"/>
        </w:rPr>
      </w:pPr>
      <w:r>
        <w:rPr>
          <w:rFonts w:ascii="Times New Roman" w:cs="Times New Roman" w:eastAsia="Times New Roman" w:hAnsi="Times New Roman"/>
          <w:sz w:val="18"/>
          <w:szCs w:val="18"/>
          <w:color w:val="auto"/>
        </w:rPr>
        <w:t>and Wellness at Walmart from June 2007 to October 2016. 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16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February 2019, Mr. Boyle has been the global co-president of direct to consumer/omni-channel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Fanatics, Inc., a market leader for officially licensed sports merchandise. Mr. Boyle originally joined Fanatics as president of merchandising in June 2012, and from December 2017 to February 2019, served as co-president of North America direct to 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Since January 2005, Mr. Mesdag has been the managing partner of Red Mountain Capital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Ivy Ross </w:t>
      </w:r>
      <w:r>
        <w:rPr>
          <w:rFonts w:ascii="Times New Roman" w:cs="Times New Roman" w:eastAsia="Times New Roman" w:hAnsi="Times New Roman"/>
          <w:sz w:val="18"/>
          <w:szCs w:val="18"/>
          <w:color w:val="auto"/>
        </w:rPr>
        <w:t>has been a director since January 2013. In May 2014, Ms. Ross joined Google as head of Glass and is currently a vice president of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8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Elaine K. Rubin </w:t>
      </w:r>
      <w:r>
        <w:rPr>
          <w:rFonts w:ascii="Times New Roman" w:cs="Times New Roman" w:eastAsia="Times New Roman" w:hAnsi="Times New Roman"/>
          <w:sz w:val="18"/>
          <w:szCs w:val="18"/>
          <w:color w:val="auto"/>
        </w:rPr>
        <w:t>has been a director since April 2021. Since January 2010, Ms. Rubin has been the founder and president of Digital Prophets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which were formerly publicly-traded companies. Ms. Rubin co-founded shop.org in February 1996 and served as its elected chair of the board of directors from February 1996 to October 2007 and served on the board of the National Retail Federation (NRF) from 2001 until 2010. Ms. Rubin brings extensive knowledge and experience of digital commerce business and will provide a valuable insight to the Board as it continues to grow its direct business.</w:t>
      </w:r>
    </w:p>
    <w:p>
      <w:pPr>
        <w:spacing w:after="0" w:line="1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Non-Director Executive Officers</w:t>
      </w:r>
    </w:p>
    <w:p>
      <w:pPr>
        <w:spacing w:after="0" w:line="10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i w:val="1"/>
          <w:iCs w:val="1"/>
          <w:color w:val="auto"/>
        </w:rPr>
        <w:t>Peter H. Stratton, Jr.</w:t>
      </w:r>
      <w:r>
        <w:rPr>
          <w:rFonts w:ascii="Times New Roman" w:cs="Times New Roman" w:eastAsia="Times New Roman" w:hAnsi="Times New Roman"/>
          <w:sz w:val="18"/>
          <w:szCs w:val="18"/>
          <w:color w:val="auto"/>
        </w:rPr>
        <w:t>, 50, has been our Executive Vice President, Chief Financial Officer and Treasurer since November 2017. Prior to that, Mr. Stratton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9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Francis C. Chane, </w:t>
      </w:r>
      <w:r>
        <w:rPr>
          <w:rFonts w:ascii="Times New Roman" w:cs="Times New Roman" w:eastAsia="Times New Roman" w:hAnsi="Times New Roman"/>
          <w:sz w:val="18"/>
          <w:szCs w:val="18"/>
          <w:color w:val="auto"/>
        </w:rPr>
        <w:t>59, has been our Senior Vice President of Supply Chain and Customer Fulfillment since June 2011. Mr. Chane joined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2008 as our Vice President of Distribution &amp; Logistics. Prior to joining our Company, Mr. Chane was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vice president operations &amp; facilities for Redcats USA, a division of the French multi-national company PPR, from 1999 to June 2008. Prior to that,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Chane held various leadership positions with WearGuard Corporation, a division of Aramark Corporation.</w:t>
      </w:r>
    </w:p>
    <w:p>
      <w:pPr>
        <w:spacing w:after="0" w:line="191"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i w:val="1"/>
          <w:iCs w:val="1"/>
          <w:color w:val="auto"/>
        </w:rPr>
        <w:t>John F. Cooney</w:t>
      </w:r>
      <w:r>
        <w:rPr>
          <w:rFonts w:ascii="Times New Roman" w:cs="Times New Roman" w:eastAsia="Times New Roman" w:hAnsi="Times New Roman"/>
          <w:sz w:val="17"/>
          <w:szCs w:val="17"/>
          <w:color w:val="auto"/>
        </w:rPr>
        <w:t>, 39, has been our Senior Vice President, Corporate Controller and Chief Accounting Officer since March 2022. Prior to that, Mr. Cooney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the Vice President of Finance and Managing Director, Corporate Controller and Chief Accounting Officer from May 2018 until March 2022 and was our Vice President of Finance, Corporate Controller and Chief Accounting Officer from May 2015 until May 2018 and our Vice President of Finance and Corporate Controller from June 2014 until May 2015. From November 2010 until June 2014, Mr. Cooney was our Director of Financial Accounting and Reporting. Prior to joining the Company, Mr. Cooney was an audit manager with PricewaterhouseCoopers LLP, which he joined in August 2004.</w:t>
      </w:r>
    </w:p>
    <w:p>
      <w:pPr>
        <w:spacing w:after="0" w:line="1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i w:val="1"/>
          <w:iCs w:val="1"/>
          <w:color w:val="auto"/>
        </w:rPr>
        <w:t>Ujjwal Dhoot</w:t>
      </w:r>
      <w:r>
        <w:rPr>
          <w:rFonts w:ascii="Times New Roman" w:cs="Times New Roman" w:eastAsia="Times New Roman" w:hAnsi="Times New Roman"/>
          <w:sz w:val="18"/>
          <w:szCs w:val="18"/>
          <w:color w:val="auto"/>
        </w:rPr>
        <w:t>, 38, joined the Company in December 2019 as our Chief Digital Officer and in August 2020 was promoted to Chief Marketing Officer.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joining our Company, Mr. Dhoot was the chief marketing officer and chief product officer for Health E-Commerce, a hyper growth healthcare e-Commerce company, from January 2018 to December 2019. Prior to that, Mr. Dhoot was the vice president of marketing for Charming Charlie from March 2017 until April 2017 and their vice president of marketing and e-commerce from April 2017 until January 2018. From June 2013 until March 2016, Mr. Dhoot was the chief marketing officer of FSAstore.com. Prior to that, Mr. Dhoot held vice president of marketing positions at Jen Beckman Project, Inc. and PetCareRx, Inc.</w:t>
      </w:r>
    </w:p>
    <w:p>
      <w:pPr>
        <w:spacing w:after="0" w:line="182"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Anthony J. Gaeta, </w:t>
      </w:r>
      <w:r>
        <w:rPr>
          <w:rFonts w:ascii="Times New Roman" w:cs="Times New Roman" w:eastAsia="Times New Roman" w:hAnsi="Times New Roman"/>
          <w:sz w:val="18"/>
          <w:szCs w:val="18"/>
          <w:color w:val="auto"/>
        </w:rPr>
        <w:t>52, has been our Chief Stores Officer since March 2022. From November 2017 until March 2022, Mr. Gaeta was the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Store Sales and Operations. Prior to that, Mr. Gaeta was the Vice President of Store Operations and Training from November 2013 until November 2017 and a Zone Vice President from April 2010 until November 2013. Prior to joining the Company, Mr. Gaeta was a regional manager for Men’s Wearhouse from September 2007 until April 2010 and, prior to that, a regional vice president for After Hours Formalwear from March 2006 until September 2007.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Stacey A. Jones, </w:t>
      </w:r>
      <w:r>
        <w:rPr>
          <w:rFonts w:ascii="Times New Roman" w:cs="Times New Roman" w:eastAsia="Times New Roman" w:hAnsi="Times New Roman"/>
          <w:sz w:val="18"/>
          <w:szCs w:val="18"/>
          <w:color w:val="auto"/>
        </w:rPr>
        <w:t>51, has been our Chief Human Resources Officer since February 2021. From May 2018 until February 2021, she served as Vice President,</w:t>
      </w:r>
    </w:p>
    <w:p>
      <w:pPr>
        <w:spacing w:after="0" w:line="3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Managing Director of Human Resources. Prior to that, from April 2013 to April 2018, Ms. Jones was Vice President, Human Resources Operations. Ms. Jones joined the Company in October 2001 and has held a variety of positions in both Retail Operations and Human Resources. Prior to joining the Company, she held leadership positions with Converse, Inc., Jet Apparel and T.A.C. Group, Inc.</w:t>
      </w:r>
    </w:p>
    <w:p>
      <w:pPr>
        <w:spacing w:after="0" w:line="12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Robert S. Molloy, </w:t>
      </w:r>
      <w:r>
        <w:rPr>
          <w:rFonts w:ascii="Times New Roman" w:cs="Times New Roman" w:eastAsia="Times New Roman" w:hAnsi="Times New Roman"/>
          <w:sz w:val="18"/>
          <w:szCs w:val="18"/>
          <w:color w:val="auto"/>
        </w:rPr>
        <w:t>62, has been our General Counsel since February 2008 and Secretary of the Company since May 2014. From May 2018 until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Mr. Molloy also served as Chief Administrative Officer. Prior to joining the Company, Mr. Molloy served as the vice president, assistant general counsel at Staples, Inc. from May 1999 to February 2008. Prior to May 1999, Mr. Molloy was a trial attorney.</w:t>
      </w:r>
    </w:p>
    <w:p>
      <w:pPr>
        <w:spacing w:after="0" w:line="140"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8"/>
          <w:szCs w:val="18"/>
          <w:i w:val="1"/>
          <w:iCs w:val="1"/>
          <w:color w:val="auto"/>
        </w:rPr>
        <w:t>Allison Surette</w:t>
      </w:r>
      <w:r>
        <w:rPr>
          <w:rFonts w:ascii="Times New Roman" w:cs="Times New Roman" w:eastAsia="Times New Roman" w:hAnsi="Times New Roman"/>
          <w:sz w:val="18"/>
          <w:szCs w:val="18"/>
          <w:color w:val="auto"/>
        </w:rPr>
        <w:t>, 41, has been our Chief Merchandising Officer since March 2022. Prior to that, Ms. Surette was the Senior Vice President,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Manager from May 2018 to March 2022 and Vice President, Merchandise Manager of Private Label, Active, Young Men’s and Outerwear from September 2016 to May 2018.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1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2021, we believe that the Reporting Persons complied with all applicable Section 16(a) reporting requirements and that all required reports were filed in a timely manner.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0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a separately-designated standing Audit Committee established in accordance with section 3(a)(58)(A) of the Exchange Act. The Audit Committee is currently comprised of Messrs. Conacher, Mesdag and Ross. Each of the members of the Audit Committee is independent, as independence for Audit Committee members is defined under the rules of Nasdaq. Messrs. Conacher and Mesdag each qualify as an audit committee financial expert under the rules of the Securities Exchange Commission (the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from those that were described in our Definitive Proxy Statement for our 2021 Annual Meeting of Stockholders that was filed with the SEC on July 2, 2021.</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2021 (collectively, our “Named Executive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2021 were:</w:t>
      </w:r>
    </w:p>
    <w:p>
      <w:pPr>
        <w:spacing w:after="0" w:line="212" w:lineRule="exact"/>
        <w:rPr>
          <w:sz w:val="20"/>
          <w:szCs w:val="20"/>
          <w:color w:val="auto"/>
        </w:rPr>
      </w:pPr>
    </w:p>
    <w:p>
      <w:pPr>
        <w:ind w:left="1140" w:hanging="383"/>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Harvey S. Kanter, President, CEO and Director</w:t>
      </w:r>
    </w:p>
    <w:p>
      <w:pPr>
        <w:spacing w:after="0" w:line="15" w:lineRule="exact"/>
        <w:rPr>
          <w:rFonts w:ascii="MS PGothic" w:cs="MS PGothic" w:eastAsia="MS PGothic" w:hAnsi="MS PGothic"/>
          <w:sz w:val="18"/>
          <w:szCs w:val="18"/>
          <w:color w:val="auto"/>
        </w:rPr>
      </w:pPr>
    </w:p>
    <w:p>
      <w:pPr>
        <w:ind w:left="1140" w:hanging="383"/>
        <w:spacing w:after="0" w:line="234" w:lineRule="auto"/>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Peter H. Stratton, Jr., Executive Vice President, CFO and Treasurer</w:t>
      </w:r>
    </w:p>
    <w:p>
      <w:pPr>
        <w:ind w:left="1140" w:hanging="383"/>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Ujjwal Dhoot, Chief Marketing Officer</w:t>
      </w:r>
    </w:p>
    <w:p>
      <w:pPr>
        <w:spacing w:after="0" w:line="9" w:lineRule="exact"/>
        <w:rPr>
          <w:rFonts w:ascii="MS PGothic" w:cs="MS PGothic" w:eastAsia="MS PGothic" w:hAnsi="MS PGothic"/>
          <w:sz w:val="18"/>
          <w:szCs w:val="18"/>
          <w:color w:val="auto"/>
        </w:rPr>
      </w:pPr>
    </w:p>
    <w:p>
      <w:pPr>
        <w:ind w:left="1140" w:hanging="383"/>
        <w:spacing w:after="0" w:line="234" w:lineRule="auto"/>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Robert S. Molloy, General Counsel and Secretary</w:t>
      </w:r>
    </w:p>
    <w:p>
      <w:pPr>
        <w:ind w:left="1140" w:hanging="383"/>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Anthony J. Gaeta, Chief Stores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2021 Financial and Executive Compensation Highlights</w:t>
      </w:r>
    </w:p>
    <w:p>
      <w:pPr>
        <w:spacing w:after="0" w:line="11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financial plan for fiscal 2021 assumed that vaccines against the COVID-19 virus would be widely available and administered by the end of Spring 2021 and that the demand for apparel would gradually improve during fiscal 2021 as our customers were expected to begin to socialize and gather in groups outside the home. However, as early as the first quarter of fiscal 2021, we saw an acceleration in sales that continued throughout fiscal 2021 and, for the first time in the Company's history, sales exceeded $500 million. This sales growth, combined with improvements in gross margin, a restructured lease portfolio and lower operating expenses resulted in an adjusted EBITDA margin in excess of 15%, or $76.9 million, and earnings of $0.83 per diluted share. We also generated over $70 million in free cash flow during fiscal 2021, which enabled us to retire our long-term debt, pay off our revolver and renegotiate our credit facility on more favorable terms.</w:t>
      </w:r>
    </w:p>
    <w:p>
      <w:pPr>
        <w:spacing w:after="0" w:line="7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believe that our management team successfully executed on our key business objectives to drive new customer acquisition, improve customer retention, increase lifetime customer value, transform our digital business and reshape our store portfolio for future growth. Our management team also successfully managed inventory levels throughout fiscal 2021 by taking proactive measures to manage the significant and ongoing disruptions in the global supply chain. We ended fiscal 2021 with a strong balance sheet and sufficient liquidity to invest in the future growth of our business and return capital to shareholders through a stock repurchase program that was approved in April 2022.</w:t>
      </w:r>
    </w:p>
    <w:p>
      <w:pPr>
        <w:spacing w:after="0" w:line="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compensation earned by our Named Executive Officers in fiscal 2021 was directly tied to our fiscal 2021 financial results. The increase in compensation earned by our Named Executive Officers in fiscal 2021 as compared to fiscal 2020 was primarily due to an increase in the payout under our 2021 annual incentive plan (AIP) as we exceeded the maximum payout thresholds on each of the plan's two financial metrics. In addition, the increase in compensation in fiscal 2021 as compared to fiscal 2020 reflected an increase in cash awards that vested during fiscal 2021 under the Company's Long-Term Incentive Plan and the restoration of base salaries, which had been temporarily curtailed in fiscal 2020 in connection with the Company's crisis management during the pandemic.</w:t>
      </w:r>
    </w:p>
    <w:p>
      <w:pPr>
        <w:spacing w:after="0" w:line="7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In March 2021, we also made a discretionary grant to then-active members of the 2018-2020 LTIP and to Mr. Kanter. Despite management's successfully navigating the pandemic, the 2018-2020 LTIP metrics were not achieved. The Compensation Committee felt strongly that a modest award should be granted to retain and motivate key employees beyond the pandemic. The aggregate grant-date fair value of the stock options awarded was $198,258 and was determined by the same calculation that would have been made had the 2018-2020 LTIP achieved a 12.5% achievement of its performance metric.</w:t>
      </w:r>
    </w:p>
    <w:p>
      <w:pPr>
        <w:spacing w:after="0" w:line="65"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Subsequent to the end of fiscal 2021, the Compensation Committee approved a discretionary cash bonus to each participant in the AIP equal to 10% of their earned salary in fiscal 2021. The Compensation Committee granted these discretionary bonuses, which were made to 74 participants and totaled $1.2 million, to recognize the extraordinary financial performance of the Company in fiscal 2021 and the substantially increased workload of the Company's management team during the year and the contributions of other employees to the Company’s financial performance. The Compensation Committee believed it was in the best interests of the Company and its stockholders to approve these discretionary bonuses. In addition, for those associates in the corporate office, distribution center and customer call center, who were not participants in the AIP, the Company paid each associate a discretionary bonus equal to one-month's salaries/wages.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shows total compensation earned and total realized pay for each of the Named Executive Officers (NEOs) in fiscal 2021 as compared to fiscal 2020:</w:t>
      </w:r>
    </w:p>
    <w:tbl>
      <w:tblPr>
        <w:tblLayout w:type="fixed"/>
        <w:tblInd w:w="0" w:type="dxa"/>
        <w:tblCellMar>
          <w:top w:w="0" w:type="dxa"/>
          <w:left w:w="0" w:type="dxa"/>
          <w:bottom w:w="0" w:type="dxa"/>
          <w:right w:w="0" w:type="dxa"/>
        </w:tblCellMar>
      </w:tblPr>
      <w:tr>
        <w:trPr>
          <w:trHeight w:val="274"/>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ind w:left="100"/>
              <w:spacing w:after="0" w:line="274" w:lineRule="exact"/>
              <w:rPr>
                <w:sz w:val="20"/>
                <w:szCs w:val="20"/>
                <w:color w:val="auto"/>
              </w:rPr>
            </w:pPr>
            <w:r>
              <w:rPr>
                <w:rFonts w:ascii="Times New Roman" w:cs="Times New Roman" w:eastAsia="Times New Roman" w:hAnsi="Times New Roman"/>
                <w:sz w:val="18"/>
                <w:szCs w:val="18"/>
                <w:b w:val="1"/>
                <w:bCs w:val="1"/>
                <w:color w:val="auto"/>
              </w:rPr>
              <w:t>Total Compensation</w:t>
            </w:r>
            <w:r>
              <w:rPr>
                <w:rFonts w:ascii="Times New Roman" w:cs="Times New Roman" w:eastAsia="Times New Roman" w:hAnsi="Times New Roman"/>
                <w:sz w:val="24"/>
                <w:szCs w:val="24"/>
                <w:b w:val="1"/>
                <w:bCs w:val="1"/>
                <w:color w:val="auto"/>
                <w:vertAlign w:val="superscript"/>
              </w:rPr>
              <w:t>(1)</w:t>
            </w:r>
          </w:p>
        </w:tc>
        <w:tc>
          <w:tcPr>
            <w:tcW w:w="12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jc w:val="center"/>
              <w:spacing w:after="0" w:line="274" w:lineRule="exact"/>
              <w:rPr>
                <w:sz w:val="20"/>
                <w:szCs w:val="20"/>
                <w:color w:val="auto"/>
              </w:rPr>
            </w:pPr>
            <w:r>
              <w:rPr>
                <w:rFonts w:ascii="Times New Roman" w:cs="Times New Roman" w:eastAsia="Times New Roman" w:hAnsi="Times New Roman"/>
                <w:sz w:val="18"/>
                <w:szCs w:val="18"/>
                <w:b w:val="1"/>
                <w:bCs w:val="1"/>
                <w:color w:val="auto"/>
                <w:w w:val="96"/>
              </w:rPr>
              <w:t xml:space="preserve">Total Realized Pay </w:t>
            </w:r>
            <w:r>
              <w:rPr>
                <w:rFonts w:ascii="Times New Roman" w:cs="Times New Roman" w:eastAsia="Times New Roman" w:hAnsi="Times New Roman"/>
                <w:sz w:val="24"/>
                <w:szCs w:val="24"/>
                <w:b w:val="1"/>
                <w:bCs w:val="1"/>
                <w:color w:val="auto"/>
                <w:w w:val="96"/>
                <w:vertAlign w:val="superscript"/>
              </w:rPr>
              <w:t>(2)</w:t>
            </w:r>
          </w:p>
        </w:tc>
        <w:tc>
          <w:tcPr>
            <w:tcW w:w="11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Fiscal 2020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8,410,773</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1,710,074</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1,068,604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62.9 %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609,771</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864,689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606,122</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65.4 %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947,702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549,184</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Gaeta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725,294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59.2 %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421,087</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9" w:lineRule="exact"/>
        <w:rPr>
          <w:sz w:val="20"/>
          <w:szCs w:val="20"/>
          <w:color w:val="auto"/>
        </w:rPr>
      </w:pPr>
    </w:p>
    <w:p>
      <w:pPr>
        <w:ind w:left="760" w:right="160" w:hanging="378"/>
        <w:spacing w:after="0" w:line="283" w:lineRule="auto"/>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increase in total compensation in fiscal 2021 as compared to fiscal 2020 is primarily due to performance-based compensation associated with the Company exceeding its targets under the 2021 AIP and the 2019-2021 LTIP.</w:t>
      </w:r>
    </w:p>
    <w:p>
      <w:pPr>
        <w:spacing w:after="0" w:line="52" w:lineRule="exact"/>
        <w:rPr>
          <w:rFonts w:ascii="Times New Roman" w:cs="Times New Roman" w:eastAsia="Times New Roman" w:hAnsi="Times New Roman"/>
          <w:sz w:val="16"/>
          <w:szCs w:val="16"/>
          <w:color w:val="auto"/>
        </w:rPr>
      </w:pPr>
    </w:p>
    <w:p>
      <w:pPr>
        <w:ind w:left="760" w:right="60" w:hanging="378"/>
        <w:spacing w:after="0" w:line="251" w:lineRule="auto"/>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 Mr. Kanter's realized pay for fiscal 2021 includes 480,000 PSUs that vested during fiscal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a result of the Company's common stock achieving the related performance metric, which was a volume-weighted average closing price of $4.00 and $6.00 per share. The PSUs were granted to Mr. Kanter when he was hired in February 2019.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03" w:lineRule="exact"/>
        <w:rPr>
          <w:rFonts w:ascii="Times New Roman" w:cs="Times New Roman" w:eastAsia="Times New Roman" w:hAnsi="Times New Roman"/>
          <w:sz w:val="18"/>
          <w:szCs w:val="18"/>
          <w:color w:val="auto"/>
        </w:rPr>
      </w:pPr>
    </w:p>
    <w:p>
      <w:pPr>
        <w:ind w:left="780" w:right="500" w:hanging="263"/>
        <w:spacing w:after="0" w:line="266"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6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21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Direct Compensation consists of total cash compensation (base salary and annual performance-based cash incentive awards) plus long-term incentive awards, which, prior to the pandemic, were primarily equity awards. Every year, we assess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5720" w:type="dxa"/>
            <w:vAlign w:val="bottom"/>
            <w:gridSpan w:val="3"/>
          </w:tcPr>
          <w:p>
            <w:pPr>
              <w:ind w:left="224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4"/>
        </w:trPr>
        <w:tc>
          <w:tcPr>
            <w:tcW w:w="5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Focus on performance-based pay</w:t>
            </w:r>
          </w:p>
        </w:tc>
        <w:tc>
          <w:tcPr>
            <w:tcW w:w="572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 xml:space="preserve">    No re-pricing of underwater options</w:t>
            </w:r>
          </w:p>
        </w:tc>
      </w:tr>
      <w:tr>
        <w:trPr>
          <w:trHeight w:val="324"/>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Balance short-term and long-term incentives</w:t>
            </w:r>
          </w:p>
        </w:tc>
        <w:tc>
          <w:tcPr>
            <w:tcW w:w="5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xml:space="preserve">    No hedging of Company stock</w:t>
            </w:r>
          </w:p>
        </w:tc>
      </w:tr>
      <w:tr>
        <w:trPr>
          <w:trHeight w:val="324"/>
        </w:trPr>
        <w:tc>
          <w:tcPr>
            <w:tcW w:w="5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Use multiple targets for performance awards</w:t>
            </w:r>
          </w:p>
        </w:tc>
        <w:tc>
          <w:tcPr>
            <w:tcW w:w="572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 xml:space="preserve">    No tax gross-up on severance payments</w:t>
            </w:r>
          </w:p>
        </w:tc>
      </w:tr>
      <w:tr>
        <w:trPr>
          <w:trHeight w:val="324"/>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Provide executives with very limited perquisites</w:t>
            </w:r>
          </w:p>
        </w:tc>
        <w:tc>
          <w:tcPr>
            <w:tcW w:w="5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xml:space="preserve">    No active supplemental executive retirement plan</w:t>
            </w:r>
          </w:p>
        </w:tc>
      </w:tr>
      <w:tr>
        <w:trPr>
          <w:trHeight w:val="324"/>
        </w:trPr>
        <w:tc>
          <w:tcPr>
            <w:tcW w:w="5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Require “double-trigger” change-in-control provisions</w:t>
            </w:r>
          </w:p>
        </w:tc>
        <w:tc>
          <w:tcPr>
            <w:tcW w:w="224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r>
      <w:tr>
        <w:trPr>
          <w:trHeight w:val="279"/>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Maintain a “clawback” policy covering incentive cash and equity</w:t>
            </w: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4"/>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programs</w:t>
            </w:r>
          </w:p>
        </w:tc>
        <w:tc>
          <w:tcPr>
            <w:tcW w:w="2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5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Seek to mitigate undue risk in compensation plans</w:t>
            </w:r>
          </w:p>
        </w:tc>
        <w:tc>
          <w:tcPr>
            <w:tcW w:w="224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r>
      <w:tr>
        <w:trPr>
          <w:trHeight w:val="324"/>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Utilize an independent compensation consultant</w:t>
            </w: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238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2240" w:type="dxa"/>
            <w:vAlign w:val="bottom"/>
            <w:shd w:val="clear" w:color="auto" w:fill="CFF0FC"/>
          </w:tcPr>
          <w:p>
            <w:pPr>
              <w:spacing w:after="0"/>
              <w:rPr>
                <w:sz w:val="24"/>
                <w:szCs w:val="24"/>
                <w:color w:val="auto"/>
              </w:rPr>
            </w:pPr>
          </w:p>
        </w:tc>
        <w:tc>
          <w:tcPr>
            <w:tcW w:w="224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r>
      <w:tr>
        <w:trPr>
          <w:trHeight w:val="418"/>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8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In February 2022, the Compensation Committee engaged Segal to review Mr. Kanter's base salary and total direct compensation in connection with the amendment of Mr. Kanter’s employment agreement with the Company, as further described below under “</w:t>
      </w:r>
      <w:r>
        <w:rPr>
          <w:rFonts w:ascii="Times New Roman" w:cs="Times New Roman" w:eastAsia="Times New Roman" w:hAnsi="Times New Roman"/>
          <w:sz w:val="18"/>
          <w:szCs w:val="18"/>
          <w:i w:val="1"/>
          <w:iCs w:val="1"/>
          <w:color w:val="auto"/>
        </w:rPr>
        <w:t>Amended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with Mr. Kanter</w:t>
      </w:r>
      <w:r>
        <w:rPr>
          <w:rFonts w:ascii="Times New Roman" w:cs="Times New Roman" w:eastAsia="Times New Roman" w:hAnsi="Times New Roman"/>
          <w:sz w:val="18"/>
          <w:szCs w:val="18"/>
          <w:color w:val="auto"/>
        </w:rPr>
        <w:t>.” Based on market insights from Segal, including information derived from published surveys on CEO compensation in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annual revenues of up to $500 million and trends in CEO compensation, the Compensation Committee approved an increase in Mr. Kanter's annual base salary from $735,000 to $850,000.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Target Compensation</w:t>
      </w:r>
    </w:p>
    <w:p>
      <w:pPr>
        <w:spacing w:after="0" w:line="1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Working with Segal,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CEO, the Compensation Committee placed additional emphasis on performance pay by increasing the participation rate in the long-term incentive plan. In addition, as part of his compensation package in fiscal 2019 when he joined the Company, Mr. Kanter received a sign-on performance stock unit award (“PSU”) tied directly to the Company’s stock price.</w:t>
      </w:r>
    </w:p>
    <w:p>
      <w:pPr>
        <w:spacing w:after="0" w:line="19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is primarily responsible for recommending the compensation paid to our other Named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review and approval of the Compensation Committee. Our other Named Executive Officers are provided with a competitive base salary and an opportunity to earn performance awards each year, which are driven by our overall financial targets. Compensation to our other Named Executive Officers was most recently reviewed by Segal in May 2019, at which time Segal reported that such compensation was within the median (or 50% percentile) of the Company’s then proxy peer group. See “</w:t>
      </w:r>
      <w:r>
        <w:rPr>
          <w:rFonts w:ascii="Times New Roman" w:cs="Times New Roman" w:eastAsia="Times New Roman" w:hAnsi="Times New Roman"/>
          <w:sz w:val="18"/>
          <w:szCs w:val="18"/>
          <w:i w:val="1"/>
          <w:iCs w:val="1"/>
          <w:color w:val="auto"/>
        </w:rPr>
        <w:t>Compensation Components and Fiscal 2021 Compensation Decisions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2021 peer group were:</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Boot Barn Holding,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J.Jill, Inc.</w:t>
            </w: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Tilly’s Inc.</w:t>
            </w:r>
          </w:p>
        </w:tc>
      </w:tr>
      <w:tr>
        <w:trPr>
          <w:trHeight w:val="58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Build-A-Bear Workshop,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Kaspien Holding, Inc.</w:t>
            </w: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Vera Bradley</w:t>
            </w:r>
          </w:p>
        </w:tc>
      </w:tr>
      <w:tr>
        <w:trPr>
          <w:trHeight w:val="58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Cato Group</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Kirkland’s, Inc.</w:t>
            </w: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Vince Holding Corp.</w:t>
            </w:r>
          </w:p>
        </w:tc>
      </w:tr>
      <w:tr>
        <w:trPr>
          <w:trHeight w:val="58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 Trends</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Movado Group</w:t>
            </w: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Zumiez, Inc.</w:t>
            </w:r>
          </w:p>
        </w:tc>
      </w:tr>
      <w:tr>
        <w:trPr>
          <w:trHeight w:val="58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Apparel,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Sportsman’s Warehouse</w:t>
            </w: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8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Duluth Holding,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Tile Shop Holdings</w:t>
            </w: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fiscal 2021, we updated our peer group to remove Christopher &amp; Banks, Francesca's Holding Corp. and Retailwinds, Inc. due to the bankruptcy of each of these companies, and to add Delta Apparel, Inc., J.Jill, Inc., and Kaspien Holding, Inc.</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spacing w:after="0" w:line="244" w:lineRule="auto"/>
        <w:rPr>
          <w:sz w:val="20"/>
          <w:szCs w:val="20"/>
          <w:color w:val="auto"/>
        </w:rPr>
      </w:pPr>
      <w:r>
        <w:rPr>
          <w:rFonts w:ascii="Times New Roman" w:cs="Times New Roman" w:eastAsia="Times New Roman" w:hAnsi="Times New Roman"/>
          <w:sz w:val="18"/>
          <w:szCs w:val="18"/>
          <w:color w:val="auto"/>
        </w:rPr>
        <w:t>In order to develop an appropriate peer group, we consider companies with a range of revenues, assets and market capitalizations that may differ from those included by independent analysts such as Institutional Shareholder Services (ISS). With respect to our fiscal 2021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21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9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At our 2021 Annual Meeting, stockholders had an opportunity to cast a non-binding advisory vote on executive compensation as disclosed in the 2021 Proxy Statement. Of the votes cast on the say-on-pay proposal, 99.5% voted in favor of the proposal. The Compensation Committee considered the results of the 2021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Assessment/Clawback</w:t>
      </w:r>
    </w:p>
    <w:p>
      <w:pPr>
        <w:spacing w:after="0" w:line="12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resulted in a financial restatement. Incentive-Based Compensation includes all cash and equity awards.</w:t>
      </w:r>
    </w:p>
    <w:p>
      <w:pPr>
        <w:spacing w:after="0" w:line="9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2021 Compensation Decisions</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61"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6060440" cy="1783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02" w:lineRule="exact"/>
        <w:rPr>
          <w:sz w:val="20"/>
          <w:szCs w:val="20"/>
          <w:color w:val="auto"/>
        </w:rPr>
      </w:pPr>
    </w:p>
    <w:p>
      <w:pPr>
        <w:ind w:left="780" w:hanging="26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9" w:lineRule="exact"/>
        <w:rPr>
          <w:rFonts w:ascii="Times New Roman" w:cs="Times New Roman" w:eastAsia="Times New Roman" w:hAnsi="Times New Roman"/>
          <w:sz w:val="18"/>
          <w:szCs w:val="18"/>
          <w:color w:val="auto"/>
        </w:rPr>
      </w:pPr>
    </w:p>
    <w:p>
      <w:pPr>
        <w:ind w:left="7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4" w:lineRule="exact"/>
        <w:rPr>
          <w:rFonts w:ascii="Times New Roman" w:cs="Times New Roman" w:eastAsia="Times New Roman" w:hAnsi="Times New Roman"/>
          <w:sz w:val="18"/>
          <w:szCs w:val="18"/>
          <w:color w:val="auto"/>
        </w:rPr>
      </w:pPr>
    </w:p>
    <w:p>
      <w:pPr>
        <w:ind w:left="7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69" w:lineRule="exact"/>
        <w:rPr>
          <w:rFonts w:ascii="Times New Roman" w:cs="Times New Roman" w:eastAsia="Times New Roman" w:hAnsi="Times New Roman"/>
          <w:sz w:val="18"/>
          <w:szCs w:val="18"/>
          <w:color w:val="auto"/>
        </w:rPr>
      </w:pPr>
    </w:p>
    <w:p>
      <w:pPr>
        <w:ind w:left="76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61" w:lineRule="exact"/>
        <w:rPr>
          <w:rFonts w:ascii="Times New Roman" w:cs="Times New Roman" w:eastAsia="Times New Roman" w:hAnsi="Times New Roman"/>
          <w:sz w:val="18"/>
          <w:szCs w:val="18"/>
          <w:color w:val="auto"/>
        </w:rPr>
      </w:pPr>
    </w:p>
    <w:p>
      <w:pPr>
        <w:ind w:left="76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adjustments to the base salaries of our other Named Executive Officers during fiscal 2021. In March 2022, Mr. Gaeta was promoted to Chief Stores Officer and his base salary was increased from $295,000 to $325,000. In addition, Messrs. Stratton, Dhoot and Molloy each received a 3% merit increase for fiscal 2022. As mentioned above, Mr. Kanter's salary for fiscal 2022 was increased in accordance with the terms of his amended and restated employment agreement, discussed below.</w:t>
      </w:r>
    </w:p>
    <w:p>
      <w:pPr>
        <w:spacing w:after="0" w:line="18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w:t>
      </w:r>
    </w:p>
    <w:p>
      <w:pPr>
        <w:spacing w:after="0" w:line="213" w:lineRule="exact"/>
        <w:rPr>
          <w:rFonts w:ascii="Times New Roman" w:cs="Times New Roman" w:eastAsia="Times New Roman" w:hAnsi="Times New Roman"/>
          <w:sz w:val="18"/>
          <w:szCs w:val="18"/>
          <w:color w:val="auto"/>
        </w:rPr>
      </w:pPr>
    </w:p>
    <w:p>
      <w:pPr>
        <w:ind w:left="7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169" w:lineRule="exact"/>
        <w:rPr>
          <w:rFonts w:ascii="Times New Roman" w:cs="Times New Roman" w:eastAsia="Times New Roman" w:hAnsi="Times New Roman"/>
          <w:sz w:val="18"/>
          <w:szCs w:val="18"/>
          <w:color w:val="auto"/>
        </w:rPr>
      </w:pPr>
    </w:p>
    <w:p>
      <w:pPr>
        <w:ind w:left="7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2021, the Company's management engaged Korn Ferry to review every position within the Company, except for store positions, and develop a job level classification with a range of compensation for each of those positions in the Company. The completed review by Korn Ferry resulted in the Compensation Committee's expanding the participation in the Company's Annual Incentive Plan.</w:t>
      </w:r>
    </w:p>
    <w:p>
      <w:pPr>
        <w:spacing w:after="0" w:line="190" w:lineRule="exact"/>
        <w:rPr>
          <w:rFonts w:ascii="Times New Roman" w:cs="Times New Roman" w:eastAsia="Times New Roman" w:hAnsi="Times New Roman"/>
          <w:sz w:val="18"/>
          <w:szCs w:val="18"/>
          <w:color w:val="auto"/>
        </w:rPr>
      </w:pPr>
    </w:p>
    <w:p>
      <w:pPr>
        <w:ind w:left="760" w:right="4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subsequent to the end of fiscal 2021, the Compensation Committee approved the Fifth Amended and Restated Annual Incentive Plan, which will be effective with the 2022 AIP. The AIP was amended, among other things, to change the definition of employees eligible to participate in the AIP from 'director level and above' to a 'Job Level classification of 15 or above', which is consistent with the implementation of job level classification noted above and will result in increased participation in the AIP. The Compensation Committee decided to expand participation in the AIP due to the Compensation Committee’s confidence in the successful implementation of the plan and that it works effectively to motivate and retain associates. The Compensation Committee determined that it would be appropriate and in the best interest of shareholders to include more associates in that demonstrated success.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2021 AIP</w:t>
      </w:r>
    </w:p>
    <w:p>
      <w:pPr>
        <w:spacing w:after="0" w:line="117" w:lineRule="exact"/>
        <w:rPr>
          <w:sz w:val="20"/>
          <w:szCs w:val="20"/>
          <w:color w:val="auto"/>
        </w:rPr>
      </w:pPr>
    </w:p>
    <w:p>
      <w:pPr>
        <w:jc w:val="both"/>
        <w:ind w:right="480"/>
        <w:spacing w:after="0" w:line="250" w:lineRule="auto"/>
        <w:rPr>
          <w:sz w:val="20"/>
          <w:szCs w:val="20"/>
          <w:color w:val="auto"/>
        </w:rPr>
      </w:pPr>
      <w:r>
        <w:rPr>
          <w:rFonts w:ascii="Times New Roman" w:cs="Times New Roman" w:eastAsia="Times New Roman" w:hAnsi="Times New Roman"/>
          <w:sz w:val="18"/>
          <w:szCs w:val="18"/>
          <w:color w:val="auto"/>
        </w:rPr>
        <w:t>On April 1, 2021, the Compensation Committee established the performance metrics for the 2021 AIP. For fiscal 2021, Mr. Kanter’s target participation in the AIP was at 100% of his earned salary, Mr. Stratton participated at 55% of his earned salary, Messrs. Dhoot and Molloy participated at 50% of their respective earned salary, and Mr. Gaeta participated at 40% of his earned salary.</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performance metrics and potential payout levels were derived from the Company’s annual operating plan for fiscal 2021. The Compensation Committee believed it was necessary, due to the continued uncertainty regarding the impact and duration of the pandemic, to focus on two key financial metrics for fiscal 2021 (Sales and Adjusted EBITDA) and added specific metrics to include functional departmental targets for Store Operations, Marketing &amp; Digital, and Merchandise/Planning and Allocation, and personal goals. For Messrs. Kanter, Stratton and Molloy, the financial metrics represented 80% of their AIP, and for Messrs. Dhoot and Gaeta, these financial metrics represented 40% and their respective departmental metrics represented 40% of their AIP. The remaining 20% for each of the Named Executive Officers was attributable to the achievement of pre-defined personal goals. See footnote 3 to the below table for a discussion of these personal goals. The 2021 AIP metrics were intended to be achievable, with an approximate 50% probability of achievement; however, given the uncertainty surrounding the duration of the pandemic, the rollout of vaccines and its impact on our financial results, there was an inherent risk that these metrics might not be attainable.</w:t>
      </w:r>
    </w:p>
    <w:p>
      <w:pPr>
        <w:spacing w:after="0" w:line="6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Company's annual operating plan for fiscal 2021 assumed that vaccines against the COVID-19 virus would be widely available and administered by the end of Spring 2021 and that demand for apparel would gradually improve in fiscal 2021 and while the Company expected to see improvement from fiscal 2020, the Company did not expect a return to pre-pandemic performance due to the continuing impact of the pandemic, including its impact on the global supply chain. The actual financial results for fiscal 2021 far exceeded the Company's expectations as the Company saw an earlier-than-expected acceleration in sales that continued through the remainder of fiscal 2021. As a result, in addition to the payouts earned under the AIP for fiscal 2021, the Compensation Committee approved a discretionary cash bonus to participants in the AIP program as described below under “</w:t>
      </w:r>
      <w:r>
        <w:rPr>
          <w:rFonts w:ascii="Times New Roman" w:cs="Times New Roman" w:eastAsia="Times New Roman" w:hAnsi="Times New Roman"/>
          <w:sz w:val="18"/>
          <w:szCs w:val="18"/>
          <w:i w:val="1"/>
          <w:iCs w:val="1"/>
          <w:color w:val="auto"/>
        </w:rPr>
        <w:t>Discretionary Cash and Equity Awards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4" w:right="35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7"/>
          <w:szCs w:val="17"/>
          <w:color w:val="auto"/>
        </w:rPr>
        <w:t>The 2021 AIP performance metrics and actual results against these metrics were as follows:</w:t>
      </w:r>
    </w:p>
    <w:p>
      <w:pPr>
        <w:sectPr>
          <w:pgSz w:w="11900" w:h="16838" w:orient="portrait"/>
          <w:cols w:equalWidth="0" w:num="1">
            <w:col w:w="10660"/>
          </w:cols>
          <w:pgMar w:left="740" w:top="43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auto"/>
        </w:rPr>
        <w:t>Metric</w:t>
      </w:r>
    </w:p>
    <w:p>
      <w:pPr>
        <w:spacing w:after="0" w:line="2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Corporate</w:t>
      </w:r>
      <w:r>
        <w:rPr>
          <w:sz w:val="20"/>
          <w:szCs w:val="20"/>
          <w:color w:val="auto"/>
        </w:rPr>
        <w:tab/>
      </w:r>
      <w:r>
        <w:rPr>
          <w:rFonts w:ascii="Times New Roman" w:cs="Times New Roman" w:eastAsia="Times New Roman" w:hAnsi="Times New Roman"/>
          <w:sz w:val="14"/>
          <w:szCs w:val="14"/>
          <w:color w:val="auto"/>
        </w:rPr>
        <w:t>Sales</w:t>
      </w:r>
    </w:p>
    <w:p>
      <w:pPr>
        <w:spacing w:after="0"/>
        <w:rPr>
          <w:sz w:val="20"/>
          <w:szCs w:val="20"/>
          <w:color w:val="auto"/>
        </w:rPr>
      </w:pPr>
      <w:r>
        <w:rPr>
          <w:rFonts w:ascii="Times New Roman" w:cs="Times New Roman" w:eastAsia="Times New Roman" w:hAnsi="Times New Roman"/>
          <w:sz w:val="14"/>
          <w:szCs w:val="14"/>
          <w:b w:val="1"/>
          <w:bCs w:val="1"/>
          <w:color w:val="auto"/>
        </w:rPr>
        <w:t>Target 1</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Metric</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7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Messrs.</w:t>
            </w: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Dhoot and</w:t>
            </w:r>
          </w:p>
        </w:tc>
        <w:tc>
          <w:tcPr>
            <w:tcW w:w="7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Weight of</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w:t>
            </w: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5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Gaeta</w:t>
            </w:r>
          </w:p>
        </w:tc>
        <w:tc>
          <w:tcPr>
            <w:tcW w:w="78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Metric for</w:t>
            </w:r>
          </w:p>
        </w:tc>
        <w:tc>
          <w:tcPr>
            <w:tcW w:w="8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Weight of</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Mr. Dhoot</w:t>
            </w: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Metric</w:t>
            </w:r>
          </w:p>
        </w:tc>
        <w:tc>
          <w:tcPr>
            <w:tcW w:w="0" w:type="dxa"/>
            <w:vAlign w:val="bottom"/>
          </w:tcPr>
          <w:p>
            <w:pPr>
              <w:spacing w:after="0"/>
              <w:rPr>
                <w:sz w:val="1"/>
                <w:szCs w:val="1"/>
                <w:color w:val="auto"/>
              </w:rPr>
            </w:pPr>
          </w:p>
        </w:tc>
      </w:tr>
      <w:tr>
        <w:trPr>
          <w:trHeight w:val="117"/>
        </w:trPr>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w:t>
            </w: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Mr. Gaeta</w:t>
            </w:r>
          </w:p>
        </w:tc>
        <w:tc>
          <w:tcPr>
            <w:tcW w:w="0" w:type="dxa"/>
            <w:vAlign w:val="bottom"/>
          </w:tcPr>
          <w:p>
            <w:pPr>
              <w:spacing w:after="0"/>
              <w:rPr>
                <w:sz w:val="1"/>
                <w:szCs w:val="1"/>
                <w:color w:val="auto"/>
              </w:rPr>
            </w:pPr>
          </w:p>
        </w:tc>
      </w:tr>
      <w:tr>
        <w:trPr>
          <w:trHeight w:val="200"/>
        </w:trPr>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40.0%</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7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28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2021 Target</w:t>
            </w:r>
          </w:p>
        </w:tc>
        <w:tc>
          <w:tcPr>
            <w:tcW w:w="108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2021 Actual</w:t>
            </w:r>
          </w:p>
        </w:tc>
        <w:tc>
          <w:tcPr>
            <w:tcW w:w="94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84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2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5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12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color w:val="auto"/>
              </w:rPr>
              <w:t>$402.0 million</w:t>
            </w:r>
          </w:p>
        </w:tc>
        <w:tc>
          <w:tcPr>
            <w:tcW w:w="1080" w:type="dxa"/>
            <w:vAlign w:val="bottom"/>
            <w:gridSpan w:val="3"/>
          </w:tcPr>
          <w:p>
            <w:pPr>
              <w:jc w:val="center"/>
              <w:ind w:left="28"/>
              <w:spacing w:after="0" w:line="147" w:lineRule="exact"/>
              <w:rPr>
                <w:sz w:val="20"/>
                <w:szCs w:val="20"/>
                <w:color w:val="auto"/>
              </w:rPr>
            </w:pPr>
            <w:r>
              <w:rPr>
                <w:rFonts w:ascii="Times New Roman" w:cs="Times New Roman" w:eastAsia="Times New Roman" w:hAnsi="Times New Roman"/>
                <w:sz w:val="14"/>
                <w:szCs w:val="14"/>
                <w:color w:val="auto"/>
              </w:rPr>
              <w:t>$505.0 million</w:t>
            </w:r>
          </w:p>
        </w:tc>
        <w:tc>
          <w:tcPr>
            <w:tcW w:w="94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color w:val="auto"/>
              </w:rPr>
              <w:t>150.0% (200%</w:t>
            </w:r>
          </w:p>
        </w:tc>
        <w:tc>
          <w:tcPr>
            <w:tcW w:w="0" w:type="dxa"/>
            <w:vAlign w:val="bottom"/>
          </w:tcPr>
          <w:p>
            <w:pPr>
              <w:spacing w:after="0"/>
              <w:rPr>
                <w:sz w:val="1"/>
                <w:szCs w:val="1"/>
                <w:color w:val="auto"/>
              </w:rPr>
            </w:pPr>
          </w:p>
        </w:tc>
      </w:tr>
      <w:tr>
        <w:trPr>
          <w:trHeight w:val="148"/>
        </w:trPr>
        <w:tc>
          <w:tcPr>
            <w:tcW w:w="2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95.7% of target and 150%</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7"/>
              </w:rPr>
              <w:t>for</w:t>
            </w:r>
          </w:p>
        </w:tc>
        <w:tc>
          <w:tcPr>
            <w:tcW w:w="0" w:type="dxa"/>
            <w:vAlign w:val="bottom"/>
          </w:tcPr>
          <w:p>
            <w:pPr>
              <w:spacing w:after="0"/>
              <w:rPr>
                <w:sz w:val="1"/>
                <w:szCs w:val="1"/>
                <w:color w:val="auto"/>
              </w:rPr>
            </w:pPr>
          </w:p>
        </w:tc>
      </w:tr>
      <w:tr>
        <w:trPr>
          <w:trHeight w:val="149"/>
        </w:trPr>
        <w:tc>
          <w:tcPr>
            <w:tcW w:w="2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104.3% of target, with the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Mr. Kanter)</w:t>
            </w:r>
          </w:p>
        </w:tc>
        <w:tc>
          <w:tcPr>
            <w:tcW w:w="0" w:type="dxa"/>
            <w:vAlign w:val="bottom"/>
          </w:tcPr>
          <w:p>
            <w:pPr>
              <w:spacing w:after="0"/>
              <w:rPr>
                <w:sz w:val="1"/>
                <w:szCs w:val="1"/>
                <w:color w:val="auto"/>
              </w:rPr>
            </w:pPr>
          </w:p>
        </w:tc>
      </w:tr>
      <w:tr>
        <w:trPr>
          <w:trHeight w:val="148"/>
        </w:trPr>
        <w:tc>
          <w:tcPr>
            <w:tcW w:w="2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exception  of  Mr.  Kanter  who  was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eligible for maximum payout of 200%</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 104.3% of target.</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-593090</wp:posOffset>
            </wp:positionV>
            <wp:extent cx="6626225"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68580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3">
            <w:col w:w="1720" w:space="420"/>
            <w:col w:w="2200" w:space="240"/>
            <w:col w:w="6080"/>
          </w:cols>
          <w:pgMar w:left="740" w:top="432" w:right="4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100% payout at target, with 50% payout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$18.3 million</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$76.9 million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51"/>
        </w:trPr>
        <w:tc>
          <w:tcPr>
            <w:tcW w:w="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2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EBITDA(1)</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at 64.5% of target and 150% payout at</w:t>
            </w: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(200% for Mr.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135.5% of target, with the exception of</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Kanter)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Mr. Kanter who was eligible for a</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maximum payout of 200% at 135.5% of</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target.</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Department</w:t>
            </w:r>
          </w:p>
        </w:tc>
        <w:tc>
          <w:tcPr>
            <w:tcW w:w="1220" w:type="dxa"/>
            <w:vAlign w:val="bottom"/>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color w:val="auto"/>
              </w:rPr>
              <w:t>Marketing &amp;</w:t>
            </w:r>
          </w:p>
        </w:tc>
        <w:tc>
          <w:tcPr>
            <w:tcW w:w="74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20%</w:t>
            </w:r>
          </w:p>
        </w:tc>
        <w:tc>
          <w:tcPr>
            <w:tcW w:w="76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w:t>
            </w:r>
          </w:p>
        </w:tc>
        <w:tc>
          <w:tcPr>
            <w:tcW w:w="2740" w:type="dxa"/>
            <w:vAlign w:val="bottom"/>
            <w:shd w:val="clear" w:color="auto" w:fill="CFF0FC"/>
          </w:tcPr>
          <w:p>
            <w:pPr>
              <w:ind w:left="180"/>
              <w:spacing w:after="0" w:line="137" w:lineRule="exact"/>
              <w:rPr>
                <w:sz w:val="20"/>
                <w:szCs w:val="20"/>
                <w:color w:val="auto"/>
              </w:rPr>
            </w:pPr>
            <w:r>
              <w:rPr>
                <w:rFonts w:ascii="Times New Roman" w:cs="Times New Roman" w:eastAsia="Times New Roman" w:hAnsi="Times New Roman"/>
                <w:sz w:val="14"/>
                <w:szCs w:val="14"/>
                <w:color w:val="auto"/>
              </w:rPr>
              <w:t>Total direct comparable sales</w:t>
            </w:r>
          </w:p>
        </w:tc>
        <w:tc>
          <w:tcPr>
            <w:tcW w:w="12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$136.3 million</w:t>
            </w:r>
          </w:p>
        </w:tc>
        <w:tc>
          <w:tcPr>
            <w:tcW w:w="1080" w:type="dxa"/>
            <w:vAlign w:val="bottom"/>
            <w:shd w:val="clear" w:color="auto" w:fill="CFF0FC"/>
          </w:tcPr>
          <w:p>
            <w:pPr>
              <w:jc w:val="center"/>
              <w:ind w:left="28"/>
              <w:spacing w:after="0" w:line="137" w:lineRule="exact"/>
              <w:rPr>
                <w:sz w:val="20"/>
                <w:szCs w:val="20"/>
                <w:color w:val="auto"/>
              </w:rPr>
            </w:pPr>
            <w:r>
              <w:rPr>
                <w:rFonts w:ascii="Times New Roman" w:cs="Times New Roman" w:eastAsia="Times New Roman" w:hAnsi="Times New Roman"/>
                <w:sz w:val="14"/>
                <w:szCs w:val="14"/>
                <w:color w:val="auto"/>
              </w:rPr>
              <w:t>$150.3 million</w:t>
            </w:r>
          </w:p>
        </w:tc>
        <w:tc>
          <w:tcPr>
            <w:tcW w:w="10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73"/>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Goals, if</w:t>
            </w:r>
          </w:p>
        </w:tc>
        <w:tc>
          <w:tcPr>
            <w:tcW w:w="1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Digital</w:t>
            </w:r>
          </w:p>
        </w:tc>
        <w:tc>
          <w:tcPr>
            <w:tcW w:w="740" w:type="dxa"/>
            <w:vAlign w:val="bottom"/>
            <w:shd w:val="clear" w:color="auto" w:fill="CFF0FC"/>
          </w:tcPr>
          <w:p>
            <w:pPr>
              <w:spacing w:after="0"/>
              <w:rPr>
                <w:sz w:val="15"/>
                <w:szCs w:val="15"/>
                <w:color w:val="auto"/>
              </w:rPr>
            </w:pP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shd w:val="clear" w:color="auto" w:fill="CFF0FC"/>
          </w:tcPr>
          <w:p>
            <w:pPr>
              <w:spacing w:after="0"/>
              <w:rPr>
                <w:sz w:val="15"/>
                <w:szCs w:val="15"/>
                <w:color w:val="auto"/>
              </w:rPr>
            </w:pPr>
          </w:p>
        </w:tc>
        <w:tc>
          <w:tcPr>
            <w:tcW w:w="2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Promotional markdown rate</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76"/>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shd w:val="clear" w:color="auto" w:fill="CFF0FC"/>
          </w:tcPr>
          <w:p>
            <w:pPr>
              <w:spacing w:after="0"/>
              <w:rPr>
                <w:sz w:val="15"/>
                <w:szCs w:val="15"/>
                <w:color w:val="auto"/>
              </w:rPr>
            </w:pPr>
          </w:p>
        </w:tc>
        <w:tc>
          <w:tcPr>
            <w:tcW w:w="27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Advertising sales ratio target</w:t>
            </w:r>
          </w:p>
        </w:tc>
        <w:tc>
          <w:tcPr>
            <w:tcW w:w="12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vMerge w:val="restart"/>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44"/>
        </w:trPr>
        <w:tc>
          <w:tcPr>
            <w:tcW w:w="90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780" w:type="dxa"/>
            <w:vAlign w:val="bottom"/>
            <w:vMerge w:val="continue"/>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2740" w:type="dxa"/>
            <w:vAlign w:val="bottom"/>
            <w:vMerge w:val="continue"/>
            <w:shd w:val="clear" w:color="auto" w:fill="CFF0FC"/>
          </w:tcPr>
          <w:p>
            <w:pPr>
              <w:spacing w:after="0"/>
              <w:rPr>
                <w:sz w:val="3"/>
                <w:szCs w:val="3"/>
                <w:color w:val="auto"/>
              </w:rPr>
            </w:pPr>
          </w:p>
        </w:tc>
        <w:tc>
          <w:tcPr>
            <w:tcW w:w="1200" w:type="dxa"/>
            <w:vAlign w:val="bottom"/>
            <w:vMerge w:val="continue"/>
            <w:shd w:val="clear" w:color="auto" w:fill="CFF0FC"/>
          </w:tcPr>
          <w:p>
            <w:pPr>
              <w:spacing w:after="0"/>
              <w:rPr>
                <w:sz w:val="3"/>
                <w:szCs w:val="3"/>
                <w:color w:val="auto"/>
              </w:rPr>
            </w:pPr>
          </w:p>
        </w:tc>
        <w:tc>
          <w:tcPr>
            <w:tcW w:w="1080" w:type="dxa"/>
            <w:vAlign w:val="bottom"/>
            <w:vMerge w:val="continue"/>
            <w:shd w:val="clear" w:color="auto" w:fill="CFF0FC"/>
          </w:tcPr>
          <w:p>
            <w:pPr>
              <w:spacing w:after="0"/>
              <w:rPr>
                <w:sz w:val="3"/>
                <w:szCs w:val="3"/>
                <w:color w:val="auto"/>
              </w:rPr>
            </w:pPr>
          </w:p>
        </w:tc>
        <w:tc>
          <w:tcPr>
            <w:tcW w:w="1000" w:type="dxa"/>
            <w:vAlign w:val="bottom"/>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7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Store Operations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Store conversion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Payroll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promoter score (NPS)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74</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Personal</w:t>
            </w: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Discretionary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Discretionary, at target, based upon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Varies by NEO</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Varies by NEO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20.0%-30.0%</w:t>
            </w:r>
          </w:p>
        </w:tc>
        <w:tc>
          <w:tcPr>
            <w:tcW w:w="0" w:type="dxa"/>
            <w:vAlign w:val="bottom"/>
          </w:tcPr>
          <w:p>
            <w:pPr>
              <w:spacing w:after="0"/>
              <w:rPr>
                <w:sz w:val="1"/>
                <w:szCs w:val="1"/>
                <w:color w:val="auto"/>
              </w:rPr>
            </w:pPr>
          </w:p>
        </w:tc>
      </w:tr>
      <w:tr>
        <w:trPr>
          <w:trHeight w:val="151"/>
        </w:trPr>
        <w:tc>
          <w:tcPr>
            <w:tcW w:w="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3</w:t>
            </w:r>
          </w:p>
        </w:tc>
        <w:tc>
          <w:tcPr>
            <w:tcW w:w="12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Personal Goals</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individual performance, as evaluated by</w:t>
            </w: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(40.0% for Mr.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CEO (except with respect to the CEO</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Kanter)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whose individual performance was</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evaluated by the Compensation</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-483870</wp:posOffset>
            </wp:positionV>
            <wp:extent cx="6626225" cy="977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6225" cy="977265"/>
                    </a:xfrm>
                    <a:prstGeom prst="rect">
                      <a:avLst/>
                    </a:prstGeom>
                    <a:noFill/>
                  </pic:spPr>
                </pic:pic>
              </a:graphicData>
            </a:graphic>
          </wp:anchor>
        </w:drawing>
      </w:r>
    </w:p>
    <w:p>
      <w:pPr>
        <w:ind w:left="4580"/>
        <w:spacing w:after="0" w:line="221" w:lineRule="auto"/>
        <w:rPr>
          <w:sz w:val="20"/>
          <w:szCs w:val="20"/>
          <w:color w:val="auto"/>
        </w:rPr>
      </w:pPr>
      <w:r>
        <w:rPr>
          <w:rFonts w:ascii="Times New Roman" w:cs="Times New Roman" w:eastAsia="Times New Roman" w:hAnsi="Times New Roman"/>
          <w:sz w:val="14"/>
          <w:szCs w:val="14"/>
          <w:color w:val="auto"/>
        </w:rPr>
        <w:t>Committee). Participants were eligible to</w:t>
      </w:r>
    </w:p>
    <w:p>
      <w:pPr>
        <w:ind w:left="4580"/>
        <w:spacing w:after="0" w:line="221" w:lineRule="auto"/>
        <w:rPr>
          <w:sz w:val="20"/>
          <w:szCs w:val="20"/>
          <w:color w:val="auto"/>
        </w:rPr>
      </w:pPr>
      <w:r>
        <w:rPr>
          <w:rFonts w:ascii="Times New Roman" w:cs="Times New Roman" w:eastAsia="Times New Roman" w:hAnsi="Times New Roman"/>
          <w:sz w:val="14"/>
          <w:szCs w:val="14"/>
          <w:color w:val="auto"/>
        </w:rPr>
        <w:t>receive a discretionary award up to 30%,</w:t>
      </w:r>
    </w:p>
    <w:p>
      <w:pPr>
        <w:ind w:left="4580"/>
        <w:spacing w:after="0" w:line="222" w:lineRule="auto"/>
        <w:rPr>
          <w:sz w:val="20"/>
          <w:szCs w:val="20"/>
          <w:color w:val="auto"/>
        </w:rPr>
      </w:pPr>
      <w:r>
        <w:rPr>
          <w:rFonts w:ascii="Times New Roman" w:cs="Times New Roman" w:eastAsia="Times New Roman" w:hAnsi="Times New Roman"/>
          <w:sz w:val="14"/>
          <w:szCs w:val="14"/>
          <w:color w:val="auto"/>
        </w:rPr>
        <w:t>with the exception of Mr. Kanter who was</w:t>
      </w:r>
    </w:p>
    <w:p>
      <w:pPr>
        <w:ind w:left="45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w:t>
      </w:r>
    </w:p>
    <w:p>
      <w:pPr>
        <w:ind w:left="4580"/>
        <w:spacing w:after="0"/>
        <w:rPr>
          <w:sz w:val="20"/>
          <w:szCs w:val="20"/>
          <w:color w:val="auto"/>
        </w:rPr>
      </w:pPr>
      <w:r>
        <w:rPr>
          <w:rFonts w:ascii="Times New Roman" w:cs="Times New Roman" w:eastAsia="Times New Roman" w:hAnsi="Times New Roman"/>
          <w:sz w:val="14"/>
          <w:szCs w:val="14"/>
          <w:color w:val="auto"/>
        </w:rPr>
        <w:t>up to 40%. (3)</w:t>
      </w:r>
    </w:p>
    <w:p>
      <w:pPr>
        <w:spacing w:after="0" w:line="215" w:lineRule="exact"/>
        <w:rPr>
          <w:sz w:val="20"/>
          <w:szCs w:val="20"/>
          <w:color w:val="auto"/>
        </w:rPr>
      </w:pPr>
    </w:p>
    <w:p>
      <w:pPr>
        <w:ind w:left="1360" w:hanging="368"/>
        <w:spacing w:after="0"/>
        <w:tabs>
          <w:tab w:leader="none" w:pos="1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under the AIP and approved by the Compensation Committee, fiscal 2021 actual results were adjusted to exclude the impairment (gain) of assets.</w:t>
      </w:r>
    </w:p>
    <w:p>
      <w:pPr>
        <w:spacing w:after="0" w:line="203" w:lineRule="exact"/>
        <w:rPr>
          <w:rFonts w:ascii="Times New Roman" w:cs="Times New Roman" w:eastAsia="Times New Roman" w:hAnsi="Times New Roman"/>
          <w:sz w:val="14"/>
          <w:szCs w:val="14"/>
          <w:color w:val="auto"/>
        </w:rPr>
      </w:pPr>
    </w:p>
    <w:p>
      <w:pPr>
        <w:ind w:left="1360" w:hanging="368"/>
        <w:spacing w:after="0" w:line="255" w:lineRule="auto"/>
        <w:tabs>
          <w:tab w:leader="none" w:pos="1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publicly disclose its promotional markdown rates or its store conversion rates. Any discussion of promotional markdowns and conversion rates are limited to percentage increase or decrease over a comparable period. The same is true for store payroll; the Company does not publicly disclose its store payroll as a percentage of sales. Any discussion regarding store payroll is limited to the dollar increase or decrease over a comparable period. No external information regarding the Company's advertising sales ratio is publicly provided.</w:t>
      </w:r>
    </w:p>
    <w:p>
      <w:pPr>
        <w:spacing w:after="0" w:line="166" w:lineRule="exact"/>
        <w:rPr>
          <w:rFonts w:ascii="Times New Roman" w:cs="Times New Roman" w:eastAsia="Times New Roman" w:hAnsi="Times New Roman"/>
          <w:sz w:val="14"/>
          <w:szCs w:val="14"/>
          <w:color w:val="auto"/>
        </w:rPr>
      </w:pPr>
    </w:p>
    <w:p>
      <w:pPr>
        <w:ind w:left="1360" w:right="40" w:hanging="368"/>
        <w:spacing w:after="0" w:line="241" w:lineRule="auto"/>
        <w:tabs>
          <w:tab w:leader="none" w:pos="1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which are approved by the CEO. The personal goals for Messrs. Dhoot, Molloy and Gaeta consisted of a combination of quantifiable goals specific to their respective corporate function. Mr. Dhoot’s personal goals were tied to the success in developing segmentation and personalization across marketing initiatives, continued improvement on the customer web experience and effectively managing markdowns as a result of promotions. Mr. Molloy’s personal goals were tied to ensuring strong corporate governance, legal and ethical compliance, and legal support and guidance throughout the organization. Mr. Gaeta’s personal goals were directly tied to the Company's stores achieving their metrics as well as team development. The personal goals for our CFO were quantifiable and were tied directly to the Company's performance, as well as team development and professional development of staff. Our CEO’s personal goals were tied to the Company's current performance as well as to develop a long-term strategy plan.</w:t>
      </w:r>
    </w:p>
    <w:p>
      <w:pPr>
        <w:jc w:val="center"/>
        <w:ind w:right="2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52070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740" w:top="432" w:right="499" w:bottom="1440" w:gutter="0" w:footer="0" w:header="0"/>
          <w:type w:val="continuous"/>
        </w:sectPr>
      </w:pPr>
    </w:p>
    <w:bookmarkStart w:id="13" w:name="page14"/>
    <w:bookmarkEnd w:id="13"/>
    <w:p>
      <w:pPr>
        <w:ind w:left="780" w:right="360"/>
        <w:spacing w:after="0" w:line="296" w:lineRule="auto"/>
        <w:rPr>
          <w:sz w:val="20"/>
          <w:szCs w:val="20"/>
          <w:color w:val="auto"/>
        </w:rPr>
      </w:pPr>
      <w:r>
        <w:rPr>
          <w:rFonts w:ascii="Times New Roman" w:cs="Times New Roman" w:eastAsia="Times New Roman" w:hAnsi="Times New Roman"/>
          <w:sz w:val="17"/>
          <w:szCs w:val="17"/>
          <w:color w:val="auto"/>
        </w:rPr>
        <w:t>As a result of achieving the performance targets for fiscal 2021 pursuant to the 2021 AIP, as shown above, in March 2022 the Compensation Committee approved, subject to the completion of the audited financial statements, cash bonus payouts to our NEOs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340" w:type="dxa"/>
            <w:vAlign w:val="bottom"/>
          </w:tcPr>
          <w:p>
            <w:pPr>
              <w:spacing w:after="0"/>
              <w:rPr>
                <w:sz w:val="17"/>
                <w:szCs w:val="17"/>
                <w:color w:val="auto"/>
              </w:rPr>
            </w:pPr>
          </w:p>
        </w:tc>
        <w:tc>
          <w:tcPr>
            <w:tcW w:w="256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340" w:type="dxa"/>
            <w:vAlign w:val="bottom"/>
          </w:tcPr>
          <w:p>
            <w:pPr>
              <w:spacing w:after="0"/>
              <w:rPr>
                <w:sz w:val="12"/>
                <w:szCs w:val="12"/>
                <w:color w:val="auto"/>
              </w:rPr>
            </w:pPr>
          </w:p>
        </w:tc>
        <w:tc>
          <w:tcPr>
            <w:tcW w:w="2560" w:type="dxa"/>
            <w:vAlign w:val="bottom"/>
            <w:gridSpan w:val="3"/>
            <w:vMerge w:val="restart"/>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1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735,000</w:t>
            </w:r>
          </w:p>
        </w:tc>
        <w:tc>
          <w:tcPr>
            <w:tcW w:w="34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217,250</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150 %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145 %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2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2022 AIP</w:t>
      </w:r>
    </w:p>
    <w:p>
      <w:pPr>
        <w:spacing w:after="0" w:line="212" w:lineRule="exact"/>
        <w:rPr>
          <w:sz w:val="20"/>
          <w:szCs w:val="20"/>
          <w:color w:val="auto"/>
        </w:rPr>
      </w:pPr>
    </w:p>
    <w:p>
      <w:pPr>
        <w:ind w:left="520" w:right="40"/>
        <w:spacing w:after="0" w:line="242" w:lineRule="auto"/>
        <w:rPr>
          <w:sz w:val="20"/>
          <w:szCs w:val="20"/>
          <w:color w:val="auto"/>
        </w:rPr>
      </w:pPr>
      <w:r>
        <w:rPr>
          <w:rFonts w:ascii="Times New Roman" w:cs="Times New Roman" w:eastAsia="Times New Roman" w:hAnsi="Times New Roman"/>
          <w:sz w:val="18"/>
          <w:szCs w:val="18"/>
          <w:color w:val="auto"/>
        </w:rPr>
        <w:t>Subsequent to the end of fiscal 2021, the Compensation Committee approved the Fifth Amended and Restated Annual Incentive Plan, which will be effective with the 2022 AIP. The AIP was amended, among other things, to change the definition of employees eligible to participate in the AIP from 'director-level and above' to a 'Job Level classification of 15 or above', which will result in increased participation in the AIP. The Compensation Committee decided to expand participation in the AIP due to the Compensation Committee’s belief that it will continue to effectively motivate and retain associates. The Compensation Committee determined that it would be appropriate and in the best interest of the Company’s stockholders to include more associates in that demonstrated success of the AIP. On April 9, 2022, the Compensation Committee established the financial and operating metrics for the 2022 AIP. The metrics for the 2022 AIP are consistent with the 2021 AIP and include Sales and Adjusted EBITDA as the Company's financial metrics with departmental targets for Store Operations, Marketing &amp; Digital, and Merchandise/Planning and Allocation.</w:t>
      </w:r>
    </w:p>
    <w:p>
      <w:pPr>
        <w:spacing w:after="0" w:line="79" w:lineRule="exact"/>
        <w:rPr>
          <w:sz w:val="20"/>
          <w:szCs w:val="20"/>
          <w:color w:val="auto"/>
        </w:rPr>
      </w:pPr>
    </w:p>
    <w:p>
      <w:pPr>
        <w:jc w:val="both"/>
        <w:ind w:left="520" w:right="240"/>
        <w:spacing w:after="0" w:line="258" w:lineRule="auto"/>
        <w:rPr>
          <w:sz w:val="20"/>
          <w:szCs w:val="20"/>
          <w:color w:val="auto"/>
        </w:rPr>
      </w:pPr>
      <w:r>
        <w:rPr>
          <w:rFonts w:ascii="Times New Roman" w:cs="Times New Roman" w:eastAsia="Times New Roman" w:hAnsi="Times New Roman"/>
          <w:sz w:val="18"/>
          <w:szCs w:val="18"/>
          <w:color w:val="auto"/>
        </w:rPr>
        <w:t>The Company’s financial performance metrics represent 80% of the AIP for Messrs. Kanter, Stratton and Molloy and 40% for Messrs. Dhoot and Gaeta. Messrs. Dhoot and Gaeta’s performance metrics include specific marketing and store operation targets, respectively, and represent 40% of their respective AIP. Discretionary personal goals represent the remaining 20% for the Named Executive Officers.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2022 AIP performance metrics approved by the Compensation Committee are as follows:</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102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than Messrs.</w:t>
            </w:r>
          </w:p>
        </w:tc>
        <w:tc>
          <w:tcPr>
            <w:tcW w:w="2020" w:type="dxa"/>
            <w:vAlign w:val="bottom"/>
            <w:gridSpan w:val="7"/>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 Attributable to</w:t>
            </w:r>
          </w:p>
        </w:tc>
        <w:tc>
          <w:tcPr>
            <w:tcW w:w="2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Dhoot and</w:t>
            </w:r>
          </w:p>
        </w:tc>
        <w:tc>
          <w:tcPr>
            <w:tcW w:w="2020" w:type="dxa"/>
            <w:vAlign w:val="bottom"/>
            <w:gridSpan w:val="7"/>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Metric for Mr. Metric for Mr.</w:t>
            </w:r>
          </w:p>
        </w:tc>
        <w:tc>
          <w:tcPr>
            <w:tcW w:w="2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Metric</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Gaeta</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Dhoot</w:t>
            </w:r>
          </w:p>
        </w:tc>
        <w:tc>
          <w:tcPr>
            <w:tcW w:w="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Gaeta</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20" w:type="dxa"/>
            <w:vAlign w:val="bottom"/>
            <w:gridSpan w:val="2"/>
          </w:tcPr>
          <w:p>
            <w:pPr>
              <w:jc w:val="center"/>
              <w:ind w:right="1000"/>
              <w:spacing w:after="0" w:line="109" w:lineRule="exact"/>
              <w:rPr>
                <w:sz w:val="20"/>
                <w:szCs w:val="20"/>
                <w:color w:val="auto"/>
              </w:rPr>
            </w:pPr>
            <w:r>
              <w:rPr>
                <w:rFonts w:ascii="Times New Roman" w:cs="Times New Roman" w:eastAsia="Times New Roman" w:hAnsi="Times New Roman"/>
                <w:sz w:val="12"/>
                <w:szCs w:val="12"/>
                <w:b w:val="1"/>
                <w:bCs w:val="1"/>
                <w:color w:val="auto"/>
              </w:rPr>
              <w:t>Potential Payout</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3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380" w:type="dxa"/>
            <w:vAlign w:val="bottom"/>
            <w:gridSpan w:val="3"/>
            <w:shd w:val="clear" w:color="auto" w:fill="CFF0FC"/>
          </w:tcPr>
          <w:p>
            <w:pPr>
              <w:ind w:left="340"/>
              <w:spacing w:after="0" w:line="151" w:lineRule="exact"/>
              <w:rPr>
                <w:sz w:val="20"/>
                <w:szCs w:val="20"/>
                <w:color w:val="auto"/>
              </w:rPr>
            </w:pPr>
            <w:r>
              <w:rPr>
                <w:rFonts w:ascii="Times New Roman" w:cs="Times New Roman" w:eastAsia="Times New Roman" w:hAnsi="Times New Roman"/>
                <w:sz w:val="14"/>
                <w:szCs w:val="14"/>
                <w:color w:val="auto"/>
              </w:rPr>
              <w:t>Sales</w:t>
            </w:r>
          </w:p>
        </w:tc>
        <w:tc>
          <w:tcPr>
            <w:tcW w:w="1080" w:type="dxa"/>
            <w:vAlign w:val="bottom"/>
            <w:gridSpan w:val="3"/>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rPr>
              <w:t>40.0%</w:t>
            </w:r>
          </w:p>
        </w:tc>
        <w:tc>
          <w:tcPr>
            <w:tcW w:w="780" w:type="dxa"/>
            <w:vAlign w:val="bottom"/>
            <w:gridSpan w:val="3"/>
            <w:shd w:val="clear" w:color="auto" w:fill="CFF0FC"/>
          </w:tcPr>
          <w:p>
            <w:pPr>
              <w:jc w:val="center"/>
              <w:ind w:left="268"/>
              <w:spacing w:after="0" w:line="151" w:lineRule="exact"/>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FF0FC"/>
          </w:tcPr>
          <w:p>
            <w:pPr>
              <w:spacing w:after="0"/>
              <w:rPr>
                <w:sz w:val="13"/>
                <w:szCs w:val="13"/>
                <w:color w:val="auto"/>
              </w:rPr>
            </w:pPr>
          </w:p>
        </w:tc>
        <w:tc>
          <w:tcPr>
            <w:tcW w:w="2900" w:type="dxa"/>
            <w:vAlign w:val="bottom"/>
            <w:gridSpan w:val="3"/>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1"/>
        </w:trPr>
        <w:tc>
          <w:tcPr>
            <w:tcW w:w="23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900" w:type="dxa"/>
            <w:vAlign w:val="bottom"/>
            <w:gridSpan w:val="3"/>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96.2% of target and 150% payout at 101.9%</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of target, with the exception of Mr. Kanter</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who is eligible for maximum payout of</w:t>
            </w:r>
          </w:p>
        </w:tc>
        <w:tc>
          <w:tcPr>
            <w:tcW w:w="0" w:type="dxa"/>
            <w:vAlign w:val="bottom"/>
          </w:tcPr>
          <w:p>
            <w:pPr>
              <w:spacing w:after="0"/>
              <w:rPr>
                <w:sz w:val="1"/>
                <w:szCs w:val="1"/>
                <w:color w:val="auto"/>
              </w:rPr>
            </w:pPr>
          </w:p>
        </w:tc>
      </w:tr>
      <w:tr>
        <w:trPr>
          <w:trHeight w:val="188"/>
        </w:trPr>
        <w:tc>
          <w:tcPr>
            <w:tcW w:w="2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9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200% at 101.9% of target.</w:t>
            </w:r>
          </w:p>
        </w:tc>
        <w:tc>
          <w:tcPr>
            <w:tcW w:w="0" w:type="dxa"/>
            <w:vAlign w:val="bottom"/>
          </w:tcPr>
          <w:p>
            <w:pPr>
              <w:spacing w:after="0"/>
              <w:rPr>
                <w:sz w:val="1"/>
                <w:szCs w:val="1"/>
                <w:color w:val="auto"/>
              </w:rPr>
            </w:pPr>
          </w:p>
        </w:tc>
      </w:tr>
      <w:tr>
        <w:trPr>
          <w:trHeight w:val="145"/>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3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380" w:type="dxa"/>
            <w:vAlign w:val="bottom"/>
            <w:gridSpan w:val="3"/>
          </w:tcPr>
          <w:p>
            <w:pPr>
              <w:ind w:left="340"/>
              <w:spacing w:after="0" w:line="151" w:lineRule="exact"/>
              <w:rPr>
                <w:sz w:val="20"/>
                <w:szCs w:val="20"/>
                <w:color w:val="auto"/>
              </w:rPr>
            </w:pPr>
            <w:r>
              <w:rPr>
                <w:rFonts w:ascii="Times New Roman" w:cs="Times New Roman" w:eastAsia="Times New Roman" w:hAnsi="Times New Roman"/>
                <w:sz w:val="14"/>
                <w:szCs w:val="14"/>
                <w:color w:val="auto"/>
              </w:rPr>
              <w:t>Adjusted</w:t>
            </w:r>
          </w:p>
        </w:tc>
        <w:tc>
          <w:tcPr>
            <w:tcW w:w="1080" w:type="dxa"/>
            <w:vAlign w:val="bottom"/>
            <w:gridSpan w:val="3"/>
          </w:tcPr>
          <w:p>
            <w:pPr>
              <w:jc w:val="center"/>
              <w:spacing w:after="0" w:line="151" w:lineRule="exact"/>
              <w:rPr>
                <w:sz w:val="20"/>
                <w:szCs w:val="20"/>
                <w:color w:val="auto"/>
              </w:rPr>
            </w:pPr>
            <w:r>
              <w:rPr>
                <w:rFonts w:ascii="Times New Roman" w:cs="Times New Roman" w:eastAsia="Times New Roman" w:hAnsi="Times New Roman"/>
                <w:sz w:val="14"/>
                <w:szCs w:val="14"/>
                <w:color w:val="auto"/>
              </w:rPr>
              <w:t>40.0%</w:t>
            </w:r>
          </w:p>
        </w:tc>
        <w:tc>
          <w:tcPr>
            <w:tcW w:w="780" w:type="dxa"/>
            <w:vAlign w:val="bottom"/>
            <w:gridSpan w:val="3"/>
          </w:tcPr>
          <w:p>
            <w:pPr>
              <w:jc w:val="center"/>
              <w:ind w:left="268"/>
              <w:spacing w:after="0" w:line="151" w:lineRule="exact"/>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tcPr>
          <w:p>
            <w:pPr>
              <w:spacing w:after="0"/>
              <w:rPr>
                <w:sz w:val="13"/>
                <w:szCs w:val="13"/>
                <w:color w:val="auto"/>
              </w:rPr>
            </w:pPr>
          </w:p>
        </w:tc>
        <w:tc>
          <w:tcPr>
            <w:tcW w:w="1000" w:type="dxa"/>
            <w:vAlign w:val="bottom"/>
            <w:gridSpan w:val="3"/>
          </w:tcPr>
          <w:p>
            <w:pPr>
              <w:jc w:val="center"/>
              <w:spacing w:after="0" w:line="151" w:lineRule="exact"/>
              <w:rPr>
                <w:sz w:val="20"/>
                <w:szCs w:val="20"/>
                <w:color w:val="auto"/>
              </w:rPr>
            </w:pPr>
            <w:r>
              <w:rPr>
                <w:rFonts w:ascii="Times New Roman" w:cs="Times New Roman" w:eastAsia="Times New Roman" w:hAnsi="Times New Roman"/>
                <w:sz w:val="14"/>
                <w:szCs w:val="14"/>
                <w:color w:val="auto"/>
              </w:rPr>
              <w:t>20.0%</w:t>
            </w:r>
          </w:p>
        </w:tc>
        <w:tc>
          <w:tcPr>
            <w:tcW w:w="290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0"/>
        </w:trPr>
        <w:tc>
          <w:tcPr>
            <w:tcW w:w="23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380" w:type="dxa"/>
            <w:vAlign w:val="bottom"/>
            <w:gridSpan w:val="3"/>
          </w:tcPr>
          <w:p>
            <w:pPr>
              <w:ind w:left="340"/>
              <w:spacing w:after="0" w:line="151" w:lineRule="exact"/>
              <w:rPr>
                <w:sz w:val="20"/>
                <w:szCs w:val="20"/>
                <w:color w:val="auto"/>
              </w:rPr>
            </w:pPr>
            <w:r>
              <w:rPr>
                <w:rFonts w:ascii="Times New Roman" w:cs="Times New Roman" w:eastAsia="Times New Roman" w:hAnsi="Times New Roman"/>
                <w:sz w:val="14"/>
                <w:szCs w:val="14"/>
                <w:color w:val="auto"/>
              </w:rPr>
              <w:t>EBITDA</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0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94.3% of target and 150% payout at 103.9% of</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103.9% of target.</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Personal Target</w:t>
            </w:r>
          </w:p>
        </w:tc>
        <w:tc>
          <w:tcPr>
            <w:tcW w:w="1380" w:type="dxa"/>
            <w:vAlign w:val="bottom"/>
            <w:gridSpan w:val="3"/>
            <w:shd w:val="clear" w:color="auto" w:fill="CFF0FC"/>
          </w:tcPr>
          <w:p>
            <w:pPr>
              <w:ind w:left="340"/>
              <w:spacing w:after="0" w:line="153" w:lineRule="exact"/>
              <w:rPr>
                <w:sz w:val="20"/>
                <w:szCs w:val="20"/>
                <w:color w:val="auto"/>
              </w:rPr>
            </w:pPr>
            <w:r>
              <w:rPr>
                <w:rFonts w:ascii="Times New Roman" w:cs="Times New Roman" w:eastAsia="Times New Roman" w:hAnsi="Times New Roman"/>
                <w:sz w:val="14"/>
                <w:szCs w:val="14"/>
                <w:color w:val="auto"/>
              </w:rPr>
              <w:t>Discretionary-</w:t>
            </w:r>
          </w:p>
        </w:tc>
        <w:tc>
          <w:tcPr>
            <w:tcW w:w="1080" w:type="dxa"/>
            <w:vAlign w:val="bottom"/>
            <w:gridSpan w:val="3"/>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20.0%</w:t>
            </w:r>
          </w:p>
        </w:tc>
        <w:tc>
          <w:tcPr>
            <w:tcW w:w="780" w:type="dxa"/>
            <w:vAlign w:val="bottom"/>
            <w:gridSpan w:val="3"/>
            <w:shd w:val="clear" w:color="auto" w:fill="CFF0FC"/>
          </w:tcPr>
          <w:p>
            <w:pPr>
              <w:jc w:val="center"/>
              <w:ind w:left="268"/>
              <w:spacing w:after="0" w:line="153" w:lineRule="exact"/>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20.0%</w:t>
            </w:r>
          </w:p>
        </w:tc>
        <w:tc>
          <w:tcPr>
            <w:tcW w:w="2900" w:type="dxa"/>
            <w:vAlign w:val="bottom"/>
            <w:gridSpan w:val="3"/>
            <w:shd w:val="clear" w:color="auto" w:fill="CFF0FC"/>
          </w:tcPr>
          <w:p>
            <w:pPr>
              <w:ind w:left="40"/>
              <w:spacing w:after="0" w:line="153" w:lineRule="exact"/>
              <w:rPr>
                <w:sz w:val="20"/>
                <w:szCs w:val="20"/>
                <w:color w:val="auto"/>
              </w:rPr>
            </w:pPr>
            <w:r>
              <w:rPr>
                <w:rFonts w:ascii="Times New Roman" w:cs="Times New Roman" w:eastAsia="Times New Roman" w:hAnsi="Times New Roman"/>
                <w:sz w:val="14"/>
                <w:szCs w:val="14"/>
                <w:color w:val="auto"/>
              </w:rPr>
              <w:t>Discretionary, at target, based upon individual</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1380" w:type="dxa"/>
            <w:vAlign w:val="bottom"/>
            <w:gridSpan w:val="3"/>
            <w:shd w:val="clear" w:color="auto" w:fill="CFF0FC"/>
          </w:tcPr>
          <w:p>
            <w:pPr>
              <w:ind w:left="34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CEO (except</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with respect to the CEO whose individual</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will be evaluated by the</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Compensation Committee). Participants are</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to receive a discretionary award up to</w:t>
            </w: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9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30%, with the exception of Mr. Kanter who is</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to receive a discretionary award up to</w:t>
            </w:r>
          </w:p>
        </w:tc>
        <w:tc>
          <w:tcPr>
            <w:tcW w:w="0" w:type="dxa"/>
            <w:vAlign w:val="bottom"/>
          </w:tcPr>
          <w:p>
            <w:pPr>
              <w:spacing w:after="0"/>
              <w:rPr>
                <w:sz w:val="1"/>
                <w:szCs w:val="1"/>
                <w:color w:val="auto"/>
              </w:rPr>
            </w:pPr>
          </w:p>
        </w:tc>
      </w:tr>
      <w:tr>
        <w:trPr>
          <w:trHeight w:val="185"/>
        </w:trPr>
        <w:tc>
          <w:tcPr>
            <w:tcW w:w="2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40%.</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380" w:type="dxa"/>
            <w:vAlign w:val="bottom"/>
            <w:gridSpan w:val="3"/>
          </w:tcPr>
          <w:p>
            <w:pPr>
              <w:ind w:left="340"/>
              <w:spacing w:after="0" w:line="153" w:lineRule="exact"/>
              <w:rPr>
                <w:sz w:val="20"/>
                <w:szCs w:val="20"/>
                <w:color w:val="auto"/>
              </w:rPr>
            </w:pPr>
            <w:r>
              <w:rPr>
                <w:rFonts w:ascii="Times New Roman" w:cs="Times New Roman" w:eastAsia="Times New Roman" w:hAnsi="Times New Roman"/>
                <w:sz w:val="14"/>
                <w:szCs w:val="14"/>
                <w:color w:val="auto"/>
              </w:rPr>
              <w:t>Marketing &amp;</w:t>
            </w:r>
          </w:p>
        </w:tc>
        <w:tc>
          <w:tcPr>
            <w:tcW w:w="740" w:type="dxa"/>
            <w:vAlign w:val="bottom"/>
            <w:gridSpan w:val="2"/>
          </w:tcPr>
          <w:p>
            <w:pPr>
              <w:jc w:val="center"/>
              <w:ind w:left="288"/>
              <w:spacing w:after="0" w:line="15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780" w:type="dxa"/>
            <w:vAlign w:val="bottom"/>
            <w:gridSpan w:val="3"/>
          </w:tcPr>
          <w:p>
            <w:pPr>
              <w:jc w:val="center"/>
              <w:ind w:left="268"/>
              <w:spacing w:after="0" w:line="153" w:lineRule="exact"/>
              <w:rPr>
                <w:sz w:val="20"/>
                <w:szCs w:val="20"/>
                <w:color w:val="auto"/>
              </w:rPr>
            </w:pPr>
            <w:r>
              <w:rPr>
                <w:rFonts w:ascii="Times New Roman" w:cs="Times New Roman" w:eastAsia="Times New Roman" w:hAnsi="Times New Roman"/>
                <w:sz w:val="14"/>
                <w:szCs w:val="14"/>
                <w:color w:val="auto"/>
                <w:w w:val="99"/>
              </w:rPr>
              <w:t>40.0%</w:t>
            </w:r>
          </w:p>
        </w:tc>
        <w:tc>
          <w:tcPr>
            <w:tcW w:w="240" w:type="dxa"/>
            <w:vAlign w:val="bottom"/>
          </w:tcPr>
          <w:p>
            <w:pPr>
              <w:spacing w:after="0"/>
              <w:rPr>
                <w:sz w:val="13"/>
                <w:szCs w:val="13"/>
                <w:color w:val="auto"/>
              </w:rPr>
            </w:pPr>
          </w:p>
        </w:tc>
        <w:tc>
          <w:tcPr>
            <w:tcW w:w="720" w:type="dxa"/>
            <w:vAlign w:val="bottom"/>
            <w:gridSpan w:val="2"/>
          </w:tcPr>
          <w:p>
            <w:pPr>
              <w:jc w:val="center"/>
              <w:ind w:left="268"/>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9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Includes total direct sales target, promotional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38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Digital</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markdown rate target and advertising sales</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ratio % target.</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Store Operations</w:t>
            </w:r>
          </w:p>
        </w:tc>
        <w:tc>
          <w:tcPr>
            <w:tcW w:w="74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74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target.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 w:name="page15"/>
    <w:bookmarkEnd w:id="14"/>
    <w:p>
      <w:pPr>
        <w:ind w:left="520" w:right="180"/>
        <w:spacing w:after="0" w:line="250" w:lineRule="auto"/>
        <w:rPr>
          <w:sz w:val="20"/>
          <w:szCs w:val="20"/>
          <w:color w:val="auto"/>
        </w:rPr>
      </w:pPr>
      <w:r>
        <w:rPr>
          <w:rFonts w:ascii="Times New Roman" w:cs="Times New Roman" w:eastAsia="Times New Roman" w:hAnsi="Times New Roman"/>
          <w:sz w:val="18"/>
          <w:szCs w:val="18"/>
          <w:color w:val="auto"/>
        </w:rPr>
        <w:t>The above targets for each metric are derived from the Company’s annual operating plan and budget for the 2022 fiscal year, and are intended to be achievable, with an approximate 50% probability of achievement. The likelihood of achieving the 2022 targets reflects the challenges inherent in achieving the goals and objectives of an ambitious operating plan, given the continuing uncertainty with respect to global supply chain disruptions, inflation, labor shortages, COVID-19 pandemic and geopolitical instability from Russia's invasion of Ukraine.</w:t>
      </w:r>
    </w:p>
    <w:p>
      <w:pPr>
        <w:spacing w:after="0" w:line="191"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For fiscal 2022, Mr. Kanter will participate at 100% of his salary and Messrs. Dhoot and Molloy will continue to participate at 50% of their respective salaries. Effective March 6, 2022, Mr. Stratton's participation rate increased from 55% to 60% and Mr. Gaeta's participation rate increased from 40% to 50% and therefore will result in a blended participation rate for both of them. Messrs. Stratton and Gaeta’s increases were a result of their respective job classifications.</w:t>
      </w:r>
    </w:p>
    <w:p>
      <w:pPr>
        <w:spacing w:after="0" w:line="270" w:lineRule="exact"/>
        <w:rPr>
          <w:sz w:val="20"/>
          <w:szCs w:val="20"/>
          <w:color w:val="auto"/>
        </w:rPr>
      </w:pPr>
    </w:p>
    <w:p>
      <w:pPr>
        <w:ind w:left="780" w:hanging="26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w:t>
      </w:r>
    </w:p>
    <w:p>
      <w:pPr>
        <w:spacing w:after="0" w:line="213" w:lineRule="exact"/>
        <w:rPr>
          <w:rFonts w:ascii="Times New Roman" w:cs="Times New Roman" w:eastAsia="Times New Roman" w:hAnsi="Times New Roman"/>
          <w:sz w:val="18"/>
          <w:szCs w:val="18"/>
          <w:color w:val="auto"/>
        </w:rPr>
      </w:pPr>
    </w:p>
    <w:p>
      <w:pPr>
        <w:ind w:left="7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performance period for the Company’s 2019-2021 LTIP ended on January 29, 2022. The performance targets, which were established by the</w:t>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Compensation Committee on August 7, 2019, and the actual performance achieved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Weight of</w:t>
            </w:r>
          </w:p>
        </w:tc>
        <w:tc>
          <w:tcPr>
            <w:tcW w:w="60" w:type="dxa"/>
            <w:vAlign w:val="bottom"/>
          </w:tcPr>
          <w:p>
            <w:pPr>
              <w:spacing w:after="0"/>
              <w:rPr>
                <w:sz w:val="17"/>
                <w:szCs w:val="17"/>
                <w:color w:val="auto"/>
              </w:rPr>
            </w:pPr>
          </w:p>
        </w:tc>
        <w:tc>
          <w:tcPr>
            <w:tcW w:w="3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2019-2021 LTIP Performance Period</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Metric</w:t>
            </w: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each target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Potential Payout</w:t>
            </w:r>
          </w:p>
        </w:tc>
        <w:tc>
          <w:tcPr>
            <w:tcW w:w="20" w:type="dxa"/>
            <w:vAlign w:val="bottom"/>
          </w:tcPr>
          <w:p>
            <w:pPr>
              <w:spacing w:after="0"/>
              <w:rPr>
                <w:sz w:val="20"/>
                <w:szCs w:val="20"/>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Target</w:t>
            </w:r>
          </w:p>
        </w:tc>
        <w:tc>
          <w:tcPr>
            <w:tcW w:w="40" w:type="dxa"/>
            <w:vAlign w:val="bottom"/>
          </w:tcPr>
          <w:p>
            <w:pPr>
              <w:spacing w:after="0"/>
              <w:rPr>
                <w:sz w:val="20"/>
                <w:szCs w:val="20"/>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w:t>
            </w:r>
          </w:p>
        </w:tc>
        <w:tc>
          <w:tcPr>
            <w:tcW w:w="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Payout %</w:t>
            </w:r>
          </w:p>
        </w:tc>
        <w:tc>
          <w:tcPr>
            <w:tcW w:w="0" w:type="dxa"/>
            <w:vAlign w:val="bottom"/>
          </w:tcPr>
          <w:p>
            <w:pPr>
              <w:spacing w:after="0"/>
              <w:rPr>
                <w:sz w:val="1"/>
                <w:szCs w:val="1"/>
                <w:color w:val="auto"/>
              </w:rPr>
            </w:pPr>
          </w:p>
        </w:tc>
      </w:tr>
      <w:tr>
        <w:trPr>
          <w:trHeight w:val="164"/>
        </w:trPr>
        <w:tc>
          <w:tcPr>
            <w:tcW w:w="330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Three-year Adjusted EBITDA margin</w:t>
            </w:r>
          </w:p>
        </w:tc>
        <w:tc>
          <w:tcPr>
            <w:tcW w:w="60" w:type="dxa"/>
            <w:vAlign w:val="bottom"/>
          </w:tcPr>
          <w:p>
            <w:pPr>
              <w:spacing w:after="0"/>
              <w:rPr>
                <w:sz w:val="14"/>
                <w:szCs w:val="14"/>
                <w:color w:val="auto"/>
              </w:rPr>
            </w:pPr>
          </w:p>
        </w:tc>
        <w:tc>
          <w:tcPr>
            <w:tcW w:w="94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50.0%</w:t>
            </w:r>
          </w:p>
        </w:tc>
        <w:tc>
          <w:tcPr>
            <w:tcW w:w="60" w:type="dxa"/>
            <w:vAlign w:val="bottom"/>
          </w:tcPr>
          <w:p>
            <w:pPr>
              <w:spacing w:after="0"/>
              <w:rPr>
                <w:sz w:val="14"/>
                <w:szCs w:val="14"/>
                <w:color w:val="auto"/>
              </w:rPr>
            </w:pPr>
          </w:p>
        </w:tc>
        <w:tc>
          <w:tcPr>
            <w:tcW w:w="3940" w:type="dxa"/>
            <w:vAlign w:val="bottom"/>
            <w:tcBorders>
              <w:top w:val="single" w:sz="8" w:color="auto"/>
            </w:tcBorders>
            <w:gridSpan w:val="3"/>
          </w:tcPr>
          <w:p>
            <w:pPr>
              <w:ind w:left="20"/>
              <w:spacing w:after="0" w:line="164" w:lineRule="exact"/>
              <w:rPr>
                <w:sz w:val="20"/>
                <w:szCs w:val="20"/>
                <w:color w:val="auto"/>
              </w:rPr>
            </w:pPr>
            <w:r>
              <w:rPr>
                <w:rFonts w:ascii="Times New Roman" w:cs="Times New Roman" w:eastAsia="Times New Roman" w:hAnsi="Times New Roman"/>
                <w:sz w:val="18"/>
                <w:szCs w:val="18"/>
                <w:color w:val="auto"/>
              </w:rPr>
              <w:t>100% payout at target, with 50% payout at 94.6% of</w:t>
            </w:r>
          </w:p>
        </w:tc>
        <w:tc>
          <w:tcPr>
            <w:tcW w:w="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target and 150% payout at 107.1% of target.</w:t>
            </w: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133.8 %</w:t>
            </w: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Three-year Stacked Retail Comp</w:t>
            </w:r>
          </w:p>
        </w:tc>
        <w:tc>
          <w:tcPr>
            <w:tcW w:w="100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50.0%</w:t>
            </w:r>
          </w:p>
        </w:tc>
        <w:tc>
          <w:tcPr>
            <w:tcW w:w="60" w:type="dxa"/>
            <w:vAlign w:val="bottom"/>
          </w:tcPr>
          <w:p>
            <w:pPr>
              <w:spacing w:after="0"/>
              <w:rPr>
                <w:sz w:val="14"/>
                <w:szCs w:val="14"/>
                <w:color w:val="auto"/>
              </w:rPr>
            </w:pPr>
          </w:p>
        </w:tc>
        <w:tc>
          <w:tcPr>
            <w:tcW w:w="39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100% payout at target, with 50% payout at 74.4% of</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target and 150% payout at 138.5% of target.</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7.80%</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36.0%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Blended payout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2" w:lineRule="exact"/>
        <w:rPr>
          <w:sz w:val="20"/>
          <w:szCs w:val="20"/>
          <w:color w:val="auto"/>
        </w:rPr>
      </w:pPr>
    </w:p>
    <w:p>
      <w:pPr>
        <w:jc w:val="both"/>
        <w:ind w:left="760" w:right="60"/>
        <w:spacing w:after="0" w:line="246" w:lineRule="auto"/>
        <w:rPr>
          <w:sz w:val="20"/>
          <w:szCs w:val="20"/>
          <w:color w:val="auto"/>
        </w:rPr>
      </w:pPr>
      <w:r>
        <w:rPr>
          <w:rFonts w:ascii="Times New Roman" w:cs="Times New Roman" w:eastAsia="Times New Roman" w:hAnsi="Times New Roman"/>
          <w:sz w:val="18"/>
          <w:szCs w:val="18"/>
          <w:color w:val="auto"/>
        </w:rPr>
        <w:t>The targets under the 2019-2021 LTIP were set prior to the COVID-19 pandemic and were not modified to carve-out or exclude any results as a result of the pandemic. As a result of the exceptional performance in fiscal 2021, the Company exceeded the target set for each metric. Based on that achievement, subsequent to the end of fiscal 2021, on March 15, 2022, the Compensation Committee approved a total performance award of $2.7 million, to be awarded in a combination of 50% cash and 50% RSUs. All awards are subject to further vesting through August 31, 2022. Approximately $1.5 million of the $2.7 million of the award was awarded to the Named Executive Officers.</w:t>
      </w:r>
    </w:p>
    <w:p>
      <w:pPr>
        <w:spacing w:after="0" w:line="87"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awards granted to our Named Executive Officers on March 15, 2022 as a result of achieving the performance metrics under the 2019-2021 LTIP:</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RSUs</w:t>
            </w: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Cash</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Total Award</w:t>
            </w:r>
          </w:p>
        </w:tc>
        <w:tc>
          <w:tcPr>
            <w:tcW w:w="100" w:type="dxa"/>
            <w:vAlign w:val="bottom"/>
          </w:tcPr>
          <w:p>
            <w:pPr>
              <w:spacing w:after="0"/>
              <w:rPr>
                <w:sz w:val="16"/>
                <w:szCs w:val="16"/>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886,520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1340" w:type="dxa"/>
            <w:vAlign w:val="bottom"/>
            <w:gridSpan w:val="2"/>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196,176</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1340" w:type="dxa"/>
            <w:vAlign w:val="bottom"/>
            <w:gridSpan w:val="2"/>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105,880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1340" w:type="dxa"/>
            <w:vAlign w:val="bottom"/>
            <w:gridSpan w:val="2"/>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186,244</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73,256</w:t>
            </w:r>
          </w:p>
        </w:tc>
        <w:tc>
          <w:tcPr>
            <w:tcW w:w="1340" w:type="dxa"/>
            <w:vAlign w:val="bottom"/>
            <w:gridSpan w:val="2"/>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146,512</w:t>
            </w:r>
          </w:p>
        </w:tc>
        <w:tc>
          <w:tcPr>
            <w:tcW w:w="100" w:type="dxa"/>
            <w:vAlign w:val="bottom"/>
            <w:shd w:val="clear" w:color="auto" w:fill="CFF0FC"/>
          </w:tcPr>
          <w:p>
            <w:pPr>
              <w:spacing w:after="0"/>
              <w:rPr>
                <w:sz w:val="18"/>
                <w:szCs w:val="18"/>
                <w:color w:val="auto"/>
              </w:rPr>
            </w:pPr>
          </w:p>
        </w:tc>
      </w:tr>
      <w:tr>
        <w:trPr>
          <w:trHeight w:val="635"/>
        </w:trPr>
        <w:tc>
          <w:tcPr>
            <w:tcW w:w="55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5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2020-2022 LTIP and 2021-2023 LTIP in effect, but not completed, during fiscal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2020-2022</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2021-2023</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Effective date</w:t>
            </w:r>
          </w:p>
        </w:tc>
        <w:tc>
          <w:tcPr>
            <w:tcW w:w="22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380" w:type="dxa"/>
            <w:vAlign w:val="bottom"/>
            <w:tcBorders>
              <w:top w:val="single" w:sz="8" w:color="auto"/>
            </w:tcBorders>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June 11, 2020</w:t>
            </w:r>
          </w:p>
        </w:tc>
        <w:tc>
          <w:tcPr>
            <w:tcW w:w="26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460" w:type="dxa"/>
            <w:vAlign w:val="bottom"/>
            <w:tcBorders>
              <w:top w:val="single" w:sz="8" w:color="auto"/>
            </w:tcBorders>
            <w:gridSpan w:val="6"/>
            <w:shd w:val="clear" w:color="auto" w:fill="CFF0FC"/>
          </w:tcPr>
          <w:p>
            <w:pPr>
              <w:jc w:val="center"/>
              <w:ind w:right="1380"/>
              <w:spacing w:after="0"/>
              <w:rPr>
                <w:sz w:val="20"/>
                <w:szCs w:val="20"/>
                <w:color w:val="auto"/>
              </w:rPr>
            </w:pPr>
            <w:r>
              <w:rPr>
                <w:rFonts w:ascii="Times New Roman" w:cs="Times New Roman" w:eastAsia="Times New Roman" w:hAnsi="Times New Roman"/>
                <w:sz w:val="16"/>
                <w:szCs w:val="16"/>
                <w:color w:val="auto"/>
              </w:rPr>
              <w:t>March 8, 2021</w:t>
            </w:r>
          </w:p>
        </w:tc>
        <w:tc>
          <w:tcPr>
            <w:tcW w:w="0" w:type="dxa"/>
            <w:vAlign w:val="bottom"/>
          </w:tcPr>
          <w:p>
            <w:pPr>
              <w:spacing w:after="0"/>
              <w:rPr>
                <w:sz w:val="1"/>
                <w:szCs w:val="1"/>
                <w:color w:val="auto"/>
              </w:rPr>
            </w:pPr>
          </w:p>
        </w:tc>
      </w:tr>
      <w:tr>
        <w:trPr>
          <w:trHeight w:val="203"/>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Performance period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color w:val="auto"/>
              </w:rPr>
              <w:t>3yrs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gridSpan w:val="5"/>
          </w:tcPr>
          <w:p>
            <w:pPr>
              <w:jc w:val="center"/>
              <w:ind w:right="1780"/>
              <w:spacing w:after="0"/>
              <w:rPr>
                <w:sz w:val="20"/>
                <w:szCs w:val="20"/>
                <w:color w:val="auto"/>
              </w:rPr>
            </w:pPr>
            <w:r>
              <w:rPr>
                <w:rFonts w:ascii="Times New Roman" w:cs="Times New Roman" w:eastAsia="Times New Roman" w:hAnsi="Times New Roman"/>
                <w:sz w:val="16"/>
                <w:szCs w:val="16"/>
                <w:color w:val="auto"/>
              </w:rPr>
              <w:t>3yrs</w:t>
            </w:r>
          </w:p>
        </w:tc>
        <w:tc>
          <w:tcPr>
            <w:tcW w:w="0" w:type="dxa"/>
            <w:vAlign w:val="bottom"/>
          </w:tcPr>
          <w:p>
            <w:pPr>
              <w:spacing w:after="0"/>
              <w:rPr>
                <w:sz w:val="1"/>
                <w:szCs w:val="1"/>
                <w:color w:val="auto"/>
              </w:rPr>
            </w:pPr>
          </w:p>
        </w:tc>
      </w:tr>
      <w:tr>
        <w:trPr>
          <w:trHeight w:val="203"/>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580" w:type="dxa"/>
            <w:vAlign w:val="bottom"/>
            <w:gridSpan w:val="8"/>
            <w:shd w:val="clear" w:color="auto" w:fill="CFF0FC"/>
          </w:tcPr>
          <w:p>
            <w:pPr>
              <w:jc w:val="center"/>
              <w:ind w:right="1200"/>
              <w:spacing w:after="0"/>
              <w:rPr>
                <w:sz w:val="20"/>
                <w:szCs w:val="20"/>
                <w:color w:val="auto"/>
              </w:rPr>
            </w:pPr>
            <w:r>
              <w:rPr>
                <w:rFonts w:ascii="Times New Roman" w:cs="Times New Roman" w:eastAsia="Times New Roman" w:hAnsi="Times New Roman"/>
                <w:sz w:val="16"/>
                <w:szCs w:val="16"/>
                <w:color w:val="auto"/>
              </w:rPr>
              <w:t>January 28, 2023</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20" w:type="dxa"/>
            <w:vAlign w:val="bottom"/>
            <w:gridSpan w:val="7"/>
            <w:shd w:val="clear" w:color="auto" w:fill="CFF0FC"/>
          </w:tcPr>
          <w:p>
            <w:pPr>
              <w:jc w:val="center"/>
              <w:ind w:right="1220"/>
              <w:spacing w:after="0"/>
              <w:rPr>
                <w:sz w:val="20"/>
                <w:szCs w:val="20"/>
                <w:color w:val="auto"/>
              </w:rPr>
            </w:pPr>
            <w:r>
              <w:rPr>
                <w:rFonts w:ascii="Times New Roman" w:cs="Times New Roman" w:eastAsia="Times New Roman" w:hAnsi="Times New Roman"/>
                <w:sz w:val="16"/>
                <w:szCs w:val="16"/>
                <w:color w:val="auto"/>
              </w:rPr>
              <w:t>February 3, 2024</w:t>
            </w:r>
          </w:p>
        </w:tc>
        <w:tc>
          <w:tcPr>
            <w:tcW w:w="0" w:type="dxa"/>
            <w:vAlign w:val="bottom"/>
          </w:tcPr>
          <w:p>
            <w:pPr>
              <w:spacing w:after="0"/>
              <w:rPr>
                <w:sz w:val="1"/>
                <w:szCs w:val="1"/>
                <w:color w:val="auto"/>
              </w:rPr>
            </w:pPr>
          </w:p>
        </w:tc>
      </w:tr>
      <w:tr>
        <w:trPr>
          <w:trHeight w:val="189"/>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Target cash value</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9"/>
          </w:tcPr>
          <w:p>
            <w:pPr>
              <w:jc w:val="center"/>
              <w:ind w:right="74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8"/>
          </w:tcPr>
          <w:p>
            <w:pPr>
              <w:jc w:val="center"/>
              <w:ind w:right="78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5"/>
          </w:tcPr>
          <w:p>
            <w:pPr>
              <w:jc w:val="center"/>
              <w:ind w:left="479"/>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4"/>
          </w:tcPr>
          <w:p>
            <w:pPr>
              <w:jc w:val="center"/>
              <w:ind w:right="260"/>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4"/>
          </w:tcPr>
          <w:p>
            <w:pPr>
              <w:jc w:val="center"/>
              <w:ind w:right="319"/>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500" w:type="dxa"/>
            <w:vAlign w:val="bottom"/>
          </w:tcPr>
          <w:p>
            <w:pPr>
              <w:spacing w:after="0"/>
              <w:rPr>
                <w:sz w:val="15"/>
                <w:szCs w:val="15"/>
                <w:color w:val="auto"/>
              </w:rPr>
            </w:pPr>
          </w:p>
        </w:tc>
        <w:tc>
          <w:tcPr>
            <w:tcW w:w="156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40" w:type="dxa"/>
            <w:vAlign w:val="bottom"/>
            <w:gridSpan w:val="4"/>
            <w:shd w:val="clear" w:color="auto" w:fill="CFF0FC"/>
          </w:tcPr>
          <w:p>
            <w:pPr>
              <w:jc w:val="center"/>
              <w:ind w:left="89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center"/>
              <w:ind w:left="33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gridSpan w:val="4"/>
            <w:shd w:val="clear" w:color="auto" w:fill="CFF0FC"/>
          </w:tcPr>
          <w:p>
            <w:pPr>
              <w:jc w:val="center"/>
              <w:ind w:left="93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700" w:type="dxa"/>
            <w:vAlign w:val="bottom"/>
            <w:gridSpan w:val="3"/>
            <w:shd w:val="clear" w:color="auto" w:fill="CFF0FC"/>
          </w:tcPr>
          <w:p>
            <w:pPr>
              <w:jc w:val="center"/>
              <w:ind w:left="47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Award type</w:t>
            </w:r>
          </w:p>
        </w:tc>
        <w:tc>
          <w:tcPr>
            <w:tcW w:w="220" w:type="dxa"/>
            <w:vAlign w:val="bottom"/>
          </w:tcPr>
          <w:p>
            <w:pPr>
              <w:spacing w:after="0"/>
              <w:rPr>
                <w:sz w:val="14"/>
                <w:szCs w:val="14"/>
                <w:color w:val="auto"/>
              </w:rPr>
            </w:pPr>
          </w:p>
        </w:tc>
        <w:tc>
          <w:tcPr>
            <w:tcW w:w="1900" w:type="dxa"/>
            <w:vAlign w:val="bottom"/>
            <w:gridSpan w:val="6"/>
          </w:tcPr>
          <w:p>
            <w:pPr>
              <w:jc w:val="center"/>
              <w:spacing w:after="0" w:line="161" w:lineRule="exact"/>
              <w:rPr>
                <w:sz w:val="20"/>
                <w:szCs w:val="20"/>
                <w:color w:val="auto"/>
              </w:rPr>
            </w:pPr>
            <w:r>
              <w:rPr>
                <w:rFonts w:ascii="Times New Roman" w:cs="Times New Roman" w:eastAsia="Times New Roman" w:hAnsi="Times New Roman"/>
                <w:sz w:val="16"/>
                <w:szCs w:val="16"/>
                <w:color w:val="auto"/>
              </w:rPr>
              <w:t>at effective date:</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RSUs, Cash or a</w:t>
            </w:r>
          </w:p>
        </w:tc>
        <w:tc>
          <w:tcPr>
            <w:tcW w:w="260" w:type="dxa"/>
            <w:vAlign w:val="bottom"/>
          </w:tcPr>
          <w:p>
            <w:pPr>
              <w:spacing w:after="0"/>
              <w:rPr>
                <w:sz w:val="14"/>
                <w:szCs w:val="14"/>
                <w:color w:val="auto"/>
              </w:rPr>
            </w:pPr>
          </w:p>
        </w:tc>
        <w:tc>
          <w:tcPr>
            <w:tcW w:w="1780" w:type="dxa"/>
            <w:vAlign w:val="bottom"/>
            <w:gridSpan w:val="5"/>
          </w:tcPr>
          <w:p>
            <w:pPr>
              <w:jc w:val="center"/>
              <w:ind w:left="139"/>
              <w:spacing w:after="0" w:line="161" w:lineRule="exact"/>
              <w:rPr>
                <w:sz w:val="20"/>
                <w:szCs w:val="20"/>
                <w:color w:val="auto"/>
              </w:rPr>
            </w:pPr>
            <w:r>
              <w:rPr>
                <w:rFonts w:ascii="Times New Roman" w:cs="Times New Roman" w:eastAsia="Times New Roman" w:hAnsi="Times New Roman"/>
                <w:sz w:val="16"/>
                <w:szCs w:val="16"/>
                <w:color w:val="auto"/>
              </w:rPr>
              <w:t>at effective date: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162"/>
        </w:trPr>
        <w:tc>
          <w:tcPr>
            <w:tcW w:w="31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5"/>
          </w:tcPr>
          <w:p>
            <w:pPr>
              <w:jc w:val="center"/>
              <w:ind w:left="439"/>
              <w:spacing w:after="0" w:line="162" w:lineRule="exact"/>
              <w:rPr>
                <w:sz w:val="20"/>
                <w:szCs w:val="20"/>
                <w:color w:val="auto"/>
              </w:rPr>
            </w:pPr>
            <w:r>
              <w:rPr>
                <w:rFonts w:ascii="Times New Roman" w:cs="Times New Roman" w:eastAsia="Times New Roman" w:hAnsi="Times New Roman"/>
                <w:sz w:val="16"/>
                <w:szCs w:val="16"/>
                <w:color w:val="auto"/>
              </w:rPr>
              <w:t>50% Options</w:t>
            </w:r>
          </w:p>
        </w:tc>
        <w:tc>
          <w:tcPr>
            <w:tcW w:w="480" w:type="dxa"/>
            <w:vAlign w:val="bottom"/>
          </w:tcPr>
          <w:p>
            <w:pPr>
              <w:spacing w:after="0"/>
              <w:rPr>
                <w:sz w:val="14"/>
                <w:szCs w:val="14"/>
                <w:color w:val="auto"/>
              </w:rPr>
            </w:pPr>
          </w:p>
        </w:tc>
        <w:tc>
          <w:tcPr>
            <w:tcW w:w="1900" w:type="dxa"/>
            <w:vAlign w:val="bottom"/>
            <w:gridSpan w:val="5"/>
          </w:tcPr>
          <w:p>
            <w:pPr>
              <w:ind w:left="100"/>
              <w:spacing w:after="0" w:line="162" w:lineRule="exact"/>
              <w:rPr>
                <w:sz w:val="20"/>
                <w:szCs w:val="20"/>
                <w:color w:val="auto"/>
              </w:rPr>
            </w:pPr>
            <w:r>
              <w:rPr>
                <w:rFonts w:ascii="Times New Roman" w:cs="Times New Roman" w:eastAsia="Times New Roman" w:hAnsi="Times New Roman"/>
                <w:sz w:val="16"/>
                <w:szCs w:val="16"/>
                <w:color w:val="auto"/>
              </w:rPr>
              <w:t>combination thereof, when</w:t>
            </w:r>
          </w:p>
        </w:tc>
        <w:tc>
          <w:tcPr>
            <w:tcW w:w="260" w:type="dxa"/>
            <w:vAlign w:val="bottom"/>
          </w:tcPr>
          <w:p>
            <w:pPr>
              <w:spacing w:after="0"/>
              <w:rPr>
                <w:sz w:val="14"/>
                <w:szCs w:val="14"/>
                <w:color w:val="auto"/>
              </w:rPr>
            </w:pPr>
          </w:p>
        </w:tc>
        <w:tc>
          <w:tcPr>
            <w:tcW w:w="1780" w:type="dxa"/>
            <w:vAlign w:val="bottom"/>
            <w:gridSpan w:val="5"/>
          </w:tcPr>
          <w:p>
            <w:pPr>
              <w:jc w:val="center"/>
              <w:ind w:left="79"/>
              <w:spacing w:after="0" w:line="162" w:lineRule="exact"/>
              <w:rPr>
                <w:sz w:val="20"/>
                <w:szCs w:val="20"/>
                <w:color w:val="auto"/>
              </w:rPr>
            </w:pPr>
            <w:r>
              <w:rPr>
                <w:rFonts w:ascii="Times New Roman" w:cs="Times New Roman" w:eastAsia="Times New Roman" w:hAnsi="Times New Roman"/>
                <w:sz w:val="16"/>
                <w:szCs w:val="16"/>
                <w:color w:val="auto"/>
              </w:rPr>
              <w:t>25% Options</w:t>
            </w:r>
          </w:p>
        </w:tc>
        <w:tc>
          <w:tcPr>
            <w:tcW w:w="2060" w:type="dxa"/>
            <w:vAlign w:val="bottom"/>
            <w:gridSpan w:val="5"/>
          </w:tcPr>
          <w:p>
            <w:pPr>
              <w:ind w:left="240"/>
              <w:spacing w:after="0" w:line="162" w:lineRule="exact"/>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rPr>
              <w:t>50% Cash</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w w:val="98"/>
              </w:rPr>
              <w:t>earned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4"/>
          </w:tcPr>
          <w:p>
            <w:pPr>
              <w:jc w:val="center"/>
              <w:ind w:right="319"/>
              <w:spacing w:after="0"/>
              <w:rPr>
                <w:sz w:val="20"/>
                <w:szCs w:val="20"/>
                <w:color w:val="auto"/>
              </w:rPr>
            </w:pPr>
            <w:r>
              <w:rPr>
                <w:rFonts w:ascii="Times New Roman" w:cs="Times New Roman" w:eastAsia="Times New Roman" w:hAnsi="Times New Roman"/>
                <w:sz w:val="16"/>
                <w:szCs w:val="16"/>
                <w:color w:val="auto"/>
              </w:rPr>
              <w:t>75% Cash</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164"/>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color w:val="auto"/>
              </w:rPr>
              <w:t>25% June 11, 2021</w:t>
            </w:r>
          </w:p>
        </w:tc>
        <w:tc>
          <w:tcPr>
            <w:tcW w:w="480" w:type="dxa"/>
            <w:vAlign w:val="bottom"/>
            <w:shd w:val="clear" w:color="auto" w:fill="CFF0FC"/>
          </w:tcPr>
          <w:p>
            <w:pPr>
              <w:spacing w:after="0"/>
              <w:rPr>
                <w:sz w:val="14"/>
                <w:szCs w:val="14"/>
                <w:color w:val="auto"/>
              </w:rPr>
            </w:pPr>
          </w:p>
        </w:tc>
        <w:tc>
          <w:tcPr>
            <w:tcW w:w="1900" w:type="dxa"/>
            <w:vAlign w:val="bottom"/>
            <w:gridSpan w:val="5"/>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25% April 1, 2022</w:t>
            </w:r>
          </w:p>
        </w:tc>
        <w:tc>
          <w:tcPr>
            <w:tcW w:w="2060" w:type="dxa"/>
            <w:vAlign w:val="bottom"/>
            <w:gridSpan w:val="5"/>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62"/>
        </w:trPr>
        <w:tc>
          <w:tcPr>
            <w:tcW w:w="3120" w:type="dxa"/>
            <w:vAlign w:val="bottom"/>
            <w:gridSpan w:val="3"/>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period</w:t>
            </w: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25% April 1, 2022</w:t>
            </w:r>
          </w:p>
        </w:tc>
        <w:tc>
          <w:tcPr>
            <w:tcW w:w="480" w:type="dxa"/>
            <w:vAlign w:val="bottom"/>
            <w:shd w:val="clear" w:color="auto" w:fill="CFF0FC"/>
          </w:tcPr>
          <w:p>
            <w:pPr>
              <w:spacing w:after="0"/>
              <w:rPr>
                <w:sz w:val="14"/>
                <w:szCs w:val="14"/>
                <w:color w:val="auto"/>
              </w:rPr>
            </w:pPr>
          </w:p>
        </w:tc>
        <w:tc>
          <w:tcPr>
            <w:tcW w:w="1900" w:type="dxa"/>
            <w:vAlign w:val="bottom"/>
            <w:gridSpan w:val="5"/>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25% April 1, 2023</w:t>
            </w:r>
          </w:p>
        </w:tc>
        <w:tc>
          <w:tcPr>
            <w:tcW w:w="2060" w:type="dxa"/>
            <w:vAlign w:val="bottom"/>
            <w:gridSpan w:val="5"/>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120" w:type="dxa"/>
            <w:vAlign w:val="bottom"/>
            <w:gridSpan w:val="3"/>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gridSpan w:val="5"/>
            <w:vMerge w:val="restart"/>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25% April 1, 2023</w:t>
            </w:r>
          </w:p>
        </w:tc>
        <w:tc>
          <w:tcPr>
            <w:tcW w:w="480" w:type="dxa"/>
            <w:vAlign w:val="bottom"/>
            <w:shd w:val="clear" w:color="auto" w:fill="CFF0FC"/>
          </w:tcPr>
          <w:p>
            <w:pPr>
              <w:spacing w:after="0"/>
              <w:rPr>
                <w:sz w:val="10"/>
                <w:szCs w:val="10"/>
                <w:color w:val="auto"/>
              </w:rPr>
            </w:pPr>
          </w:p>
        </w:tc>
        <w:tc>
          <w:tcPr>
            <w:tcW w:w="1900" w:type="dxa"/>
            <w:vAlign w:val="bottom"/>
            <w:gridSpan w:val="5"/>
            <w:vMerge w:val="restart"/>
            <w:shd w:val="clear" w:color="auto" w:fill="CFF0FC"/>
          </w:tcPr>
          <w:p>
            <w:pPr>
              <w:ind w:left="80"/>
              <w:spacing w:after="0" w:line="162" w:lineRule="exact"/>
              <w:rPr>
                <w:sz w:val="20"/>
                <w:szCs w:val="20"/>
                <w:color w:val="auto"/>
              </w:rPr>
            </w:pPr>
            <w:r>
              <w:rPr>
                <w:rFonts w:ascii="Times New Roman" w:cs="Times New Roman" w:eastAsia="Times New Roman" w:hAnsi="Times New Roman"/>
                <w:sz w:val="16"/>
                <w:szCs w:val="16"/>
                <w:color w:val="auto"/>
              </w:rPr>
              <w:t>additional vesting through</w:t>
            </w:r>
          </w:p>
        </w:tc>
        <w:tc>
          <w:tcPr>
            <w:tcW w:w="260" w:type="dxa"/>
            <w:vAlign w:val="bottom"/>
            <w:shd w:val="clear" w:color="auto" w:fill="CFF0FC"/>
          </w:tcPr>
          <w:p>
            <w:pPr>
              <w:spacing w:after="0"/>
              <w:rPr>
                <w:sz w:val="10"/>
                <w:szCs w:val="10"/>
                <w:color w:val="auto"/>
              </w:rPr>
            </w:pPr>
          </w:p>
        </w:tc>
        <w:tc>
          <w:tcPr>
            <w:tcW w:w="1780" w:type="dxa"/>
            <w:vAlign w:val="bottom"/>
            <w:gridSpan w:val="5"/>
            <w:vMerge w:val="restart"/>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25% April 1, 2024</w:t>
            </w:r>
          </w:p>
        </w:tc>
        <w:tc>
          <w:tcPr>
            <w:tcW w:w="2060" w:type="dxa"/>
            <w:vAlign w:val="bottom"/>
            <w:gridSpan w:val="5"/>
            <w:vMerge w:val="restart"/>
            <w:shd w:val="clear" w:color="auto" w:fill="CFF0FC"/>
          </w:tcPr>
          <w:p>
            <w:pPr>
              <w:ind w:left="220"/>
              <w:spacing w:after="0" w:line="162" w:lineRule="exact"/>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46"/>
        </w:trPr>
        <w:tc>
          <w:tcPr>
            <w:tcW w:w="20" w:type="dxa"/>
            <w:vAlign w:val="bottom"/>
            <w:shd w:val="clear" w:color="auto" w:fill="CFF0FC"/>
          </w:tcPr>
          <w:p>
            <w:pPr>
              <w:spacing w:after="0"/>
              <w:rPr>
                <w:sz w:val="4"/>
                <w:szCs w:val="4"/>
                <w:color w:val="auto"/>
              </w:rPr>
            </w:pPr>
          </w:p>
        </w:tc>
        <w:tc>
          <w:tcPr>
            <w:tcW w:w="1620" w:type="dxa"/>
            <w:vAlign w:val="bottom"/>
            <w:shd w:val="clear" w:color="auto" w:fill="CFF0FC"/>
          </w:tcPr>
          <w:p>
            <w:pPr>
              <w:spacing w:after="0"/>
              <w:rPr>
                <w:sz w:val="4"/>
                <w:szCs w:val="4"/>
                <w:color w:val="auto"/>
              </w:rPr>
            </w:pPr>
          </w:p>
        </w:tc>
        <w:tc>
          <w:tcPr>
            <w:tcW w:w="1480" w:type="dxa"/>
            <w:vAlign w:val="bottom"/>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420" w:type="dxa"/>
            <w:vAlign w:val="bottom"/>
            <w:gridSpan w:val="5"/>
            <w:vMerge w:val="continue"/>
            <w:shd w:val="clear" w:color="auto" w:fill="CFF0FC"/>
          </w:tcPr>
          <w:p>
            <w:pPr>
              <w:spacing w:after="0"/>
              <w:rPr>
                <w:sz w:val="4"/>
                <w:szCs w:val="4"/>
                <w:color w:val="auto"/>
              </w:rPr>
            </w:pPr>
          </w:p>
        </w:tc>
        <w:tc>
          <w:tcPr>
            <w:tcW w:w="480" w:type="dxa"/>
            <w:vAlign w:val="bottom"/>
            <w:shd w:val="clear" w:color="auto" w:fill="CFF0FC"/>
          </w:tcPr>
          <w:p>
            <w:pPr>
              <w:spacing w:after="0"/>
              <w:rPr>
                <w:sz w:val="4"/>
                <w:szCs w:val="4"/>
                <w:color w:val="auto"/>
              </w:rPr>
            </w:pPr>
          </w:p>
        </w:tc>
        <w:tc>
          <w:tcPr>
            <w:tcW w:w="1900" w:type="dxa"/>
            <w:vAlign w:val="bottom"/>
            <w:gridSpan w:val="5"/>
            <w:vMerge w:val="continue"/>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1780" w:type="dxa"/>
            <w:vAlign w:val="bottom"/>
            <w:gridSpan w:val="5"/>
            <w:vMerge w:val="continue"/>
            <w:shd w:val="clear" w:color="auto" w:fill="CFF0FC"/>
          </w:tcPr>
          <w:p>
            <w:pPr>
              <w:spacing w:after="0"/>
              <w:rPr>
                <w:sz w:val="4"/>
                <w:szCs w:val="4"/>
                <w:color w:val="auto"/>
              </w:rPr>
            </w:pPr>
          </w:p>
        </w:tc>
        <w:tc>
          <w:tcPr>
            <w:tcW w:w="2060" w:type="dxa"/>
            <w:vAlign w:val="bottom"/>
            <w:gridSpan w:val="5"/>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2024</w:t>
            </w:r>
          </w:p>
        </w:tc>
        <w:tc>
          <w:tcPr>
            <w:tcW w:w="48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August 31, 2023</w:t>
            </w:r>
          </w:p>
        </w:tc>
        <w:tc>
          <w:tcPr>
            <w:tcW w:w="260" w:type="dxa"/>
            <w:vAlign w:val="bottom"/>
            <w:shd w:val="clear" w:color="auto" w:fill="CFF0FC"/>
          </w:tcPr>
          <w:p>
            <w:pPr>
              <w:spacing w:after="0"/>
              <w:rPr>
                <w:sz w:val="18"/>
                <w:szCs w:val="18"/>
                <w:color w:val="auto"/>
              </w:rPr>
            </w:pPr>
          </w:p>
        </w:tc>
        <w:tc>
          <w:tcPr>
            <w:tcW w:w="17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2060" w:type="dxa"/>
            <w:vAlign w:val="bottom"/>
            <w:gridSpan w:val="5"/>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365"/>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Performance Targets (1):</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w w:val="99"/>
              </w:rPr>
              <w:t>Target: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Min/Max Payout: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right="479"/>
              <w:spacing w:after="0"/>
              <w:rPr>
                <w:sz w:val="20"/>
                <w:szCs w:val="20"/>
                <w:color w:val="auto"/>
              </w:rPr>
            </w:pPr>
            <w:r>
              <w:rPr>
                <w:rFonts w:ascii="Times New Roman" w:cs="Times New Roman" w:eastAsia="Times New Roman" w:hAnsi="Times New Roman"/>
                <w:sz w:val="16"/>
                <w:szCs w:val="16"/>
                <w:color w:val="auto"/>
                <w:w w:val="99"/>
              </w:rPr>
              <w:t>Target:</w:t>
            </w:r>
          </w:p>
        </w:tc>
        <w:tc>
          <w:tcPr>
            <w:tcW w:w="500" w:type="dxa"/>
            <w:vAlign w:val="bottom"/>
          </w:tcPr>
          <w:p>
            <w:pPr>
              <w:spacing w:after="0"/>
              <w:rPr>
                <w:sz w:val="24"/>
                <w:szCs w:val="24"/>
                <w:color w:val="auto"/>
              </w:rPr>
            </w:pPr>
          </w:p>
        </w:tc>
        <w:tc>
          <w:tcPr>
            <w:tcW w:w="15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3-yr. relative total</w:t>
            </w:r>
          </w:p>
        </w:tc>
        <w:tc>
          <w:tcPr>
            <w:tcW w:w="480" w:type="dxa"/>
            <w:vAlign w:val="bottom"/>
            <w:shd w:val="clear" w:color="auto" w:fill="CFF0FC"/>
          </w:tcPr>
          <w:p>
            <w:pPr>
              <w:spacing w:after="0"/>
              <w:rPr>
                <w:sz w:val="14"/>
                <w:szCs w:val="14"/>
                <w:color w:val="auto"/>
              </w:rPr>
            </w:pPr>
          </w:p>
        </w:tc>
        <w:tc>
          <w:tcPr>
            <w:tcW w:w="1900" w:type="dxa"/>
            <w:vAlign w:val="bottom"/>
            <w:gridSpan w:val="5"/>
            <w:shd w:val="clear" w:color="auto" w:fill="CFF0FC"/>
          </w:tcPr>
          <w:p>
            <w:pPr>
              <w:ind w:left="80"/>
              <w:spacing w:after="0" w:line="161" w:lineRule="exact"/>
              <w:rPr>
                <w:sz w:val="20"/>
                <w:szCs w:val="20"/>
                <w:color w:val="auto"/>
              </w:rPr>
            </w:pPr>
            <w:r>
              <w:rPr>
                <w:rFonts w:ascii="Times New Roman" w:cs="Times New Roman" w:eastAsia="Times New Roman" w:hAnsi="Times New Roman"/>
                <w:sz w:val="16"/>
                <w:szCs w:val="16"/>
                <w:color w:val="auto"/>
              </w:rPr>
              <w:t>100% payout at target (2nd</w:t>
            </w:r>
          </w:p>
        </w:tc>
        <w:tc>
          <w:tcPr>
            <w:tcW w:w="260" w:type="dxa"/>
            <w:vAlign w:val="bottom"/>
            <w:shd w:val="clear" w:color="auto" w:fill="CFF0FC"/>
          </w:tcPr>
          <w:p>
            <w:pPr>
              <w:spacing w:after="0"/>
              <w:rPr>
                <w:sz w:val="14"/>
                <w:szCs w:val="14"/>
                <w:color w:val="auto"/>
              </w:rPr>
            </w:pPr>
          </w:p>
        </w:tc>
        <w:tc>
          <w:tcPr>
            <w:tcW w:w="3840" w:type="dxa"/>
            <w:vAlign w:val="bottom"/>
            <w:gridSpan w:val="10"/>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3-yr. relative total shareholder 100% payout at target (2nd</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shareholder return as</w:t>
            </w:r>
          </w:p>
        </w:tc>
        <w:tc>
          <w:tcPr>
            <w:tcW w:w="480" w:type="dxa"/>
            <w:vAlign w:val="bottom"/>
            <w:shd w:val="clear" w:color="auto" w:fill="CFF0FC"/>
          </w:tcPr>
          <w:p>
            <w:pPr>
              <w:spacing w:after="0"/>
              <w:rPr>
                <w:sz w:val="14"/>
                <w:szCs w:val="14"/>
                <w:color w:val="auto"/>
              </w:rPr>
            </w:pPr>
          </w:p>
        </w:tc>
        <w:tc>
          <w:tcPr>
            <w:tcW w:w="1900" w:type="dxa"/>
            <w:vAlign w:val="bottom"/>
            <w:gridSpan w:val="5"/>
            <w:shd w:val="clear" w:color="auto" w:fill="CFF0FC"/>
          </w:tcPr>
          <w:p>
            <w:pPr>
              <w:ind w:left="80"/>
              <w:spacing w:after="0" w:line="162" w:lineRule="exact"/>
              <w:rPr>
                <w:sz w:val="20"/>
                <w:szCs w:val="20"/>
                <w:color w:val="auto"/>
              </w:rPr>
            </w:pPr>
            <w:r>
              <w:rPr>
                <w:rFonts w:ascii="Times New Roman" w:cs="Times New Roman" w:eastAsia="Times New Roman" w:hAnsi="Times New Roman"/>
                <w:sz w:val="16"/>
                <w:szCs w:val="16"/>
                <w:color w:val="auto"/>
              </w:rPr>
              <w:t>quartile), with 50% payout</w:t>
            </w: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return as compared to 2021</w:t>
            </w:r>
          </w:p>
        </w:tc>
        <w:tc>
          <w:tcPr>
            <w:tcW w:w="2060" w:type="dxa"/>
            <w:vAlign w:val="bottom"/>
            <w:gridSpan w:val="5"/>
            <w:shd w:val="clear" w:color="auto" w:fill="CFF0FC"/>
          </w:tcPr>
          <w:p>
            <w:pPr>
              <w:ind w:left="220"/>
              <w:spacing w:after="0" w:line="162" w:lineRule="exact"/>
              <w:rPr>
                <w:sz w:val="20"/>
                <w:szCs w:val="20"/>
                <w:color w:val="auto"/>
              </w:rPr>
            </w:pPr>
            <w:r>
              <w:rPr>
                <w:rFonts w:ascii="Times New Roman" w:cs="Times New Roman" w:eastAsia="Times New Roman" w:hAnsi="Times New Roman"/>
                <w:sz w:val="16"/>
                <w:szCs w:val="16"/>
                <w:color w:val="auto"/>
              </w:rPr>
              <w:t>quartile), with 50% payout</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900" w:type="dxa"/>
            <w:vAlign w:val="bottom"/>
            <w:gridSpan w:val="6"/>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compared to 2020 disclosed</w:t>
            </w:r>
          </w:p>
        </w:tc>
        <w:tc>
          <w:tcPr>
            <w:tcW w:w="1900" w:type="dxa"/>
            <w:vAlign w:val="bottom"/>
            <w:gridSpan w:val="5"/>
            <w:shd w:val="clear" w:color="auto" w:fill="CFF0FC"/>
          </w:tcPr>
          <w:p>
            <w:pPr>
              <w:ind w:left="80"/>
              <w:spacing w:after="0" w:line="175" w:lineRule="exact"/>
              <w:rPr>
                <w:sz w:val="20"/>
                <w:szCs w:val="20"/>
                <w:color w:val="auto"/>
              </w:rPr>
            </w:pPr>
            <w:r>
              <w:rPr>
                <w:rFonts w:ascii="Times New Roman" w:cs="Times New Roman" w:eastAsia="Times New Roman" w:hAnsi="Times New Roman"/>
                <w:sz w:val="16"/>
                <w:szCs w:val="16"/>
                <w:color w:val="auto"/>
              </w:rPr>
              <w:t>(3rd quartile) and 150%</w:t>
            </w:r>
          </w:p>
        </w:tc>
        <w:tc>
          <w:tcPr>
            <w:tcW w:w="260" w:type="dxa"/>
            <w:vAlign w:val="bottom"/>
            <w:shd w:val="clear" w:color="auto" w:fill="CFF0FC"/>
          </w:tcPr>
          <w:p>
            <w:pPr>
              <w:spacing w:after="0"/>
              <w:rPr>
                <w:sz w:val="15"/>
                <w:szCs w:val="15"/>
                <w:color w:val="auto"/>
              </w:rPr>
            </w:pPr>
          </w:p>
        </w:tc>
        <w:tc>
          <w:tcPr>
            <w:tcW w:w="1780" w:type="dxa"/>
            <w:vAlign w:val="bottom"/>
            <w:gridSpan w:val="5"/>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disclosed proxy peers (3)</w:t>
            </w:r>
          </w:p>
        </w:tc>
        <w:tc>
          <w:tcPr>
            <w:tcW w:w="2060" w:type="dxa"/>
            <w:vAlign w:val="bottom"/>
            <w:gridSpan w:val="5"/>
            <w:shd w:val="clear" w:color="auto" w:fill="CFF0FC"/>
          </w:tcPr>
          <w:p>
            <w:pPr>
              <w:ind w:left="220"/>
              <w:spacing w:after="0" w:line="175" w:lineRule="exact"/>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proxy peers (2)</w:t>
            </w:r>
          </w:p>
        </w:tc>
        <w:tc>
          <w:tcPr>
            <w:tcW w:w="480" w:type="dxa"/>
            <w:vAlign w:val="bottom"/>
            <w:shd w:val="clear" w:color="auto" w:fill="CFF0FC"/>
          </w:tcPr>
          <w:p>
            <w:pPr>
              <w:spacing w:after="0"/>
              <w:rPr>
                <w:sz w:val="14"/>
                <w:szCs w:val="14"/>
                <w:color w:val="auto"/>
              </w:rPr>
            </w:pPr>
          </w:p>
        </w:tc>
        <w:tc>
          <w:tcPr>
            <w:tcW w:w="1900" w:type="dxa"/>
            <w:vAlign w:val="bottom"/>
            <w:gridSpan w:val="5"/>
            <w:shd w:val="clear" w:color="auto" w:fill="CFF0FC"/>
          </w:tcPr>
          <w:p>
            <w:pPr>
              <w:ind w:left="80"/>
              <w:spacing w:after="0" w:line="162" w:lineRule="exact"/>
              <w:rPr>
                <w:sz w:val="20"/>
                <w:szCs w:val="20"/>
                <w:color w:val="auto"/>
              </w:rPr>
            </w:pPr>
            <w:r>
              <w:rPr>
                <w:rFonts w:ascii="Times New Roman" w:cs="Times New Roman" w:eastAsia="Times New Roman" w:hAnsi="Times New Roman"/>
                <w:sz w:val="16"/>
                <w:szCs w:val="16"/>
                <w:color w:val="auto"/>
              </w:rPr>
              <w:t>payout (1st quartile). No</w:t>
            </w: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(100% weight)</w:t>
            </w:r>
          </w:p>
        </w:tc>
        <w:tc>
          <w:tcPr>
            <w:tcW w:w="2060" w:type="dxa"/>
            <w:vAlign w:val="bottom"/>
            <w:gridSpan w:val="5"/>
            <w:shd w:val="clear" w:color="auto" w:fill="CFF0FC"/>
          </w:tcPr>
          <w:p>
            <w:pPr>
              <w:ind w:left="220"/>
              <w:spacing w:after="0" w:line="162" w:lineRule="exact"/>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 weight)</w:t>
            </w:r>
          </w:p>
        </w:tc>
        <w:tc>
          <w:tcPr>
            <w:tcW w:w="48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60" w:type="dxa"/>
            <w:vAlign w:val="bottom"/>
            <w:gridSpan w:val="5"/>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1340" w:hanging="380"/>
        <w:spacing w:after="0" w:line="257"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that the 2020-2022 LTIP and 2021-2023 LTIP were each approved, there remained continued uncertainty regarding the COVID-19 pandemic and the short-term and long-term impact it may have on consumer spending. As such, the Compensation Committee established just one performance metric, “Three-Year Relative Total Shareholder Return”, for both LTIPs. The Compensation Committee believed this performance metric and the issuance of stock options (as opposed to restricted stock units) under the time-based portion of the LTIPs, appropriately aligned management with the interests of our stockholders. The use of stock options also helped to preserve share availability under the 2016 Plan given the depressed stock price at the time these LTIPs were approved. The issuance of only 25% Options in connection with the 2021-2023 LTIP was a direct result of the then-share price and share availability.</w:t>
      </w:r>
    </w:p>
    <w:p>
      <w:pPr>
        <w:spacing w:after="0" w:line="72" w:lineRule="exact"/>
        <w:rPr>
          <w:rFonts w:ascii="Times New Roman" w:cs="Times New Roman" w:eastAsia="Times New Roman" w:hAnsi="Times New Roman"/>
          <w:sz w:val="14"/>
          <w:szCs w:val="14"/>
          <w:color w:val="auto"/>
        </w:rPr>
      </w:pPr>
    </w:p>
    <w:p>
      <w:pPr>
        <w:ind w:left="1340" w:hanging="380"/>
        <w:spacing w:after="0" w:line="282"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2020 disclosed proxy peers, the three-year relative total shareholder return will be calculated as the percentage change in the 30-day trailing volume-weighted average closing stock price at January 31, 2020 and January 27, 2023, adjusted for any dividends paid.</w:t>
      </w:r>
    </w:p>
    <w:p>
      <w:pPr>
        <w:spacing w:after="0" w:line="53" w:lineRule="exact"/>
        <w:rPr>
          <w:rFonts w:ascii="Times New Roman" w:cs="Times New Roman" w:eastAsia="Times New Roman" w:hAnsi="Times New Roman"/>
          <w:sz w:val="14"/>
          <w:szCs w:val="14"/>
          <w:color w:val="auto"/>
        </w:rPr>
      </w:pPr>
    </w:p>
    <w:p>
      <w:pPr>
        <w:ind w:left="1340" w:hanging="380"/>
        <w:spacing w:after="0" w:line="302"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2021 disclosed proxy peers, the three-year relative total shareholder return will be calculated as the percentage change in the 30-day trailing volume-weighted average closing stock price at January 29, 2021 and February 2, 2024, adjusted for any dividends paid.</w:t>
      </w:r>
    </w:p>
    <w:p>
      <w:pPr>
        <w:spacing w:after="0" w:line="45" w:lineRule="exact"/>
        <w:rPr>
          <w:sz w:val="20"/>
          <w:szCs w:val="20"/>
          <w:color w:val="auto"/>
        </w:rPr>
      </w:pPr>
    </w:p>
    <w:p>
      <w:pPr>
        <w:ind w:left="940" w:right="20"/>
        <w:spacing w:after="0" w:line="266"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above metrics reflected the Company’s primary objective of returning to profitability and driving shareholder return.</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LTIP acts as a retention tool:</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6"/>
                <w:szCs w:val="16"/>
                <w:color w:val="auto"/>
              </w:rPr>
            </w:pPr>
          </w:p>
        </w:tc>
        <w:tc>
          <w:tcPr>
            <w:tcW w:w="47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2021</w:t>
            </w:r>
          </w:p>
        </w:tc>
        <w:tc>
          <w:tcPr>
            <w:tcW w:w="8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2022</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6"/>
                <w:szCs w:val="16"/>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r>
      <w:tr>
        <w:trPr>
          <w:trHeight w:val="169"/>
        </w:trPr>
        <w:tc>
          <w:tcPr>
            <w:tcW w:w="1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6/11/2020</w:t>
            </w:r>
          </w:p>
        </w:tc>
        <w:tc>
          <w:tcPr>
            <w:tcW w:w="120" w:type="dxa"/>
            <w:vAlign w:val="bottom"/>
            <w:shd w:val="clear" w:color="auto" w:fill="CFF0FC"/>
          </w:tcPr>
          <w:p>
            <w:pPr>
              <w:spacing w:after="0"/>
              <w:rPr>
                <w:sz w:val="14"/>
                <w:szCs w:val="14"/>
                <w:color w:val="auto"/>
              </w:rPr>
            </w:pPr>
          </w:p>
        </w:tc>
        <w:tc>
          <w:tcPr>
            <w:tcW w:w="4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2020-2022 LTIP</w:t>
            </w: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vests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8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r>
      <w:tr>
        <w:trPr>
          <w:trHeight w:val="175"/>
        </w:trPr>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88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3/8/2021</w:t>
            </w: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2021-2023 LTIP</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vests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r>
      <w:tr>
        <w:trPr>
          <w:trHeight w:val="176"/>
        </w:trPr>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88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FF0FC"/>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r>
    </w:tbl>
    <w:p>
      <w:pPr>
        <w:spacing w:after="0" w:line="85" w:lineRule="exact"/>
        <w:rPr>
          <w:sz w:val="20"/>
          <w:szCs w:val="20"/>
          <w:color w:val="auto"/>
        </w:rPr>
      </w:pPr>
    </w:p>
    <w:p>
      <w:pPr>
        <w:ind w:left="1040" w:hanging="373"/>
        <w:spacing w:after="0"/>
        <w:tabs>
          <w:tab w:leader="none" w:pos="1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 on April 1 following the end of the first year of the performance period or one year from the date of grant, whichever is later.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2022-2024 LTIP</w:t>
      </w:r>
    </w:p>
    <w:p>
      <w:pPr>
        <w:spacing w:after="0" w:line="117" w:lineRule="exact"/>
        <w:rPr>
          <w:sz w:val="20"/>
          <w:szCs w:val="20"/>
          <w:color w:val="auto"/>
        </w:rPr>
      </w:pPr>
    </w:p>
    <w:p>
      <w:pPr>
        <w:ind w:left="840" w:right="80"/>
        <w:spacing w:after="0" w:line="242" w:lineRule="auto"/>
        <w:rPr>
          <w:sz w:val="20"/>
          <w:szCs w:val="20"/>
          <w:color w:val="auto"/>
        </w:rPr>
      </w:pPr>
      <w:r>
        <w:rPr>
          <w:rFonts w:ascii="Times New Roman" w:cs="Times New Roman" w:eastAsia="Times New Roman" w:hAnsi="Times New Roman"/>
          <w:sz w:val="18"/>
          <w:szCs w:val="18"/>
          <w:color w:val="auto"/>
        </w:rPr>
        <w:t>Subsequent to the end of fiscal 2021, on March 30, 2022, the Compensation Committee approved the Fourth Amended and Restated Long-Term Incentive Plan (the "amended LTIP"), which will be effective beginning with the 2022-2024 LTIP. The LTIP was amended to, among other things, add a definition for "Structured Retirement" and the related vesting of both time-based and performance-based awards under such Structured Retirement. The addition of Structured Retirement provides an opportunity for greater vesting upon retirement where the participant assists the Company in ensuring the succession of the participant’s position with the Company prior to the participant’s retirement. In order to be eligible to terminate in a Structured Retirement, the participant must terminate employment after meeting the age and service requirements set forth in the amended LTIP, the Compensation Committee must confirm through proper corporate action that the participant has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ind w:left="323"/>
        <w:spacing w:after="0" w:line="250" w:lineRule="auto"/>
        <w:rPr>
          <w:sz w:val="20"/>
          <w:szCs w:val="20"/>
          <w:color w:val="auto"/>
        </w:rPr>
      </w:pPr>
      <w:r>
        <w:rPr>
          <w:rFonts w:ascii="Times New Roman" w:cs="Times New Roman" w:eastAsia="Times New Roman" w:hAnsi="Times New Roman"/>
          <w:sz w:val="18"/>
          <w:szCs w:val="18"/>
          <w:color w:val="auto"/>
        </w:rPr>
        <w:t>met all of the succession planning objectives set by the Compensation Committee for the participant, the participant must continue to work until the date required by the Compensation Committee (which may not be more than 60 days after the Compensation Committee confirms that the objectives have been met), and the participant must execute a release of claims in favor of the Company. The final determination as to whether the requirements of a Structured Retirement have been met is in the sole discretion of the Compensation Committee.</w:t>
      </w:r>
    </w:p>
    <w:p>
      <w:pPr>
        <w:spacing w:after="0" w:line="83" w:lineRule="exact"/>
        <w:rPr>
          <w:sz w:val="20"/>
          <w:szCs w:val="20"/>
          <w:color w:val="auto"/>
        </w:rPr>
      </w:pPr>
    </w:p>
    <w:p>
      <w:pPr>
        <w:ind w:left="323" w:right="100"/>
        <w:spacing w:after="0" w:line="243" w:lineRule="auto"/>
        <w:rPr>
          <w:sz w:val="20"/>
          <w:szCs w:val="20"/>
          <w:color w:val="auto"/>
        </w:rPr>
      </w:pPr>
      <w:r>
        <w:rPr>
          <w:rFonts w:ascii="Times New Roman" w:cs="Times New Roman" w:eastAsia="Times New Roman" w:hAnsi="Times New Roman"/>
          <w:sz w:val="18"/>
          <w:szCs w:val="18"/>
          <w:color w:val="auto"/>
        </w:rPr>
        <w:t>On April 9, 2022, the Compensation Committee established and approved the metric for the 2022-2024 LTIP. Consistent with the 2020-2022 LTIP and 2021-2023 LTIP, because of the continuing uncertainty with respect to global supply chain disruptions, inflation, labor shortages, COVID-19 and geopolitical instability from the Russian invasion of Ukraine, the Compensation Committee did not establish specific financial goals and again established a 3-year relative total shareholder return as the only metric under the 2022-2024 LTIP. The Compensation Committee believes that, given such uncertainties and the resulting complication attempting to set financial targets for the Company over a three-year period, the selection of a relative TSR against the Company’s peers aligns the interests of the LTIP participants with the interests of the Company’s stockholders. The Compensation Committee granted the time-based awards for the 2022-2024 LTIP in a combination of 50% restricted stock units and 50% cash.</w:t>
      </w:r>
    </w:p>
    <w:p>
      <w:pPr>
        <w:spacing w:after="0" w:line="76" w:lineRule="exact"/>
        <w:rPr>
          <w:sz w:val="20"/>
          <w:szCs w:val="20"/>
          <w:color w:val="auto"/>
        </w:rPr>
      </w:pPr>
    </w:p>
    <w:p>
      <w:pPr>
        <w:ind w:left="263" w:hanging="263"/>
        <w:spacing w:after="0"/>
        <w:tabs>
          <w:tab w:leader="none" w:pos="2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06" w:lineRule="exact"/>
        <w:rPr>
          <w:sz w:val="20"/>
          <w:szCs w:val="20"/>
          <w:color w:val="auto"/>
        </w:rPr>
      </w:pPr>
    </w:p>
    <w:p>
      <w:pPr>
        <w:ind w:left="323"/>
        <w:spacing w:after="0" w:line="244" w:lineRule="auto"/>
        <w:rPr>
          <w:sz w:val="20"/>
          <w:szCs w:val="20"/>
          <w:color w:val="auto"/>
        </w:rPr>
      </w:pPr>
      <w:r>
        <w:rPr>
          <w:rFonts w:ascii="Times New Roman" w:cs="Times New Roman" w:eastAsia="Times New Roman" w:hAnsi="Times New Roman"/>
          <w:sz w:val="18"/>
          <w:szCs w:val="18"/>
          <w:color w:val="auto"/>
        </w:rPr>
        <w:t>On March 9, 2021, the Compensation Committee approved the discretionary grant of stock options to Mr. Kanter and all then-active associates who were participants in the 2018-2020 LTIP, including our other Named Executive Officers. The Compensation Committee considered various factors in making awards, including the need to ensure that the Company retained and motivated key employees to successfully drive its business forward beyond the pandemic to create additional long-term stockholder value. The calculation of the stock option award was determined upon the same calculation that would have been made had the 2018-2020 LTIP achieved a 12.5% achievement of its performance metric. Accordingly, the Compensation Committee approved a discretionary grant of stock options to purchase up to an aggregate of 414,337 shares of common stock, at an exercise price of $0.75 per share. The dollar value of the total awards was $198,258. The stock options vest ratably over three years, with the first tranche vesting on March 9, 2022. See “</w:t>
      </w:r>
      <w:r>
        <w:rPr>
          <w:rFonts w:ascii="Times New Roman" w:cs="Times New Roman" w:eastAsia="Times New Roman" w:hAnsi="Times New Roman"/>
          <w:sz w:val="18"/>
          <w:szCs w:val="18"/>
          <w:i w:val="1"/>
          <w:iCs w:val="1"/>
          <w:color w:val="auto"/>
        </w:rPr>
        <w:t>Option Awards</w:t>
      </w:r>
      <w:r>
        <w:rPr>
          <w:rFonts w:ascii="Times New Roman" w:cs="Times New Roman" w:eastAsia="Times New Roman" w:hAnsi="Times New Roman"/>
          <w:sz w:val="18"/>
          <w:szCs w:val="18"/>
          <w:color w:val="auto"/>
        </w:rPr>
        <w:t>” below for information on the discretionary stock option awards made to our Named Executive Officers.</w:t>
      </w:r>
    </w:p>
    <w:p>
      <w:pPr>
        <w:spacing w:after="0" w:line="77" w:lineRule="exact"/>
        <w:rPr>
          <w:sz w:val="20"/>
          <w:szCs w:val="20"/>
          <w:color w:val="auto"/>
        </w:rPr>
      </w:pPr>
    </w:p>
    <w:p>
      <w:pPr>
        <w:ind w:left="323" w:right="20"/>
        <w:spacing w:after="0" w:line="243" w:lineRule="auto"/>
        <w:rPr>
          <w:sz w:val="20"/>
          <w:szCs w:val="20"/>
          <w:color w:val="auto"/>
        </w:rPr>
      </w:pPr>
      <w:r>
        <w:rPr>
          <w:rFonts w:ascii="Times New Roman" w:cs="Times New Roman" w:eastAsia="Times New Roman" w:hAnsi="Times New Roman"/>
          <w:sz w:val="18"/>
          <w:szCs w:val="18"/>
          <w:color w:val="auto"/>
        </w:rPr>
        <w:t>In light of the extraordinary financial performance of the Company in fiscal year 2021 and the substantially increased workload of the Company's management team during the year and the contributions of other employees to the Company’s financial performance, the Compensation Committee determined that it was appropriate and in the best interests of the Company and its stockholders to approve a discretionary cash award in addition to the award under the 2021 AIP. Accordingly, on March 15, 2022, in addition to the payouts earned under the AIP for achieving the financial metrics for fiscal 2021 as described above, each participant in the 2021 AIP, including our Named Executive Officers, also received an additional discretionary cash bonus equal to 10% of the participant's fiscal 2021 earned salary. In aggregate, these additional cash bonuses were made to 74 participants and totaled $1.2 million. The table below reflects the discretionary cash bonus made to each of our Named Executive Officers.</w:t>
      </w:r>
    </w:p>
    <w:p>
      <w:pPr>
        <w:spacing w:after="0" w:line="164" w:lineRule="exact"/>
        <w:rPr>
          <w:sz w:val="20"/>
          <w:szCs w:val="20"/>
          <w:color w:val="auto"/>
        </w:rPr>
      </w:pPr>
    </w:p>
    <w:tbl>
      <w:tblPr>
        <w:tblLayout w:type="fixed"/>
        <w:tblInd w:w="2763" w:type="dxa"/>
        <w:tblCellMar>
          <w:top w:w="0" w:type="dxa"/>
          <w:left w:w="0" w:type="dxa"/>
          <w:bottom w:w="0" w:type="dxa"/>
          <w:right w:w="0" w:type="dxa"/>
        </w:tblCellMar>
      </w:tblPr>
      <w:tr>
        <w:trPr>
          <w:trHeight w:val="207"/>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Discretionary</w:t>
            </w:r>
          </w:p>
        </w:tc>
        <w:tc>
          <w:tcPr>
            <w:tcW w:w="120" w:type="dxa"/>
            <w:vAlign w:val="bottom"/>
          </w:tcPr>
          <w:p>
            <w:pPr>
              <w:spacing w:after="0"/>
              <w:rPr>
                <w:sz w:val="18"/>
                <w:szCs w:val="18"/>
                <w:color w:val="auto"/>
              </w:rPr>
            </w:pPr>
          </w:p>
        </w:tc>
      </w:tr>
      <w:tr>
        <w:trPr>
          <w:trHeight w:val="238"/>
        </w:trPr>
        <w:tc>
          <w:tcPr>
            <w:tcW w:w="2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20"/>
                <w:szCs w:val="20"/>
                <w:color w:val="auto"/>
              </w:rPr>
            </w:pPr>
          </w:p>
        </w:tc>
      </w:tr>
      <w:tr>
        <w:trPr>
          <w:trHeight w:val="228"/>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120" w:type="dxa"/>
            <w:vAlign w:val="bottom"/>
            <w:shd w:val="clear" w:color="auto" w:fill="CFF0FC"/>
          </w:tcPr>
          <w:p>
            <w:pPr>
              <w:spacing w:after="0"/>
              <w:rPr>
                <w:sz w:val="19"/>
                <w:szCs w:val="19"/>
                <w:color w:val="auto"/>
              </w:rPr>
            </w:pPr>
          </w:p>
        </w:tc>
      </w:tr>
      <w:tr>
        <w:trPr>
          <w:trHeight w:val="171"/>
        </w:trPr>
        <w:tc>
          <w:tcPr>
            <w:tcW w:w="28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120" w:type="dxa"/>
            <w:vAlign w:val="bottom"/>
          </w:tcPr>
          <w:p>
            <w:pPr>
              <w:spacing w:after="0"/>
              <w:rPr>
                <w:sz w:val="20"/>
                <w:szCs w:val="20"/>
                <w:color w:val="auto"/>
              </w:rPr>
            </w:pPr>
          </w:p>
        </w:tc>
      </w:tr>
      <w:tr>
        <w:trPr>
          <w:trHeight w:val="171"/>
        </w:trPr>
        <w:tc>
          <w:tcPr>
            <w:tcW w:w="286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Ujjwal Dhoot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20" w:type="dxa"/>
            <w:vAlign w:val="bottom"/>
            <w:shd w:val="clear" w:color="auto" w:fill="CFF0FC"/>
          </w:tcPr>
          <w:p>
            <w:pPr>
              <w:spacing w:after="0"/>
              <w:rPr>
                <w:sz w:val="20"/>
                <w:szCs w:val="20"/>
                <w:color w:val="auto"/>
              </w:rPr>
            </w:pPr>
          </w:p>
        </w:tc>
      </w:tr>
      <w:tr>
        <w:trPr>
          <w:trHeight w:val="171"/>
        </w:trPr>
        <w:tc>
          <w:tcPr>
            <w:tcW w:w="28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20"/>
                <w:szCs w:val="20"/>
                <w:color w:val="auto"/>
              </w:rPr>
            </w:pPr>
          </w:p>
        </w:tc>
      </w:tr>
      <w:tr>
        <w:trPr>
          <w:trHeight w:val="171"/>
        </w:trPr>
        <w:tc>
          <w:tcPr>
            <w:tcW w:w="286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20" w:type="dxa"/>
            <w:vAlign w:val="bottom"/>
            <w:shd w:val="clear" w:color="auto" w:fill="CFF0FC"/>
          </w:tcPr>
          <w:p>
            <w:pPr>
              <w:spacing w:after="0"/>
              <w:rPr>
                <w:sz w:val="20"/>
                <w:szCs w:val="20"/>
                <w:color w:val="auto"/>
              </w:rPr>
            </w:pPr>
          </w:p>
        </w:tc>
      </w:tr>
      <w:tr>
        <w:trPr>
          <w:trHeight w:val="171"/>
        </w:trPr>
        <w:tc>
          <w:tcPr>
            <w:tcW w:w="2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bl>
    <w:p>
      <w:pPr>
        <w:spacing w:after="0" w:line="88" w:lineRule="exact"/>
        <w:rPr>
          <w:sz w:val="20"/>
          <w:szCs w:val="20"/>
          <w:color w:val="auto"/>
        </w:rPr>
      </w:pPr>
    </w:p>
    <w:p>
      <w:pPr>
        <w:ind w:left="263" w:hanging="263"/>
        <w:spacing w:after="0"/>
        <w:tabs>
          <w:tab w:leader="none" w:pos="2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05" w:lineRule="exact"/>
        <w:rPr>
          <w:rFonts w:ascii="Times New Roman" w:cs="Times New Roman" w:eastAsia="Times New Roman" w:hAnsi="Times New Roman"/>
          <w:sz w:val="18"/>
          <w:szCs w:val="18"/>
          <w:color w:val="auto"/>
        </w:rPr>
      </w:pPr>
    </w:p>
    <w:p>
      <w:pPr>
        <w:ind w:left="263"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40" w:lineRule="exact"/>
        <w:rPr>
          <w:rFonts w:ascii="Times New Roman" w:cs="Times New Roman" w:eastAsia="Times New Roman" w:hAnsi="Times New Roman"/>
          <w:sz w:val="18"/>
          <w:szCs w:val="18"/>
          <w:color w:val="auto"/>
        </w:rPr>
      </w:pPr>
    </w:p>
    <w:p>
      <w:pPr>
        <w:ind w:left="263"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spacing w:after="0" w:line="67" w:lineRule="exact"/>
        <w:rPr>
          <w:rFonts w:ascii="Times New Roman" w:cs="Times New Roman" w:eastAsia="Times New Roman" w:hAnsi="Times New Roman"/>
          <w:sz w:val="18"/>
          <w:szCs w:val="18"/>
          <w:color w:val="auto"/>
        </w:rPr>
      </w:pPr>
    </w:p>
    <w:p>
      <w:pPr>
        <w:ind w:left="263"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our 401(k) Plan, and after one year of employment are eligible for a Company match. For the 2021 plan year, the Company suspended its QACA ("Qualified Automatic Contribution Arrangement") safe harbor and, while not required, the Company made a discretionary employer match for 2021. The Company has resumed its QACA safe harbor status for fiscal 2022.</w:t>
      </w:r>
    </w:p>
    <w:p>
      <w:pPr>
        <w:spacing w:after="0" w:line="69" w:lineRule="exact"/>
        <w:rPr>
          <w:sz w:val="20"/>
          <w:szCs w:val="20"/>
          <w:color w:val="auto"/>
        </w:rPr>
      </w:pPr>
    </w:p>
    <w:p>
      <w:pPr>
        <w:ind w:left="263" w:right="160"/>
        <w:spacing w:after="0" w:line="247" w:lineRule="auto"/>
        <w:rPr>
          <w:sz w:val="20"/>
          <w:szCs w:val="20"/>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w:t>
      </w:r>
    </w:p>
    <w:p>
      <w:pPr>
        <w:jc w:val="center"/>
        <w:ind w:right="47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2" w:right="359" w:bottom="1440" w:gutter="0" w:footer="0" w:header="0"/>
        </w:sectPr>
      </w:pPr>
    </w:p>
    <w:bookmarkStart w:id="17" w:name="page18"/>
    <w:bookmarkEnd w:id="17"/>
    <w:p>
      <w:pPr>
        <w:jc w:val="both"/>
        <w:ind w:left="263" w:right="280"/>
        <w:spacing w:after="0" w:line="259" w:lineRule="auto"/>
        <w:rPr>
          <w:sz w:val="20"/>
          <w:szCs w:val="20"/>
          <w:color w:val="auto"/>
        </w:rPr>
      </w:pPr>
      <w:r>
        <w:rPr>
          <w:rFonts w:ascii="Times New Roman" w:cs="Times New Roman" w:eastAsia="Times New Roman" w:hAnsi="Times New Roman"/>
          <w:sz w:val="18"/>
          <w:szCs w:val="18"/>
          <w:color w:val="auto"/>
        </w:rPr>
        <w:t>and incentive programs, as they relate to terminations, are discussed in detail below in the section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following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Our employment agreements do not contain any tax gross-ups pursuant to Section 280(g) of the Internal Revenue Code.</w:t>
      </w:r>
    </w:p>
    <w:p>
      <w:pPr>
        <w:spacing w:after="0" w:line="59" w:lineRule="exact"/>
        <w:rPr>
          <w:sz w:val="20"/>
          <w:szCs w:val="20"/>
          <w:color w:val="auto"/>
        </w:rPr>
      </w:pPr>
    </w:p>
    <w:p>
      <w:pPr>
        <w:ind w:left="263" w:hanging="263"/>
        <w:spacing w:after="0"/>
        <w:tabs>
          <w:tab w:leader="none" w:pos="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Implications</w:t>
      </w:r>
    </w:p>
    <w:p>
      <w:pPr>
        <w:spacing w:after="0" w:line="119" w:lineRule="exact"/>
        <w:rPr>
          <w:rFonts w:ascii="Times New Roman" w:cs="Times New Roman" w:eastAsia="Times New Roman" w:hAnsi="Times New Roman"/>
          <w:sz w:val="18"/>
          <w:szCs w:val="18"/>
          <w:color w:val="auto"/>
        </w:rPr>
      </w:pPr>
    </w:p>
    <w:p>
      <w:pPr>
        <w:ind w:left="263"/>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384" w:lineRule="exact"/>
        <w:rPr>
          <w:sz w:val="20"/>
          <w:szCs w:val="20"/>
          <w:color w:val="auto"/>
        </w:rPr>
      </w:pPr>
    </w:p>
    <w:p>
      <w:pPr>
        <w:jc w:val="center"/>
        <w:ind w:right="337"/>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3"/>
          </w:cols>
          <w:pgMar w:left="837" w:top="430"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1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Willem Mesdag, Chair</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Jack Boyle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19" w:name="page20"/>
    <w:bookmarkEnd w:id="1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Summary Compensation Table sets forth certain information regarding compensation paid or accrued by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our Named Executive Officers for fiscal 2021.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00" w:type="dxa"/>
            <w:vAlign w:val="bottom"/>
          </w:tcPr>
          <w:p>
            <w:pPr>
              <w:spacing w:after="0"/>
              <w:rPr>
                <w:sz w:val="12"/>
                <w:szCs w:val="12"/>
                <w:color w:val="auto"/>
              </w:rPr>
            </w:pPr>
          </w:p>
        </w:tc>
        <w:tc>
          <w:tcPr>
            <w:tcW w:w="9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9"/>
              <w:spacing w:after="0" w:line="13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1"/>
                <w:szCs w:val="11"/>
                <w:color w:val="auto"/>
              </w:rPr>
            </w:pPr>
          </w:p>
        </w:tc>
        <w:tc>
          <w:tcPr>
            <w:tcW w:w="96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Bonus ($)(1)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 (2) (3)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 (2) (3)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Harvey S. Kanter</w:t>
            </w:r>
          </w:p>
        </w:tc>
        <w:tc>
          <w:tcPr>
            <w:tcW w:w="12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w:t>
            </w:r>
          </w:p>
        </w:tc>
        <w:tc>
          <w:tcPr>
            <w:tcW w:w="3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443,260</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207,035</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2,069,448</w:t>
            </w:r>
          </w:p>
        </w:tc>
        <w:tc>
          <w:tcPr>
            <w:tcW w:w="20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88,035</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3,616,278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President and Chief Executive</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686,942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436,880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902,425</w:t>
            </w:r>
          </w:p>
        </w:tc>
        <w:tc>
          <w:tcPr>
            <w:tcW w:w="640" w:type="dxa"/>
            <w:vAlign w:val="bottom"/>
            <w:gridSpan w:val="2"/>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84,682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2,110,929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Officer</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671,923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1,941,974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435,346</w:t>
            </w:r>
          </w:p>
        </w:tc>
        <w:tc>
          <w:tcPr>
            <w:tcW w:w="640" w:type="dxa"/>
            <w:vAlign w:val="bottom"/>
            <w:gridSpan w:val="2"/>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114,824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3,164,067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H. Stratton, Jr.</w:t>
            </w: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458,525</w:t>
            </w:r>
          </w:p>
        </w:tc>
        <w:tc>
          <w:tcPr>
            <w:tcW w:w="6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Executive Vice President, Chief</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369,173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200,022</w:t>
            </w:r>
          </w:p>
        </w:tc>
        <w:tc>
          <w:tcPr>
            <w:tcW w:w="6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108,625</w:t>
            </w:r>
          </w:p>
        </w:tc>
        <w:tc>
          <w:tcPr>
            <w:tcW w:w="6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588,245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Ujjwal Dhoot</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38,500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38,639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336,767</w:t>
            </w:r>
          </w:p>
        </w:tc>
        <w:tc>
          <w:tcPr>
            <w:tcW w:w="640" w:type="dxa"/>
            <w:vAlign w:val="bottom"/>
            <w:gridSpan w:val="2"/>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864,689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Marketing Officer</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322,885</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46,601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135,351</w:t>
            </w:r>
          </w:p>
        </w:tc>
        <w:tc>
          <w:tcPr>
            <w:tcW w:w="640" w:type="dxa"/>
            <w:vAlign w:val="bottom"/>
            <w:gridSpan w:val="2"/>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614,812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S. Molloy</w:t>
            </w: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397,809</w:t>
            </w:r>
          </w:p>
        </w:tc>
        <w:tc>
          <w:tcPr>
            <w:tcW w:w="6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Counsel and Secretary</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350,481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156,598</w:t>
            </w:r>
          </w:p>
        </w:tc>
        <w:tc>
          <w:tcPr>
            <w:tcW w:w="6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6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Anthony J. Gaeta</w:t>
            </w: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38,281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267,217</w:t>
            </w:r>
          </w:p>
        </w:tc>
        <w:tc>
          <w:tcPr>
            <w:tcW w:w="640" w:type="dxa"/>
            <w:vAlign w:val="bottom"/>
            <w:gridSpan w:val="2"/>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725,294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Stores Officer</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275,711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112,162</w:t>
            </w:r>
          </w:p>
        </w:tc>
        <w:tc>
          <w:tcPr>
            <w:tcW w:w="640" w:type="dxa"/>
            <w:vAlign w:val="bottom"/>
            <w:gridSpan w:val="2"/>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21,864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2019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291,730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51,625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43,176</w:t>
            </w:r>
          </w:p>
        </w:tc>
        <w:tc>
          <w:tcPr>
            <w:tcW w:w="640" w:type="dxa"/>
            <w:vAlign w:val="bottom"/>
            <w:gridSpan w:val="2"/>
            <w:shd w:val="clear" w:color="auto" w:fill="CFF0FC"/>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408,405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760" w:right="260" w:hanging="378"/>
        <w:spacing w:after="0" w:line="265"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bonuses in fiscal 2021 represent the discretionary cash award granted to all members of the 2021 AIP, see "</w:t>
      </w:r>
      <w:r>
        <w:rPr>
          <w:rFonts w:ascii="Times New Roman" w:cs="Times New Roman" w:eastAsia="Times New Roman" w:hAnsi="Times New Roman"/>
          <w:sz w:val="16"/>
          <w:szCs w:val="16"/>
          <w:i w:val="1"/>
          <w:iCs w:val="1"/>
          <w:color w:val="auto"/>
        </w:rPr>
        <w:t>Compensation Discussion and Analysis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Components and Fiscal 2021 Compensation Decisions - Discretionary Cash and Equity Awards</w:t>
      </w:r>
      <w:r>
        <w:rPr>
          <w:rFonts w:ascii="Times New Roman" w:cs="Times New Roman" w:eastAsia="Times New Roman" w:hAnsi="Times New Roman"/>
          <w:sz w:val="16"/>
          <w:szCs w:val="16"/>
          <w:color w:val="auto"/>
        </w:rPr>
        <w:t>" for a discussion of the award.</w:t>
      </w:r>
    </w:p>
    <w:p>
      <w:pPr>
        <w:spacing w:after="0" w:line="68" w:lineRule="exact"/>
        <w:rPr>
          <w:rFonts w:ascii="Times New Roman" w:cs="Times New Roman" w:eastAsia="Times New Roman" w:hAnsi="Times New Roman"/>
          <w:sz w:val="16"/>
          <w:szCs w:val="16"/>
          <w:color w:val="auto"/>
        </w:rPr>
      </w:pPr>
    </w:p>
    <w:p>
      <w:pPr>
        <w:ind w:left="760" w:right="40" w:hanging="378"/>
        <w:spacing w:after="0" w:line="250"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were estimated as of the date of grant using a Black-Scholes valuation model. For fiscal 2019, the fair value of performance-based awards to Mr. Kanter, which were based on a market condition, was determined as of the date of grant using a Monte-Carlo valuation model. Additional information regarding the assumptions used to estimate the fair value of all awards is included in Note A and Note I to Consolidated Financial Statements contained in our Annual Report on Form 10-K for the fiscal year ended January 29, 2022.</w:t>
      </w:r>
    </w:p>
    <w:p>
      <w:pPr>
        <w:spacing w:after="0" w:line="79" w:lineRule="exact"/>
        <w:rPr>
          <w:rFonts w:ascii="Times New Roman" w:cs="Times New Roman" w:eastAsia="Times New Roman" w:hAnsi="Times New Roman"/>
          <w:sz w:val="16"/>
          <w:szCs w:val="16"/>
          <w:color w:val="auto"/>
        </w:rPr>
      </w:pPr>
    </w:p>
    <w:p>
      <w:pPr>
        <w:ind w:left="760" w:right="140" w:hanging="378"/>
        <w:spacing w:after="0" w:line="247"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reflected under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represent the grant of restricted stock units on March 15, 2022 as a result of the Company's achieving its performance targets under the 2019-2021 LTIP. The potential value of the award at threshold, target and maximum was previously reported in the "</w:t>
      </w:r>
      <w:r>
        <w:rPr>
          <w:rFonts w:ascii="Times New Roman" w:cs="Times New Roman" w:eastAsia="Times New Roman" w:hAnsi="Times New Roman"/>
          <w:sz w:val="16"/>
          <w:szCs w:val="16"/>
          <w:i w:val="1"/>
          <w:iCs w:val="1"/>
          <w:color w:val="auto"/>
        </w:rPr>
        <w:t>2019 Grants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Plan-Based Awards</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Estimated Future Payouts Under Equity Incentive Plan Awards</w:t>
      </w:r>
      <w:r>
        <w:rPr>
          <w:rFonts w:ascii="Times New Roman" w:cs="Times New Roman" w:eastAsia="Times New Roman" w:hAnsi="Times New Roman"/>
          <w:sz w:val="16"/>
          <w:szCs w:val="16"/>
          <w:color w:val="auto"/>
        </w:rPr>
        <w:t>."</w:t>
      </w:r>
    </w:p>
    <w:p>
      <w:pPr>
        <w:spacing w:after="0" w:line="66"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below for a breakdown of 2021 amounts reflected in this column.</w:t>
      </w:r>
    </w:p>
    <w:p>
      <w:pPr>
        <w:spacing w:after="0" w:line="115" w:lineRule="exact"/>
        <w:rPr>
          <w:rFonts w:ascii="Times New Roman" w:cs="Times New Roman" w:eastAsia="Times New Roman" w:hAnsi="Times New Roman"/>
          <w:sz w:val="16"/>
          <w:szCs w:val="16"/>
          <w:color w:val="auto"/>
        </w:rPr>
      </w:pPr>
    </w:p>
    <w:p>
      <w:pPr>
        <w:ind w:left="760" w:right="2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under the 2021-2023 LTIP was determined based on the probable outcome of the performance conditions as of the service-inception date. Because the achievement of the performance targets under the 2021-2023 LTIP was not deemed probable as of the service-inception date, no value was attributed to the performance-based portion of these awards. The following reflects the fair values of the performance-based equity portion of the 2021-2023 LTIP assuming the highest level of performance conditions will be achieved for each of the Named Executive Officers:</w:t>
      </w:r>
    </w:p>
    <w:p>
      <w:pPr>
        <w:spacing w:after="0" w:line="10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350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468,563</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35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103,688</w:t>
            </w: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350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101,063</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35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98,438</w:t>
            </w: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350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77,438</w:t>
            </w:r>
          </w:p>
        </w:tc>
      </w:tr>
    </w:tbl>
    <w:p>
      <w:pPr>
        <w:spacing w:after="0" w:line="81" w:lineRule="exact"/>
        <w:rPr>
          <w:sz w:val="20"/>
          <w:szCs w:val="20"/>
          <w:color w:val="auto"/>
        </w:rPr>
      </w:pPr>
    </w:p>
    <w:p>
      <w:pPr>
        <w:ind w:left="760" w:right="300" w:hanging="378"/>
        <w:spacing w:after="0" w:line="246"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2021 AIP, cash earned under the performance-based component of the 2019-2021 LTIP, the second tranche of time-vested cash of the 2019-2020 LTIP and the first tranche of time-vested cash of the 2020-2022 LTIP. See table “</w:t>
      </w:r>
      <w:r>
        <w:rPr>
          <w:rFonts w:ascii="Times New Roman" w:cs="Times New Roman" w:eastAsia="Times New Roman" w:hAnsi="Times New Roman"/>
          <w:sz w:val="16"/>
          <w:szCs w:val="16"/>
          <w:i w:val="1"/>
          <w:iCs w:val="1"/>
          <w:color w:val="auto"/>
        </w:rPr>
        <w:t>2021 Non-Equity (Cash) Incentive Plan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below for additional detail.</w:t>
      </w:r>
    </w:p>
    <w:p>
      <w:pPr>
        <w:spacing w:after="0" w:line="6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2021 amounts reflected in this column.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amounts in fiscal 2021 in the “</w:t>
      </w:r>
      <w:r>
        <w:rPr>
          <w:rFonts w:ascii="Times New Roman" w:cs="Times New Roman" w:eastAsia="Times New Roman" w:hAnsi="Times New Roman"/>
          <w:sz w:val="18"/>
          <w:szCs w:val="18"/>
          <w:i w:val="1"/>
          <w:iCs w:val="1"/>
          <w:color w:val="auto"/>
        </w:rPr>
        <w:t>Option Awards</w:t>
      </w:r>
      <w:r>
        <w:rPr>
          <w:rFonts w:ascii="Times New Roman" w:cs="Times New Roman" w:eastAsia="Times New Roman" w:hAnsi="Times New Roman"/>
          <w:sz w:val="18"/>
          <w:szCs w:val="18"/>
          <w:color w:val="auto"/>
        </w:rPr>
        <w:t>” column of the Summary Compensation Table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Discretionary Grant of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 Stock Option</w:t>
            </w:r>
          </w:p>
        </w:tc>
        <w:tc>
          <w:tcPr>
            <w:tcW w:w="100" w:type="dxa"/>
            <w:vAlign w:val="bottom"/>
          </w:tcPr>
          <w:p>
            <w:pPr>
              <w:spacing w:after="0"/>
              <w:rPr>
                <w:sz w:val="12"/>
                <w:szCs w:val="12"/>
                <w:color w:val="auto"/>
              </w:rPr>
            </w:pPr>
          </w:p>
        </w:tc>
      </w:tr>
      <w:tr>
        <w:trPr>
          <w:trHeight w:val="188"/>
        </w:trPr>
        <w:tc>
          <w:tcPr>
            <w:tcW w:w="548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2021-2023 LTIP (1)</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Options (2)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6"/>
                <w:szCs w:val="16"/>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156,188</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207,035</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34,563</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51,844</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6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38,639</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49,218</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25,812</w:t>
            </w:r>
          </w:p>
        </w:tc>
        <w:tc>
          <w:tcPr>
            <w:tcW w:w="6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100" w:type="dxa"/>
            <w:vAlign w:val="bottom"/>
            <w:shd w:val="clear" w:color="auto" w:fill="CFF0FC"/>
          </w:tcPr>
          <w:p>
            <w:pPr>
              <w:spacing w:after="0"/>
              <w:rPr>
                <w:sz w:val="18"/>
                <w:szCs w:val="18"/>
                <w:color w:val="auto"/>
              </w:rPr>
            </w:pPr>
          </w:p>
        </w:tc>
      </w:tr>
    </w:tbl>
    <w:p>
      <w:pPr>
        <w:spacing w:after="0" w:line="189" w:lineRule="exact"/>
        <w:rPr>
          <w:sz w:val="20"/>
          <w:szCs w:val="20"/>
          <w:color w:val="auto"/>
        </w:rPr>
      </w:pPr>
    </w:p>
    <w:p>
      <w:pPr>
        <w:ind w:left="760" w:right="40" w:hanging="378"/>
        <w:spacing w:after="0" w:line="280"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time-based stock options issued under the 2021-2023 LTIP, which vest in four tranches with the first 25% vesting on April 1, 2022 and the remaining tranches vesting on April 1, 2023, April 1, 2024 and April 1, 2025.</w:t>
      </w:r>
    </w:p>
    <w:p>
      <w:pPr>
        <w:spacing w:after="0" w:line="149" w:lineRule="exact"/>
        <w:rPr>
          <w:rFonts w:ascii="Times New Roman" w:cs="Times New Roman" w:eastAsia="Times New Roman" w:hAnsi="Times New Roman"/>
          <w:sz w:val="16"/>
          <w:szCs w:val="16"/>
          <w:color w:val="auto"/>
        </w:rPr>
      </w:pPr>
    </w:p>
    <w:p>
      <w:pPr>
        <w:ind w:left="760" w:right="40" w:hanging="378"/>
        <w:spacing w:after="0" w:line="258"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the grant-date fair value of a discretionary grant of stock options on March 9, 2021. See </w:t>
      </w:r>
      <w:r>
        <w:rPr>
          <w:rFonts w:ascii="Times New Roman" w:cs="Times New Roman" w:eastAsia="Times New Roman" w:hAnsi="Times New Roman"/>
          <w:sz w:val="16"/>
          <w:szCs w:val="16"/>
          <w:i w:val="1"/>
          <w:iCs w:val="1"/>
          <w:color w:val="auto"/>
        </w:rPr>
        <w:t>Compensation Discussion and Analysis - Compensation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Components and Fiscal 2021 Compensation Decisions - Discretionary Cash and Equity Awards</w:t>
      </w:r>
      <w:r>
        <w:rPr>
          <w:rFonts w:ascii="Times New Roman" w:cs="Times New Roman" w:eastAsia="Times New Roman" w:hAnsi="Times New Roman"/>
          <w:sz w:val="16"/>
          <w:szCs w:val="16"/>
          <w:color w:val="auto"/>
        </w:rPr>
        <w:t>" for additional information regarding the award. The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vest in three equal installments, with the first tranche vesting on March 9, 2022, the second tranche on March 9, 2023 and remaining tranche on March 9,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amounts for fiscal 2021 in the “</w:t>
      </w:r>
      <w:r>
        <w:rPr>
          <w:rFonts w:ascii="Times New Roman" w:cs="Times New Roman" w:eastAsia="Times New Roman" w:hAnsi="Times New Roman"/>
          <w:sz w:val="18"/>
          <w:szCs w:val="18"/>
          <w:i w:val="1"/>
          <w:iCs w:val="1"/>
          <w:color w:val="auto"/>
        </w:rPr>
        <w:t>2021 Non-Equity (Cash) Incentive Plan Compensation”</w:t>
      </w:r>
      <w:r>
        <w:rPr>
          <w:rFonts w:ascii="Times New Roman" w:cs="Times New Roman" w:eastAsia="Times New Roman" w:hAnsi="Times New Roman"/>
          <w:sz w:val="18"/>
          <w:szCs w:val="18"/>
          <w:color w:val="auto"/>
        </w:rPr>
        <w:t xml:space="preserve"> column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Compensation Table above: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2019-2021 LTIP</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156"/>
              <w:spacing w:after="0" w:line="139" w:lineRule="exact"/>
              <w:rPr>
                <w:sz w:val="20"/>
                <w:szCs w:val="20"/>
                <w:color w:val="auto"/>
              </w:rPr>
            </w:pPr>
            <w:r>
              <w:rPr>
                <w:rFonts w:ascii="Times New Roman" w:cs="Times New Roman" w:eastAsia="Times New Roman" w:hAnsi="Times New Roman"/>
                <w:sz w:val="13"/>
                <w:szCs w:val="13"/>
                <w:b w:val="1"/>
                <w:bCs w:val="1"/>
                <w:color w:val="auto"/>
              </w:rPr>
              <w:t>Annual Incentive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38"/>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240" w:type="dxa"/>
            <w:vAlign w:val="bottom"/>
          </w:tcPr>
          <w:p>
            <w:pPr>
              <w:spacing w:after="0"/>
              <w:rPr>
                <w:sz w:val="12"/>
                <w:szCs w:val="12"/>
                <w:color w:val="auto"/>
              </w:rPr>
            </w:pPr>
          </w:p>
        </w:tc>
        <w:tc>
          <w:tcPr>
            <w:tcW w:w="1120" w:type="dxa"/>
            <w:vAlign w:val="bottom"/>
            <w:gridSpan w:val="2"/>
          </w:tcPr>
          <w:p>
            <w:pPr>
              <w:jc w:val="right"/>
              <w:ind w:right="14"/>
              <w:spacing w:after="0" w:line="139" w:lineRule="exact"/>
              <w:rPr>
                <w:sz w:val="20"/>
                <w:szCs w:val="20"/>
                <w:color w:val="auto"/>
              </w:rPr>
            </w:pPr>
            <w:r>
              <w:rPr>
                <w:rFonts w:ascii="Times New Roman" w:cs="Times New Roman" w:eastAsia="Times New Roman" w:hAnsi="Times New Roman"/>
                <w:sz w:val="13"/>
                <w:szCs w:val="13"/>
                <w:b w:val="1"/>
                <w:bCs w:val="1"/>
                <w:color w:val="auto"/>
              </w:rPr>
              <w:t>2019-2021 LTIP</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56"/>
              <w:spacing w:after="0" w:line="139" w:lineRule="exact"/>
              <w:rPr>
                <w:sz w:val="20"/>
                <w:szCs w:val="20"/>
                <w:color w:val="auto"/>
              </w:rPr>
            </w:pPr>
            <w:r>
              <w:rPr>
                <w:rFonts w:ascii="Times New Roman" w:cs="Times New Roman" w:eastAsia="Times New Roman" w:hAnsi="Times New Roman"/>
                <w:sz w:val="13"/>
                <w:szCs w:val="13"/>
                <w:b w:val="1"/>
                <w:bCs w:val="1"/>
                <w:color w:val="auto"/>
              </w:rPr>
              <w:t>2020-2022 LTIP</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74"/>
              <w:spacing w:after="0" w:line="139" w:lineRule="exact"/>
              <w:rPr>
                <w:sz w:val="20"/>
                <w:szCs w:val="20"/>
                <w:color w:val="auto"/>
              </w:rPr>
            </w:pPr>
            <w:r>
              <w:rPr>
                <w:rFonts w:ascii="Times New Roman" w:cs="Times New Roman" w:eastAsia="Times New Roman" w:hAnsi="Times New Roman"/>
                <w:sz w:val="13"/>
                <w:szCs w:val="13"/>
                <w:b w:val="1"/>
                <w:bCs w:val="1"/>
                <w:color w:val="auto"/>
                <w:w w:val="99"/>
              </w:rPr>
              <w:t>Total Non-</w:t>
            </w:r>
          </w:p>
        </w:tc>
        <w:tc>
          <w:tcPr>
            <w:tcW w:w="100" w:type="dxa"/>
            <w:vAlign w:val="bottom"/>
          </w:tcPr>
          <w:p>
            <w:pPr>
              <w:spacing w:after="0"/>
              <w:rPr>
                <w:sz w:val="12"/>
                <w:szCs w:val="12"/>
                <w:color w:val="auto"/>
              </w:rPr>
            </w:pPr>
          </w:p>
        </w:tc>
      </w:tr>
      <w:tr>
        <w:trPr>
          <w:trHeight w:val="188"/>
        </w:trPr>
        <w:tc>
          <w:tcPr>
            <w:tcW w:w="40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Based(2)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Time-Based(3)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20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Equity (Cash)</w:t>
            </w:r>
          </w:p>
        </w:tc>
        <w:tc>
          <w:tcPr>
            <w:tcW w:w="100" w:type="dxa"/>
            <w:vAlign w:val="bottom"/>
          </w:tcPr>
          <w:p>
            <w:pPr>
              <w:spacing w:after="0"/>
              <w:rPr>
                <w:sz w:val="16"/>
                <w:szCs w:val="16"/>
                <w:color w:val="auto"/>
              </w:rPr>
            </w:pPr>
          </w:p>
        </w:tc>
      </w:tr>
      <w:tr>
        <w:trPr>
          <w:trHeight w:val="210"/>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1,470,000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2,069,448</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458,525</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261,376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336,767</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271,875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397,809</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267,217</w:t>
            </w:r>
          </w:p>
        </w:tc>
        <w:tc>
          <w:tcPr>
            <w:tcW w:w="100" w:type="dxa"/>
            <w:vAlign w:val="bottom"/>
            <w:shd w:val="clear" w:color="auto" w:fill="CFF0FC"/>
          </w:tcPr>
          <w:p>
            <w:pPr>
              <w:spacing w:after="0"/>
              <w:rPr>
                <w:sz w:val="18"/>
                <w:szCs w:val="18"/>
                <w:color w:val="auto"/>
              </w:rPr>
            </w:pPr>
          </w:p>
        </w:tc>
      </w:tr>
    </w:tbl>
    <w:p>
      <w:pPr>
        <w:spacing w:after="0" w:line="214" w:lineRule="exact"/>
        <w:rPr>
          <w:sz w:val="20"/>
          <w:szCs w:val="20"/>
          <w:color w:val="auto"/>
        </w:rPr>
      </w:pPr>
    </w:p>
    <w:p>
      <w:pPr>
        <w:ind w:left="760" w:hanging="378"/>
        <w:spacing w:after="0" w:line="249"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2021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2021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15" w:lineRule="exact"/>
        <w:rPr>
          <w:rFonts w:ascii="Times New Roman" w:cs="Times New Roman" w:eastAsia="Times New Roman" w:hAnsi="Times New Roman"/>
          <w:sz w:val="18"/>
          <w:szCs w:val="18"/>
          <w:color w:val="auto"/>
        </w:rPr>
      </w:pPr>
    </w:p>
    <w:p>
      <w:pPr>
        <w:ind w:left="760" w:right="420" w:hanging="378"/>
        <w:spacing w:after="0" w:line="23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cash portion of the award earned under the performance-based component of the 2019-2021 LTIP that was granted on March 15, 2022, with additional vesting through August 31, 2022.</w:t>
      </w:r>
    </w:p>
    <w:p>
      <w:pPr>
        <w:spacing w:after="0" w:line="223" w:lineRule="exact"/>
        <w:rPr>
          <w:rFonts w:ascii="Times New Roman" w:cs="Times New Roman" w:eastAsia="Times New Roman" w:hAnsi="Times New Roman"/>
          <w:sz w:val="18"/>
          <w:szCs w:val="18"/>
          <w:color w:val="auto"/>
        </w:rPr>
      </w:pPr>
    </w:p>
    <w:p>
      <w:pPr>
        <w:ind w:left="760" w:right="220" w:hanging="378"/>
        <w:spacing w:after="0" w:line="247"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second tranche of the time-based cash award granted in August 2019 under the 2019-2021 LTIP and the first tranche of the time-based cash award granted in June 2020 under the 2020-2022 LTIP. See “</w:t>
      </w:r>
      <w:r>
        <w:rPr>
          <w:rFonts w:ascii="Times New Roman" w:cs="Times New Roman" w:eastAsia="Times New Roman" w:hAnsi="Times New Roman"/>
          <w:sz w:val="16"/>
          <w:szCs w:val="16"/>
          <w:i w:val="1"/>
          <w:iCs w:val="1"/>
          <w:color w:val="auto"/>
        </w:rPr>
        <w:t>Compensation, Discussion and Analysis-Compensation Components and Fiscal 2021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2019-2021 LTIP and the 2020-2022 LTIP.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amounts for fiscal 2021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 Compensation Table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Auto</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401(k)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240" w:type="dxa"/>
            <w:vAlign w:val="bottom"/>
          </w:tcPr>
          <w:p>
            <w:pPr>
              <w:spacing w:after="0"/>
              <w:rPr>
                <w:sz w:val="12"/>
                <w:szCs w:val="12"/>
                <w:color w:val="auto"/>
              </w:rPr>
            </w:pPr>
          </w:p>
        </w:tc>
        <w:tc>
          <w:tcPr>
            <w:tcW w:w="8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Relocation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Costs</w:t>
            </w:r>
          </w:p>
        </w:tc>
        <w:tc>
          <w:tcPr>
            <w:tcW w:w="20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4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4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1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7"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8"/>
          <w:szCs w:val="18"/>
          <w:color w:val="auto"/>
        </w:rPr>
        <w:t>The total annual compensation for our CEO, Mr. Kanter, for fiscal 2021, as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was $3,616,278. The total annual compensation for our median employee, who is a full-time employee, was $35,240, calculated using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21" w:name="page22"/>
    <w:bookmarkEnd w:id="21"/>
    <w:p>
      <w:pPr>
        <w:ind w:right="100"/>
        <w:spacing w:after="0" w:line="284" w:lineRule="auto"/>
        <w:rPr>
          <w:sz w:val="20"/>
          <w:szCs w:val="20"/>
          <w:color w:val="auto"/>
        </w:rPr>
      </w:pPr>
      <w:r>
        <w:rPr>
          <w:rFonts w:ascii="Times New Roman" w:cs="Times New Roman" w:eastAsia="Times New Roman" w:hAnsi="Times New Roman"/>
          <w:sz w:val="18"/>
          <w:szCs w:val="18"/>
          <w:color w:val="auto"/>
        </w:rPr>
        <w:t>same methodology as used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Based on this information, for fiscal 2021 the ratio of the annual total compensation of Mr. Kanter, our CEO, to the median of the annual total compensation of all employees was 103 to 1.</w:t>
      </w:r>
    </w:p>
    <w:p>
      <w:pPr>
        <w:spacing w:after="0" w:line="14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Under Instruction 2 to Item 402(u), the median-paid employee may be identified once every three years if there is no impact to the pay ratio disclosure. As there were no changes in our employee population or to the median-paid employee's compensation arrangements in 2021 that would significantly affect the pay ratio disclosure, the employee representing the median-paid employee is the same employee selected in our 2020 disclosure. To identify the median employee in 2020, we evaluated all employees, other than our CEO, employed by the Company as of December 31, 2020, including those employees who were furloughed for any period of time, and utilized the following methodology:</w:t>
      </w:r>
    </w:p>
    <w:p>
      <w:pPr>
        <w:spacing w:after="0" w:line="195" w:lineRule="exact"/>
        <w:rPr>
          <w:sz w:val="20"/>
          <w:szCs w:val="20"/>
          <w:color w:val="auto"/>
        </w:rPr>
      </w:pPr>
    </w:p>
    <w:p>
      <w:pPr>
        <w:ind w:left="760" w:hanging="378"/>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2020, our employee population consisted of approximately 1,171 individuals, with 1,161 of these individuals located in the U.S. and 10 of these individuals located outside the U.S. This population includes our full-time, part-time, and seasonal employees. Approximately 81% of our total employee population at December 31, 2020 was considered full-time employees.</w:t>
      </w:r>
    </w:p>
    <w:p>
      <w:pPr>
        <w:spacing w:after="0" w:line="176"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2020.</w:t>
      </w:r>
    </w:p>
    <w:p>
      <w:pPr>
        <w:spacing w:after="0" w:line="148"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substantially all of our employees either took a temporary reduction in base salary during fiscal 2020 or were furloughed for a period of time, we did not annualize any compensation for any permanent full-time or part-time employees, who started employment at the Company during calendar 2020. We also did not annualize compensation for any seasonal or temporary employees. Our median employee was not furloughed and did not take any temporary reduction in base salary.</w:t>
      </w:r>
    </w:p>
    <w:p>
      <w:pPr>
        <w:spacing w:after="0" w:line="177" w:lineRule="exact"/>
        <w:rPr>
          <w:rFonts w:ascii="Times New Roman" w:cs="Times New Roman" w:eastAsia="Times New Roman" w:hAnsi="Times New Roman"/>
          <w:sz w:val="18"/>
          <w:szCs w:val="18"/>
          <w:color w:val="auto"/>
        </w:rPr>
      </w:pPr>
    </w:p>
    <w:p>
      <w:pPr>
        <w:ind w:left="760" w:right="40" w:hanging="378"/>
        <w:spacing w:after="0" w:line="269"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 and Hong Kong (2).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2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was three years, ending March 31, 2022 (“Initial Term”), and could be automatically renewed, upon the same terms and conditions, for successive periods of one year, unless either party terminates in accordance with the terms of the employment agreement. The Company and Mr. Kanter entered into an Amended and Restated Employment Agreement (the "Amended Employment Agreement") on April 1, 2022. The terms of the Amended Employment, which will apply to Mr. Kanter's compensation for fiscal 2022 and beyond is discussed below under "</w:t>
      </w:r>
      <w:r>
        <w:rPr>
          <w:rFonts w:ascii="Times New Roman" w:cs="Times New Roman" w:eastAsia="Times New Roman" w:hAnsi="Times New Roman"/>
          <w:sz w:val="18"/>
          <w:szCs w:val="18"/>
          <w:i w:val="1"/>
          <w:iCs w:val="1"/>
          <w:color w:val="auto"/>
        </w:rPr>
        <w:t>Amended Employment Agreement with Mr. Kanter.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following discussion applies to the terms of the Employment Agreement in effect during fiscal 2021. Pursuant to his Employment Agreement, Mr. Kanter received an annual base salary of $735,000 as President and Chief Executive Officer with an annual automobile allowance of $10,000. In connection with his hiring, Mr. Kanter also received a housing allowance of $100,000 in April 2019, $50,000 in April 2020 and $50,000 on April 1, 2021.</w:t>
      </w:r>
    </w:p>
    <w:p>
      <w:pPr>
        <w:spacing w:after="0" w:line="17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w:t>
      </w:r>
    </w:p>
    <w:p>
      <w:pPr>
        <w:spacing w:after="0" w:line="1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initial Employment Agreement, if Mr. Kanter terminates his employment for Good Reason or the Company terminates his employment without Justifiable Cause:</w:t>
      </w:r>
    </w:p>
    <w:p>
      <w:pPr>
        <w:spacing w:after="0" w:line="148" w:lineRule="exact"/>
        <w:rPr>
          <w:sz w:val="20"/>
          <w:szCs w:val="20"/>
          <w:color w:val="auto"/>
        </w:rPr>
      </w:pPr>
    </w:p>
    <w:p>
      <w:pPr>
        <w:ind w:left="1140" w:right="180" w:hanging="758"/>
        <w:spacing w:after="0" w:line="24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w:t>
      </w:r>
    </w:p>
    <w:p>
      <w:pPr>
        <w:ind w:left="1140"/>
        <w:spacing w:after="0" w:line="237" w:lineRule="auto"/>
        <w:rPr>
          <w:sz w:val="20"/>
          <w:szCs w:val="20"/>
          <w:color w:val="auto"/>
        </w:rPr>
      </w:pPr>
      <w:r>
        <w:rPr>
          <w:rFonts w:ascii="Times New Roman" w:cs="Times New Roman" w:eastAsia="Times New Roman" w:hAnsi="Times New Roman"/>
          <w:sz w:val="18"/>
          <w:szCs w:val="18"/>
          <w:color w:val="auto"/>
        </w:rPr>
        <w:t>employed through the end of the Initial Term. Bonuses</w:t>
      </w: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t>will be calculated assuming target and any partial year will be prorated. The severance payment will be paid in 24 monthly installments; and</w:t>
      </w:r>
    </w:p>
    <w:p>
      <w:pPr>
        <w:spacing w:after="0" w:line="225" w:lineRule="exact"/>
        <w:rPr>
          <w:sz w:val="20"/>
          <w:szCs w:val="20"/>
          <w:color w:val="auto"/>
        </w:rPr>
      </w:pPr>
    </w:p>
    <w:p>
      <w:pPr>
        <w:ind w:left="1140" w:right="20" w:hanging="758"/>
        <w:spacing w:after="0" w:line="25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190" w:lineRule="exact"/>
        <w:rPr>
          <w:rFonts w:ascii="Times New Roman" w:cs="Times New Roman" w:eastAsia="Times New Roman" w:hAnsi="Times New Roman"/>
          <w:sz w:val="18"/>
          <w:szCs w:val="18"/>
          <w:color w:val="auto"/>
        </w:rPr>
      </w:pPr>
    </w:p>
    <w:p>
      <w:pPr>
        <w:ind w:left="1140" w:right="520" w:hanging="758"/>
        <w:spacing w:after="0" w:line="25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9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w:t>
      </w:r>
    </w:p>
    <w:p>
      <w:pPr>
        <w:spacing w:after="0" w:line="1" w:lineRule="exact"/>
        <w:rPr>
          <w:sz w:val="20"/>
          <w:szCs w:val="20"/>
          <w:color w:val="auto"/>
        </w:rPr>
      </w:pPr>
    </w:p>
    <w:p>
      <w:pPr>
        <w:ind w:right="420" w:firstLine="8"/>
        <w:spacing w:after="0" w:line="243"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times his then current Base Salary plus (ii) the then value of two times his target bonus under the Annual Incentive Plan, generally payable in a lump sum within 60 days of the termination of his employment following a Change in Control.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Named Executive Officers</w:t>
      </w:r>
    </w:p>
    <w:p>
      <w:pPr>
        <w:spacing w:after="0" w:line="10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We also have employment agreements with each of our other Named Executive Officers (the “NEO Employment Agreements”). The term of each NEO Employment Agreement begins on the respective effective date and continues until terminated by either party. Our Named Executive Officers are eligible to participate in our AIP. For fiscal 2021, Mr. Stratton participated at a target rate of 55%, Messrs. Dhoot and Molloy participated at a target rate of 50% and Mr. Gaeta participated at a target rate of 40%. For fiscal 2021, the Named Executive Officers were also eligible to participate in our LTIP at 70% of their respective average base salaries, as defined in the plan, depending on our performance (based on long-term performance goals). Beginning in fiscal 2022, Mr. Stratton will be eligible to participate in future LTIPs at 90% of his average base salary and the participation rate for all other Named Executive Officers will remain 70%. Each Named Executive Officer is entitled to vacation and to participate in and receive any other benefits customarily provided by us to our senior executives.</w:t>
      </w:r>
    </w:p>
    <w:p>
      <w:pPr>
        <w:spacing w:after="0" w:line="7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Each of the NEO Employment Agreements provide that, if the executive officer’s employment is terminated by us at any time for any reason other than “justifiable cause” (as defined in the NEO Employment Agreements), disability or death, we are required to pay the executive his then 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8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Internal Revenue Code Section 280G(b)(i).</w:t>
      </w:r>
    </w:p>
    <w:p>
      <w:pPr>
        <w:spacing w:after="0" w:line="7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11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January 29, 2022 (the last day of fiscal year 2021). As discussed below, subsequent to year-end, the Company and Mr. Kanter entered into an Amended Employment Agreement effective April 1, 2022. The amounts for Mr. Kanter in the table below reflect the terms of his agreement as in effect during fiscal 2021, and not the terms of his Amended Employment Agreement.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Continued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9"/>
              <w:spacing w:after="0" w:line="159" w:lineRule="exact"/>
              <w:rPr>
                <w:sz w:val="20"/>
                <w:szCs w:val="20"/>
                <w:color w:val="auto"/>
              </w:rPr>
            </w:pPr>
            <w:r>
              <w:rPr>
                <w:rFonts w:ascii="Times New Roman" w:cs="Times New Roman" w:eastAsia="Times New Roman" w:hAnsi="Times New Roman"/>
                <w:sz w:val="16"/>
                <w:szCs w:val="16"/>
                <w:b w:val="1"/>
                <w:bCs w:val="1"/>
                <w:color w:val="auto"/>
              </w:rPr>
              <w:t>Annual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6"/>
                <w:szCs w:val="16"/>
                <w:b w:val="1"/>
                <w:bCs w:val="1"/>
                <w:color w:val="auto"/>
              </w:rPr>
              <w:t>Sign-on and</w:t>
            </w:r>
          </w:p>
        </w:tc>
        <w:tc>
          <w:tcPr>
            <w:tcW w:w="120" w:type="dxa"/>
            <w:vAlign w:val="bottom"/>
          </w:tcPr>
          <w:p>
            <w:pPr>
              <w:spacing w:after="0"/>
              <w:rPr>
                <w:sz w:val="13"/>
                <w:szCs w:val="13"/>
                <w:color w:val="auto"/>
              </w:rPr>
            </w:pPr>
          </w:p>
        </w:tc>
        <w:tc>
          <w:tcPr>
            <w:tcW w:w="680" w:type="dxa"/>
            <w:vAlign w:val="bottom"/>
          </w:tcPr>
          <w:p>
            <w:pPr>
              <w:jc w:val="right"/>
              <w:ind w:right="119"/>
              <w:spacing w:after="0" w:line="159" w:lineRule="exact"/>
              <w:rPr>
                <w:sz w:val="20"/>
                <w:szCs w:val="20"/>
                <w:color w:val="auto"/>
              </w:rPr>
            </w:pPr>
            <w:r>
              <w:rPr>
                <w:rFonts w:ascii="Times New Roman" w:cs="Times New Roman" w:eastAsia="Times New Roman" w:hAnsi="Times New Roman"/>
                <w:sz w:val="16"/>
                <w:szCs w:val="16"/>
                <w:b w:val="1"/>
                <w:bCs w:val="1"/>
                <w:color w:val="auto"/>
              </w:rPr>
              <w:t>Time-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9"/>
              <w:spacing w:after="0" w:line="159" w:lineRule="exact"/>
              <w:rPr>
                <w:sz w:val="20"/>
                <w:szCs w:val="20"/>
                <w:color w:val="auto"/>
              </w:rPr>
            </w:pPr>
            <w:r>
              <w:rPr>
                <w:rFonts w:ascii="Times New Roman" w:cs="Times New Roman" w:eastAsia="Times New Roman" w:hAnsi="Times New Roman"/>
                <w:sz w:val="16"/>
                <w:szCs w:val="16"/>
                <w:b w:val="1"/>
                <w:bCs w:val="1"/>
                <w:color w:val="auto"/>
                <w:w w:val="99"/>
              </w:rPr>
              <w:t>Performance-</w:t>
            </w:r>
          </w:p>
        </w:tc>
        <w:tc>
          <w:tcPr>
            <w:tcW w:w="2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9"/>
              <w:spacing w:after="0" w:line="165" w:lineRule="exact"/>
              <w:rPr>
                <w:sz w:val="20"/>
                <w:szCs w:val="20"/>
                <w:color w:val="auto"/>
              </w:rPr>
            </w:pPr>
            <w:r>
              <w:rPr>
                <w:rFonts w:ascii="Times New Roman" w:cs="Times New Roman" w:eastAsia="Times New Roman" w:hAnsi="Times New Roman"/>
                <w:sz w:val="16"/>
                <w:szCs w:val="16"/>
                <w:b w:val="1"/>
                <w:bCs w:val="1"/>
                <w:color w:val="auto"/>
                <w:w w:val="99"/>
              </w:rPr>
              <w:t>Base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5"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220" w:type="dxa"/>
            <w:vAlign w:val="bottom"/>
          </w:tcPr>
          <w:p>
            <w:pPr>
              <w:spacing w:after="0"/>
              <w:rPr>
                <w:sz w:val="14"/>
                <w:szCs w:val="14"/>
                <w:color w:val="auto"/>
              </w:rPr>
            </w:pPr>
          </w:p>
        </w:tc>
        <w:tc>
          <w:tcPr>
            <w:tcW w:w="1380" w:type="dxa"/>
            <w:vAlign w:val="bottom"/>
            <w:gridSpan w:val="3"/>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Discretionary</w:t>
            </w:r>
          </w:p>
        </w:tc>
        <w:tc>
          <w:tcPr>
            <w:tcW w:w="120" w:type="dxa"/>
            <w:vAlign w:val="bottom"/>
          </w:tcPr>
          <w:p>
            <w:pPr>
              <w:spacing w:after="0"/>
              <w:rPr>
                <w:sz w:val="14"/>
                <w:szCs w:val="14"/>
                <w:color w:val="auto"/>
              </w:rPr>
            </w:pPr>
          </w:p>
        </w:tc>
        <w:tc>
          <w:tcPr>
            <w:tcW w:w="680" w:type="dxa"/>
            <w:vAlign w:val="bottom"/>
          </w:tcPr>
          <w:p>
            <w:pPr>
              <w:jc w:val="right"/>
              <w:ind w:right="99"/>
              <w:spacing w:after="0" w:line="165" w:lineRule="exact"/>
              <w:rPr>
                <w:sz w:val="20"/>
                <w:szCs w:val="20"/>
                <w:color w:val="auto"/>
              </w:rPr>
            </w:pPr>
            <w:r>
              <w:rPr>
                <w:rFonts w:ascii="Times New Roman" w:cs="Times New Roman" w:eastAsia="Times New Roman" w:hAnsi="Times New Roman"/>
                <w:sz w:val="16"/>
                <w:szCs w:val="16"/>
                <w:b w:val="1"/>
                <w:bCs w:val="1"/>
                <w:color w:val="auto"/>
              </w:rPr>
              <w:t>Based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19"/>
              <w:spacing w:after="0" w:line="165" w:lineRule="exact"/>
              <w:rPr>
                <w:sz w:val="20"/>
                <w:szCs w:val="20"/>
                <w:color w:val="auto"/>
              </w:rPr>
            </w:pPr>
            <w:r>
              <w:rPr>
                <w:rFonts w:ascii="Times New Roman" w:cs="Times New Roman" w:eastAsia="Times New Roman" w:hAnsi="Times New Roman"/>
                <w:sz w:val="16"/>
                <w:szCs w:val="16"/>
                <w:b w:val="1"/>
                <w:bCs w:val="1"/>
                <w:color w:val="auto"/>
              </w:rPr>
              <w:t>Based</w:t>
            </w:r>
          </w:p>
        </w:tc>
        <w:tc>
          <w:tcPr>
            <w:tcW w:w="200" w:type="dxa"/>
            <w:vAlign w:val="bottom"/>
          </w:tcPr>
          <w:p>
            <w:pPr>
              <w:spacing w:after="0"/>
              <w:rPr>
                <w:sz w:val="14"/>
                <w:szCs w:val="14"/>
                <w:color w:val="auto"/>
              </w:rPr>
            </w:pPr>
          </w:p>
        </w:tc>
        <w:tc>
          <w:tcPr>
            <w:tcW w:w="8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Potential</w:t>
            </w:r>
          </w:p>
        </w:tc>
        <w:tc>
          <w:tcPr>
            <w:tcW w:w="100" w:type="dxa"/>
            <w:vAlign w:val="bottom"/>
          </w:tcPr>
          <w:p>
            <w:pPr>
              <w:spacing w:after="0"/>
              <w:rPr>
                <w:sz w:val="14"/>
                <w:szCs w:val="14"/>
                <w:color w:val="auto"/>
              </w:rPr>
            </w:pPr>
          </w:p>
        </w:tc>
      </w:tr>
      <w:tr>
        <w:trPr>
          <w:trHeight w:val="189"/>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6"/>
                <w:szCs w:val="16"/>
                <w:color w:val="auto"/>
              </w:rPr>
            </w:pPr>
          </w:p>
        </w:tc>
        <w:tc>
          <w:tcPr>
            <w:tcW w:w="740" w:type="dxa"/>
            <w:vAlign w:val="bottom"/>
          </w:tcPr>
          <w:p>
            <w:pPr>
              <w:jc w:val="center"/>
              <w:ind w:right="39"/>
              <w:spacing w:after="0" w:line="189" w:lineRule="exact"/>
              <w:rPr>
                <w:sz w:val="20"/>
                <w:szCs w:val="20"/>
                <w:color w:val="auto"/>
              </w:rPr>
            </w:pPr>
            <w:r>
              <w:rPr>
                <w:rFonts w:ascii="Times New Roman" w:cs="Times New Roman" w:eastAsia="Times New Roman" w:hAnsi="Times New Roman"/>
                <w:sz w:val="16"/>
                <w:szCs w:val="16"/>
                <w:b w:val="1"/>
                <w:bCs w:val="1"/>
                <w:color w:val="auto"/>
                <w:w w:val="95"/>
              </w:rPr>
              <w:t>Salary</w:t>
            </w:r>
            <w:r>
              <w:rPr>
                <w:rFonts w:ascii="Times New Roman" w:cs="Times New Roman" w:eastAsia="Times New Roman" w:hAnsi="Times New Roman"/>
                <w:sz w:val="21"/>
                <w:szCs w:val="21"/>
                <w:b w:val="1"/>
                <w:bCs w:val="1"/>
                <w:color w:val="auto"/>
                <w:w w:val="95"/>
                <w:vertAlign w:val="superscript"/>
              </w:rPr>
              <w:t>(1)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9"/>
              <w:spacing w:after="0" w:line="189" w:lineRule="exact"/>
              <w:rPr>
                <w:sz w:val="20"/>
                <w:szCs w:val="20"/>
                <w:color w:val="auto"/>
              </w:rPr>
            </w:pPr>
            <w:r>
              <w:rPr>
                <w:rFonts w:ascii="Times New Roman" w:cs="Times New Roman" w:eastAsia="Times New Roman" w:hAnsi="Times New Roman"/>
                <w:sz w:val="16"/>
                <w:szCs w:val="16"/>
                <w:b w:val="1"/>
                <w:bCs w:val="1"/>
                <w:color w:val="auto"/>
                <w:w w:val="93"/>
              </w:rPr>
              <w:t xml:space="preserve">Plan </w:t>
            </w:r>
            <w:r>
              <w:rPr>
                <w:rFonts w:ascii="Times New Roman" w:cs="Times New Roman" w:eastAsia="Times New Roman" w:hAnsi="Times New Roman"/>
                <w:sz w:val="21"/>
                <w:szCs w:val="21"/>
                <w:b w:val="1"/>
                <w:bCs w:val="1"/>
                <w:color w:val="auto"/>
                <w:w w:val="93"/>
                <w:vertAlign w:val="superscript"/>
              </w:rPr>
              <w:t>(2)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6"/>
                <w:szCs w:val="16"/>
                <w:b w:val="1"/>
                <w:bCs w:val="1"/>
                <w:color w:val="auto"/>
                <w:w w:val="94"/>
              </w:rPr>
              <w:t xml:space="preserve">Awards </w:t>
            </w:r>
            <w:r>
              <w:rPr>
                <w:rFonts w:ascii="Times New Roman" w:cs="Times New Roman" w:eastAsia="Times New Roman" w:hAnsi="Times New Roman"/>
                <w:sz w:val="21"/>
                <w:szCs w:val="21"/>
                <w:b w:val="1"/>
                <w:bCs w:val="1"/>
                <w:color w:val="auto"/>
                <w:w w:val="94"/>
                <w:vertAlign w:val="superscript"/>
              </w:rPr>
              <w:t>(3)</w:t>
            </w:r>
          </w:p>
        </w:tc>
        <w:tc>
          <w:tcPr>
            <w:tcW w:w="8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6"/>
                <w:szCs w:val="16"/>
                <w:b w:val="1"/>
                <w:bCs w:val="1"/>
                <w:color w:val="auto"/>
              </w:rPr>
              <w:t xml:space="preserve">Awards </w:t>
            </w:r>
            <w:r>
              <w:rPr>
                <w:rFonts w:ascii="Times New Roman" w:cs="Times New Roman" w:eastAsia="Times New Roman" w:hAnsi="Times New Roman"/>
                <w:sz w:val="21"/>
                <w:szCs w:val="21"/>
                <w:b w:val="1"/>
                <w:bCs w:val="1"/>
                <w:color w:val="auto"/>
                <w:vertAlign w:val="superscript"/>
              </w:rPr>
              <w:t>(4)</w:t>
            </w:r>
          </w:p>
        </w:tc>
        <w:tc>
          <w:tcPr>
            <w:tcW w:w="200" w:type="dxa"/>
            <w:vAlign w:val="bottom"/>
          </w:tcPr>
          <w:p>
            <w:pPr>
              <w:spacing w:after="0"/>
              <w:rPr>
                <w:sz w:val="16"/>
                <w:szCs w:val="16"/>
                <w:color w:val="auto"/>
              </w:rPr>
            </w:pPr>
          </w:p>
        </w:tc>
        <w:tc>
          <w:tcPr>
            <w:tcW w:w="12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6"/>
                <w:szCs w:val="16"/>
                <w:b w:val="1"/>
                <w:bCs w:val="1"/>
                <w:color w:val="auto"/>
                <w:w w:val="97"/>
              </w:rPr>
              <w:t xml:space="preserve">Compensation </w:t>
            </w:r>
            <w:r>
              <w:rPr>
                <w:rFonts w:ascii="Times New Roman" w:cs="Times New Roman" w:eastAsia="Times New Roman" w:hAnsi="Times New Roman"/>
                <w:sz w:val="21"/>
                <w:szCs w:val="21"/>
                <w:b w:val="1"/>
                <w:bCs w:val="1"/>
                <w:color w:val="auto"/>
                <w:w w:val="97"/>
                <w:vertAlign w:val="superscript"/>
              </w:rPr>
              <w:t>(5)</w:t>
            </w: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Harvey S. Kanter</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765,836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2,400,113</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1,510,326</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$ 6,391,274</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765,836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2,400,113</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1,510,326</w:t>
            </w:r>
          </w:p>
        </w:tc>
        <w:tc>
          <w:tcPr>
            <w:tcW w:w="10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$ 9,086,274</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Peter H. Stratton, Jr.</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325,875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768,214</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334,218</w:t>
            </w:r>
          </w:p>
        </w:tc>
        <w:tc>
          <w:tcPr>
            <w:tcW w:w="10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$ 1,668,473</w:t>
            </w:r>
          </w:p>
        </w:tc>
        <w:tc>
          <w:tcPr>
            <w:tcW w:w="10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768,214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334,218</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$ 1,865,973</w:t>
            </w:r>
          </w:p>
        </w:tc>
        <w:tc>
          <w:tcPr>
            <w:tcW w:w="100" w:type="dxa"/>
            <w:vAlign w:val="bottom"/>
          </w:tcPr>
          <w:p>
            <w:pPr>
              <w:spacing w:after="0"/>
              <w:rPr>
                <w:sz w:val="16"/>
                <w:szCs w:val="16"/>
                <w:color w:val="auto"/>
              </w:rPr>
            </w:pPr>
          </w:p>
        </w:tc>
      </w:tr>
      <w:tr>
        <w:trPr>
          <w:trHeight w:val="21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Ujjwal Dhoot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261,376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685,831</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220,574</w:t>
            </w:r>
          </w:p>
        </w:tc>
        <w:tc>
          <w:tcPr>
            <w:tcW w:w="10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$ 1,372,506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685,831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220,574</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$ 1,565,006</w:t>
            </w:r>
          </w:p>
        </w:tc>
        <w:tc>
          <w:tcPr>
            <w:tcW w:w="100" w:type="dxa"/>
            <w:vAlign w:val="bottom"/>
          </w:tcPr>
          <w:p>
            <w:pPr>
              <w:spacing w:after="0"/>
              <w:rPr>
                <w:sz w:val="17"/>
                <w:szCs w:val="17"/>
                <w:color w:val="auto"/>
              </w:rPr>
            </w:pPr>
          </w:p>
        </w:tc>
      </w:tr>
      <w:tr>
        <w:trPr>
          <w:trHeight w:val="203"/>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Robert S. Molloy</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789,521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317,295</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$ 1,606,695</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271,875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40,504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789,521</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317,295</w:t>
            </w:r>
          </w:p>
        </w:tc>
        <w:tc>
          <w:tcPr>
            <w:tcW w:w="10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$ 1,794,195</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Anthony J. Gaeta</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619,786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249,606</w:t>
            </w:r>
          </w:p>
        </w:tc>
        <w:tc>
          <w:tcPr>
            <w:tcW w:w="10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$ 1,215,825</w:t>
            </w:r>
          </w:p>
        </w:tc>
        <w:tc>
          <w:tcPr>
            <w:tcW w:w="100" w:type="dxa"/>
            <w:vAlign w:val="bottom"/>
            <w:shd w:val="clear" w:color="auto" w:fill="CFF0FC"/>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619,786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249,606</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$ 1,363,325</w:t>
            </w:r>
          </w:p>
        </w:tc>
        <w:tc>
          <w:tcPr>
            <w:tcW w:w="100" w:type="dxa"/>
            <w:vAlign w:val="bottom"/>
          </w:tcPr>
          <w:p>
            <w:pPr>
              <w:spacing w:after="0"/>
              <w:rPr>
                <w:sz w:val="18"/>
                <w:szCs w:val="18"/>
                <w:color w:val="auto"/>
              </w:rPr>
            </w:pPr>
          </w:p>
        </w:tc>
      </w:tr>
    </w:tbl>
    <w:p>
      <w:pPr>
        <w:spacing w:after="0" w:line="77" w:lineRule="exact"/>
        <w:rPr>
          <w:sz w:val="20"/>
          <w:szCs w:val="20"/>
          <w:color w:val="auto"/>
        </w:rPr>
      </w:pPr>
    </w:p>
    <w:p>
      <w:pPr>
        <w:ind w:left="760" w:right="40" w:hanging="378"/>
        <w:spacing w:after="0" w:line="254"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Employment Agreement as of January 29, 2022,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 With respect to Mr. Kanter, it should be noted that pursuant to his Amended Employment Agreement, effective April 1, 2022, Mr. Kanter is in a new three-year Initial Term of his Amended Employment Agreement, whereby he would be entitled to receive, as continued base salary, the sum of the remaining base salary and annual incentive payout, assuming target, through the new Initial Term of his employment, or April 1, 2025.</w:t>
      </w:r>
    </w:p>
    <w:p>
      <w:pPr>
        <w:spacing w:after="0" w:line="76" w:lineRule="exact"/>
        <w:rPr>
          <w:rFonts w:ascii="Times New Roman" w:cs="Times New Roman" w:eastAsia="Times New Roman" w:hAnsi="Times New Roman"/>
          <w:sz w:val="14"/>
          <w:szCs w:val="14"/>
          <w:color w:val="auto"/>
        </w:rPr>
      </w:pPr>
    </w:p>
    <w:p>
      <w:pPr>
        <w:ind w:left="760" w:hanging="378"/>
        <w:spacing w:after="0" w:line="271"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the actual incentive earned for 2021 AIP. The amount does not include the discretionary 10% cash award that was subsequently awarded after year-end to all participants in the 2021 AIP, as for purposes of this table the Named Executive Officer is deemed to have been terminated as of the end of fiscal 2021. See "</w:t>
      </w:r>
      <w:r>
        <w:rPr>
          <w:rFonts w:ascii="Times New Roman" w:cs="Times New Roman" w:eastAsia="Times New Roman" w:hAnsi="Times New Roman"/>
          <w:sz w:val="14"/>
          <w:szCs w:val="14"/>
          <w:i w:val="1"/>
          <w:iCs w:val="1"/>
          <w:color w:val="auto"/>
        </w:rPr>
        <w:t>Compensation Discussion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Analysis - Compensation Components and Fiscal 2021 Compensation Decisions - Discretionary Cash and Equity Awards</w:t>
      </w:r>
      <w:r>
        <w:rPr>
          <w:rFonts w:ascii="Times New Roman" w:cs="Times New Roman" w:eastAsia="Times New Roman" w:hAnsi="Times New Roman"/>
          <w:sz w:val="14"/>
          <w:szCs w:val="14"/>
          <w:color w:val="auto"/>
        </w:rPr>
        <w:t>" for more information regarding this award.</w:t>
      </w:r>
    </w:p>
    <w:p>
      <w:pPr>
        <w:spacing w:after="0" w:line="62" w:lineRule="exact"/>
        <w:rPr>
          <w:rFonts w:ascii="Times New Roman" w:cs="Times New Roman" w:eastAsia="Times New Roman" w:hAnsi="Times New Roman"/>
          <w:sz w:val="14"/>
          <w:szCs w:val="14"/>
          <w:color w:val="auto"/>
        </w:rPr>
      </w:pPr>
    </w:p>
    <w:p>
      <w:pPr>
        <w:ind w:left="760" w:right="60" w:hanging="378"/>
        <w:spacing w:after="0" w:line="261"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prorated vesting of a discretionary grant of stock options granted on March 9, 2021 to Mr. Kanter and all then-active participants of the 2018-2020 LTIP. See footnote 2 to the </w:t>
      </w:r>
      <w:r>
        <w:rPr>
          <w:rFonts w:ascii="Times New Roman" w:cs="Times New Roman" w:eastAsia="Times New Roman" w:hAnsi="Times New Roman"/>
          <w:sz w:val="14"/>
          <w:szCs w:val="14"/>
          <w:i w:val="1"/>
          <w:iCs w:val="1"/>
          <w:color w:val="auto"/>
        </w:rPr>
        <w:t>2021 Grants of Plan-Based Awards Table</w:t>
      </w:r>
      <w:r>
        <w:rPr>
          <w:rFonts w:ascii="Times New Roman" w:cs="Times New Roman" w:eastAsia="Times New Roman" w:hAnsi="Times New Roman"/>
          <w:sz w:val="14"/>
          <w:szCs w:val="14"/>
          <w:color w:val="auto"/>
        </w:rPr>
        <w:t xml:space="preserve"> for a discussion of this grant. The table also includes a prorated vesting of Mr. Kanter’s RSUs that were granted to him in connection with his hiring.</w:t>
      </w:r>
    </w:p>
    <w:p>
      <w:pPr>
        <w:spacing w:after="0" w:line="82" w:lineRule="exact"/>
        <w:rPr>
          <w:rFonts w:ascii="Times New Roman" w:cs="Times New Roman" w:eastAsia="Times New Roman" w:hAnsi="Times New Roman"/>
          <w:sz w:val="14"/>
          <w:szCs w:val="14"/>
          <w:color w:val="auto"/>
        </w:rPr>
      </w:pPr>
    </w:p>
    <w:p>
      <w:pPr>
        <w:ind w:left="760" w:right="100" w:hanging="378"/>
        <w:spacing w:after="0" w:line="256"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RSUs under our 2018-2020 LTIP, 2019-2021 LTIP, 2020-2022 LTIP and 2021-2023 LTIP. Because the respective performance periods for the 2018-2020 LTIP and the 2019-2021 LTIP would have been complete as of January 29, 2022, all outstanding awards would have become fully vested under both a Qualifying Termination and Qualifying Termination due to a change in control. Because the 2020-2022 LTIP would have completed the second year of its performance period and the 2021-2023 LTIP would have completed the first year of its performance period, as of January 29, 2022, each participant would have vested in shares based on a pro-rata vesting percentage, which is calculated based on the number of effective days of participation over the total number of days in the performance period.</w:t>
      </w:r>
    </w:p>
    <w:p>
      <w:pPr>
        <w:spacing w:after="0" w:line="72" w:lineRule="exact"/>
        <w:rPr>
          <w:rFonts w:ascii="Times New Roman" w:cs="Times New Roman" w:eastAsia="Times New Roman" w:hAnsi="Times New Roman"/>
          <w:sz w:val="14"/>
          <w:szCs w:val="14"/>
          <w:color w:val="auto"/>
        </w:rPr>
      </w:pPr>
    </w:p>
    <w:p>
      <w:pPr>
        <w:ind w:left="760" w:right="60" w:hanging="378"/>
        <w:spacing w:after="0" w:line="253"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actual performance award earned under the 2019-2021 LTIP. Because the performance periods for the 2020-2022 LTIP and the 2021-2023 LTIP were not complete as of January 29, 2022,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remaining PSUs would forfeit unexercised unless, during the thirty-days following his termination, a performance target is achieved. In such case, he would be entitled to any unvested PSUs that would have vested as though he had not been terminated.</w:t>
      </w:r>
    </w:p>
    <w:p>
      <w:pPr>
        <w:spacing w:after="0" w:line="7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time-based awards were valued using the closing stock price of our stock on January 28, 2022 of $4.33 per share.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Employment Agreement with Mr. Kanter</w:t>
      </w:r>
    </w:p>
    <w:p>
      <w:pPr>
        <w:spacing w:after="0" w:line="10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As described above, in February 2022, the Compensation Committee engaged Segal to review the compensation of Mr. Kanter’s base salary and total direct compensation. Effective April 1, 2022, the Company and Mr. Kanter entered into an Amended Employment Agreement. The initial term of the Amended Employment Agreement is for three years, ending on April 1, 2025, unless terminated earlier in accordance with the terms of the Amended Employment Agreement (the “New Initial Term”). At the expiration of the New Initial Term, the Amended Employment Agreement will automatically renew, upon the same terms and conditions, for successive periods of one year, unless either party provides advance written notice in accordance with the agreement. Mr. Kanter's base salary under the Amended Employment Agreement increased to $850,000. Mr. Kanter will continue to participate in the Company's AIP and LTIPs at the same participation and payout rates as his initial Employment Agreement. Beginning with the first payroll in April 2022, Mr. Kanter receives a quarterly travel allowance in the amount of $30,000, which is intended to be used for travel between Mr. Kanter's home and the Company’s corporate offices.</w:t>
      </w:r>
    </w:p>
    <w:p>
      <w:pPr>
        <w:spacing w:after="0" w:line="8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Under Mr. Kanter's initial Employment Agreement, Mr. Kanter was granted 720,000 PSUs. Currently, 240,000 PSUs remain unvested and will expire on April 1, 2023 if the Average Share Price of $8.00 is not achieved by that date. In the Amended Employment Agreement, if the remaining 240,000 PSUs do not vest, the Company agreed to grant Mr. Kanter a new performance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share award after April 1, 2023 (but not later than December 31, 2023), the amount and terms of which will be set by the Board in its sole discretion.</w:t>
      </w:r>
    </w:p>
    <w:p>
      <w:pPr>
        <w:spacing w:after="0" w:line="11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 addition to the termination provisions that existed in the Employment Agreement, a clause was added to the Amended Employment Agreement that states that a termination of employment that meets the requirements of a Structured Retirement (as defined in the Fourth Amended and Restated Destination XL Group, Inc. Long-Term Incentive Plan) and that occurs prior to the expiration of the Initial Term, will be deemed to be a termination by the Company without Justifiable Cause. Additionally, for purposes of the Annual Incentive Plan, a termination of employment that meets the requirements of a Structured Retirement and that occurs at any time during the Employment Term (including after the Initial Term) will be deemed to be a termination by the Company without Justifiable Cause.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Clawback Policy</w:t>
      </w:r>
    </w:p>
    <w:p>
      <w:pPr>
        <w:spacing w:after="0" w:line="21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Our employment agreements with our executives, including our Named Executive Officers,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8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 addition, in August 2018, our Compensation Committee approved a clawback policy that requires our Named Executive Officers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6"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in fiscal 2021.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GRANTS OF PLAN-BASED AWARDS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Grant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1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gridSpan w:val="6"/>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7"/>
            <w:vMerge w:val="restart"/>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2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gridSpan w:val="6"/>
            <w:vMerge w:val="continue"/>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4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gridSpan w:val="4"/>
          </w:tcPr>
          <w:p>
            <w:pPr>
              <w:jc w:val="center"/>
              <w:ind w:left="1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gridSpan w:val="4"/>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Under Equity</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1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4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of</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rPr>
              <w:t>and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Incentive Plan Awards</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of Stock</w:t>
            </w:r>
          </w:p>
        </w:tc>
        <w:tc>
          <w:tcPr>
            <w:tcW w:w="1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b w:val="1"/>
                <w:bCs w:val="1"/>
                <w:color w:val="auto"/>
              </w:rPr>
              <w:t>Grant</w:t>
            </w:r>
          </w:p>
        </w:tc>
        <w:tc>
          <w:tcPr>
            <w:tcW w:w="64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8"/>
              </w:rPr>
              <w:t>Inception</w:t>
            </w:r>
          </w:p>
        </w:tc>
        <w:tc>
          <w:tcPr>
            <w:tcW w:w="5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4"/>
              </w:rPr>
              <w:t>Target</w:t>
            </w:r>
          </w:p>
        </w:tc>
        <w:tc>
          <w:tcPr>
            <w:tcW w:w="180" w:type="dxa"/>
            <w:vAlign w:val="bottom"/>
          </w:tcPr>
          <w:p>
            <w:pPr>
              <w:spacing w:after="0"/>
              <w:rPr>
                <w:sz w:val="9"/>
                <w:szCs w:val="9"/>
                <w:color w:val="auto"/>
              </w:rPr>
            </w:pPr>
          </w:p>
        </w:tc>
        <w:tc>
          <w:tcPr>
            <w:tcW w:w="600" w:type="dxa"/>
            <w:vAlign w:val="bottom"/>
            <w:gridSpan w:val="2"/>
          </w:tcPr>
          <w:p>
            <w:pPr>
              <w:jc w:val="right"/>
              <w:ind w:right="6"/>
              <w:spacing w:after="0" w:line="113"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60" w:type="dxa"/>
            <w:vAlign w:val="bottom"/>
          </w:tcPr>
          <w:p>
            <w:pPr>
              <w:spacing w:after="0"/>
              <w:rPr>
                <w:sz w:val="9"/>
                <w:szCs w:val="9"/>
                <w:color w:val="auto"/>
              </w:rPr>
            </w:pPr>
          </w:p>
        </w:tc>
        <w:tc>
          <w:tcPr>
            <w:tcW w:w="640" w:type="dxa"/>
            <w:vAlign w:val="bottom"/>
            <w:gridSpan w:val="2"/>
          </w:tcPr>
          <w:p>
            <w:pPr>
              <w:jc w:val="right"/>
              <w:ind w:right="26"/>
              <w:spacing w:after="0" w:line="113"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Target</w:t>
            </w:r>
          </w:p>
        </w:tc>
        <w:tc>
          <w:tcPr>
            <w:tcW w:w="5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Maximum</w:t>
            </w:r>
          </w:p>
        </w:tc>
        <w:tc>
          <w:tcPr>
            <w:tcW w:w="20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4"/>
              </w:rPr>
              <w:t>or Units</w:t>
            </w:r>
          </w:p>
        </w:tc>
        <w:tc>
          <w:tcPr>
            <w:tcW w:w="160" w:type="dxa"/>
            <w:vAlign w:val="bottom"/>
          </w:tcPr>
          <w:p>
            <w:pPr>
              <w:spacing w:after="0"/>
              <w:rPr>
                <w:sz w:val="9"/>
                <w:szCs w:val="9"/>
                <w:color w:val="auto"/>
              </w:rPr>
            </w:pPr>
          </w:p>
        </w:tc>
        <w:tc>
          <w:tcPr>
            <w:tcW w:w="5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40" w:type="dxa"/>
            <w:vAlign w:val="bottom"/>
          </w:tcPr>
          <w:p>
            <w:pPr>
              <w:spacing w:after="0"/>
              <w:rPr>
                <w:sz w:val="9"/>
                <w:szCs w:val="9"/>
                <w:color w:val="auto"/>
              </w:rPr>
            </w:pPr>
          </w:p>
        </w:tc>
        <w:tc>
          <w:tcPr>
            <w:tcW w:w="60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26"/>
              <w:spacing w:after="0" w:line="113"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2"/>
                <w:szCs w:val="12"/>
                <w:color w:val="auto"/>
              </w:rPr>
            </w:pPr>
          </w:p>
        </w:tc>
        <w:tc>
          <w:tcPr>
            <w:tcW w:w="4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82"/>
              </w:rPr>
              <w:t>) (1)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 (1)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 (1)</w:t>
            </w:r>
          </w:p>
        </w:tc>
        <w:tc>
          <w:tcPr>
            <w:tcW w:w="86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 Sh)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Harvey S. Kanter</w:t>
            </w:r>
          </w:p>
        </w:tc>
        <w:tc>
          <w:tcPr>
            <w:tcW w:w="5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106,265</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147,000</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735,000</w:t>
            </w:r>
          </w:p>
        </w:tc>
        <w:tc>
          <w:tcPr>
            <w:tcW w:w="2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1,470,000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468,563</w:t>
            </w:r>
          </w:p>
        </w:tc>
        <w:tc>
          <w:tcPr>
            <w:tcW w:w="2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335,960</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156,188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78,094</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312,375</w:t>
            </w:r>
          </w:p>
        </w:tc>
        <w:tc>
          <w:tcPr>
            <w:tcW w:w="2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468,563</w:t>
            </w:r>
          </w:p>
        </w:tc>
        <w:tc>
          <w:tcPr>
            <w:tcW w:w="44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78,094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312,375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468,563</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79"/>
              </w:rPr>
              <w:t>Peter</w:t>
            </w:r>
          </w:p>
        </w:tc>
        <w:tc>
          <w:tcPr>
            <w:tcW w:w="202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H. Stratton, Jr.</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36,116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6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43,450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217,250</w:t>
            </w:r>
          </w:p>
        </w:tc>
        <w:tc>
          <w:tcPr>
            <w:tcW w:w="20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325,875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103,688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74,344</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17,281</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69,125</w:t>
            </w:r>
          </w:p>
        </w:tc>
        <w:tc>
          <w:tcPr>
            <w:tcW w:w="20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103,688</w:t>
            </w:r>
          </w:p>
        </w:tc>
        <w:tc>
          <w:tcPr>
            <w:tcW w:w="4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17,281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69,125</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103,688</w:t>
            </w:r>
          </w:p>
        </w:tc>
        <w:tc>
          <w:tcPr>
            <w:tcW w:w="20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Ujjwal Dhoot</w:t>
            </w:r>
          </w:p>
        </w:tc>
        <w:tc>
          <w:tcPr>
            <w:tcW w:w="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10,349</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38,500</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192,500</w:t>
            </w:r>
          </w:p>
        </w:tc>
        <w:tc>
          <w:tcPr>
            <w:tcW w:w="2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288,750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101,063</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72,461</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16,844</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67,375</w:t>
            </w:r>
          </w:p>
        </w:tc>
        <w:tc>
          <w:tcPr>
            <w:tcW w:w="2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101,063</w:t>
            </w:r>
          </w:p>
        </w:tc>
        <w:tc>
          <w:tcPr>
            <w:tcW w:w="44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16,844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67,375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101,063</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Robert S. Molloy</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34,287</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6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37,500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187,500</w:t>
            </w:r>
          </w:p>
        </w:tc>
        <w:tc>
          <w:tcPr>
            <w:tcW w:w="20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281,250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98,438</w:t>
            </w:r>
          </w:p>
        </w:tc>
        <w:tc>
          <w:tcPr>
            <w:tcW w:w="200" w:type="dxa"/>
            <w:vAlign w:val="bottom"/>
          </w:tcPr>
          <w:p>
            <w:pPr>
              <w:spacing w:after="0"/>
              <w:rPr>
                <w:sz w:val="11"/>
                <w:szCs w:val="11"/>
                <w:color w:val="auto"/>
              </w:rPr>
            </w:pPr>
          </w:p>
        </w:tc>
        <w:tc>
          <w:tcPr>
            <w:tcW w:w="3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70,579</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16,406</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65,625</w:t>
            </w:r>
          </w:p>
        </w:tc>
        <w:tc>
          <w:tcPr>
            <w:tcW w:w="20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98,438</w:t>
            </w:r>
          </w:p>
        </w:tc>
        <w:tc>
          <w:tcPr>
            <w:tcW w:w="4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65,625</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98,438</w:t>
            </w:r>
          </w:p>
        </w:tc>
        <w:tc>
          <w:tcPr>
            <w:tcW w:w="20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Anthony J. Gaeta</w:t>
            </w:r>
          </w:p>
        </w:tc>
        <w:tc>
          <w:tcPr>
            <w:tcW w:w="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26,058</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23,600</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118,000</w:t>
            </w:r>
          </w:p>
        </w:tc>
        <w:tc>
          <w:tcPr>
            <w:tcW w:w="2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177,000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77,438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55,522</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12,906</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51,625</w:t>
            </w:r>
          </w:p>
        </w:tc>
        <w:tc>
          <w:tcPr>
            <w:tcW w:w="2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77,438</w:t>
            </w:r>
          </w:p>
        </w:tc>
        <w:tc>
          <w:tcPr>
            <w:tcW w:w="44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12,906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51,625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77,438</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right="120" w:hanging="378"/>
        <w:spacing w:after="0" w:line="253"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The actual grant date of equity awards will occur only if the performance targets are achieved. See footnote 3 below for additional information on the 2021-2023 LTIP.</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ind w:left="380" w:right="560" w:hanging="378"/>
        <w:spacing w:after="0" w:line="258"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9, 2021, the Compensation Committee approved a discretionary grant of stock options to Mr. Kanter and all active members of management who were participants in the 2018-2020 LTIP. See "</w:t>
      </w:r>
      <w:r>
        <w:rPr>
          <w:rFonts w:ascii="Times New Roman" w:cs="Times New Roman" w:eastAsia="Times New Roman" w:hAnsi="Times New Roman"/>
          <w:sz w:val="18"/>
          <w:szCs w:val="18"/>
          <w:i w:val="1"/>
          <w:iCs w:val="1"/>
          <w:color w:val="auto"/>
        </w:rPr>
        <w:t>Compensation Components and Fiscal 2021 Compensation Decisions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Discretionary Cash and Equity Awards</w:t>
      </w:r>
      <w:r>
        <w:rPr>
          <w:rFonts w:ascii="Times New Roman" w:cs="Times New Roman" w:eastAsia="Times New Roman" w:hAnsi="Times New Roman"/>
          <w:sz w:val="18"/>
          <w:szCs w:val="18"/>
          <w:color w:val="auto"/>
        </w:rPr>
        <w:t>" for more information regarding this grant.</w:t>
      </w:r>
    </w:p>
    <w:p>
      <w:pPr>
        <w:spacing w:after="0" w:line="169" w:lineRule="exact"/>
        <w:rPr>
          <w:rFonts w:ascii="Times New Roman" w:cs="Times New Roman" w:eastAsia="Times New Roman" w:hAnsi="Times New Roman"/>
          <w:sz w:val="18"/>
          <w:szCs w:val="18"/>
          <w:color w:val="auto"/>
        </w:rPr>
      </w:pPr>
    </w:p>
    <w:p>
      <w:pPr>
        <w:ind w:left="380" w:hanging="378"/>
        <w:spacing w:after="0" w:line="250"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target payout assumes 100%, and the maximum payout assumes 150% of the payout targets under the 2021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2021 Compensation Decisions - Performance-based annual incentive plan – 2021 AIP</w:t>
      </w:r>
      <w:r>
        <w:rPr>
          <w:rFonts w:ascii="Times New Roman" w:cs="Times New Roman" w:eastAsia="Times New Roman" w:hAnsi="Times New Roman"/>
          <w:sz w:val="18"/>
          <w:szCs w:val="18"/>
          <w:color w:val="auto"/>
        </w:rPr>
        <w:t>” for more information on the targets set under the 2021 AIP. The respective actual cash payment made to each of the Named Executive Officers under the 2021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2021.</w:t>
      </w:r>
    </w:p>
    <w:p>
      <w:pPr>
        <w:spacing w:after="0" w:line="177" w:lineRule="exact"/>
        <w:rPr>
          <w:rFonts w:ascii="Times New Roman" w:cs="Times New Roman" w:eastAsia="Times New Roman" w:hAnsi="Times New Roman"/>
          <w:sz w:val="18"/>
          <w:szCs w:val="18"/>
          <w:color w:val="auto"/>
        </w:rPr>
      </w:pPr>
    </w:p>
    <w:p>
      <w:pPr>
        <w:ind w:left="380" w:right="80" w:hanging="378"/>
        <w:spacing w:after="0" w:line="256" w:lineRule="auto"/>
        <w:tabs>
          <w:tab w:leader="none" w:pos="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8, 2021, the Compensation Committee approved the performance target for the 2021-2023 LTIP. The performance-based awards represent 50% of the total potential payout under the 2021-2023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The remaining 50% of the total potential payout under the 2021-2023 LTIP represents time-based awards, which were granted 75% cash and 25% in stock options. The above table reflects the cash award and the stock options that were granted on March 8, 2021. The cash award and the stock options vest in four equal tranches, with the first tranche vesting on April 1, 2022 and the remaining tranches vesting on April 1, 2023, April 1, 2024 and April 1, 2025. See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Components and Fiscal 2021 Compensation Decisions - Long-term incentive plans - 2021-2023 Performance Period</w:t>
      </w:r>
      <w:r>
        <w:rPr>
          <w:rFonts w:ascii="Times New Roman" w:cs="Times New Roman" w:eastAsia="Times New Roman" w:hAnsi="Times New Roman"/>
          <w:sz w:val="17"/>
          <w:szCs w:val="17"/>
          <w:color w:val="auto"/>
        </w:rPr>
        <w:t>” above for more</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on the targets.</w:t>
      </w: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40" w:right="339" w:bottom="1440" w:gutter="0" w:footer="0" w:header="0"/>
        </w:sectPr>
      </w:pPr>
    </w:p>
    <w:bookmarkStart w:id="26" w:name="page27"/>
    <w:bookmarkEnd w:id="26"/>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2021.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OUTSTANDING EQUITY AWARDS AT FISCAL YEAR-END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5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5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5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Payout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5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5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5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5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Rights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3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3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That</w:t>
            </w: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5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Options</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30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Have</w:t>
            </w:r>
          </w:p>
        </w:tc>
        <w:tc>
          <w:tcPr>
            <w:tcW w:w="2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5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Not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30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3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5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102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4"/>
                <w:szCs w:val="14"/>
                <w:color w:val="auto"/>
              </w:rPr>
            </w:pPr>
          </w:p>
        </w:tc>
        <w:tc>
          <w:tcPr>
            <w:tcW w:w="400" w:type="dxa"/>
            <w:vAlign w:val="bottom"/>
          </w:tcPr>
          <w:p>
            <w:pPr>
              <w:jc w:val="center"/>
              <w:ind w:left="21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jc w:val="right"/>
              <w:ind w:right="19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($)(1)</w:t>
            </w:r>
          </w:p>
        </w:tc>
        <w:tc>
          <w:tcPr>
            <w:tcW w:w="1000" w:type="dxa"/>
            <w:vAlign w:val="bottom"/>
            <w:gridSpan w:val="2"/>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jc w:val="center"/>
              <w:ind w:left="450"/>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Harvey S. Kanter</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1,039,200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380" w:type="dxa"/>
            <w:vAlign w:val="bottom"/>
            <w:vMerge w:val="continue"/>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519,600</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91,337</w:t>
            </w:r>
          </w:p>
        </w:tc>
        <w:tc>
          <w:tcPr>
            <w:tcW w:w="38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395,489</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00" w:type="dxa"/>
            <w:vAlign w:val="bottom"/>
            <w:vMerge w:val="restart"/>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940" w:type="dxa"/>
            <w:vAlign w:val="bottom"/>
            <w:gridSpan w:val="2"/>
            <w:vMerge w:val="restart"/>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6/10/2030</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663,060</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(5</w:t>
            </w: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40" w:type="dxa"/>
            <w:vAlign w:val="bottom"/>
            <w:gridSpan w:val="2"/>
            <w:vMerge w:val="restart"/>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335,960</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w:t>
            </w: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106,265</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Peter H. Stratton, Jr.</w:t>
            </w:r>
          </w:p>
        </w:tc>
        <w:tc>
          <w:tcPr>
            <w:tcW w:w="1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48,909</w:t>
            </w:r>
          </w:p>
        </w:tc>
        <w:tc>
          <w:tcPr>
            <w:tcW w:w="300" w:type="dxa"/>
            <w:vAlign w:val="bottom"/>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146,727</w:t>
            </w:r>
          </w:p>
        </w:tc>
        <w:tc>
          <w:tcPr>
            <w:tcW w:w="300" w:type="dxa"/>
            <w:vAlign w:val="bottom"/>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(5</w:t>
            </w:r>
          </w:p>
        </w:tc>
        <w:tc>
          <w:tcPr>
            <w:tcW w:w="4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74,344</w:t>
            </w:r>
          </w:p>
        </w:tc>
        <w:tc>
          <w:tcPr>
            <w:tcW w:w="3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4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36,116</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4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380" w:type="dxa"/>
            <w:vAlign w:val="bottom"/>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51,250</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20,211</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87,514</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Ujjwal Dhoot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37,146</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(5</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111,438</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(5</w:t>
            </w:r>
          </w:p>
        </w:tc>
        <w:tc>
          <w:tcPr>
            <w:tcW w:w="400" w:type="dxa"/>
            <w:vAlign w:val="bottom"/>
            <w:vMerge w:val="restart"/>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40" w:type="dxa"/>
            <w:vAlign w:val="bottom"/>
            <w:gridSpan w:val="2"/>
            <w:vMerge w:val="restart"/>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72,461</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w:t>
            </w: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10,158</w:t>
            </w:r>
          </w:p>
        </w:tc>
        <w:tc>
          <w:tcPr>
            <w:tcW w:w="380" w:type="dxa"/>
            <w:vAlign w:val="bottom"/>
            <w:vMerge w:val="continue"/>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43,984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14,349</w:t>
            </w:r>
          </w:p>
        </w:tc>
        <w:tc>
          <w:tcPr>
            <w:tcW w:w="38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62,131</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1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3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94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5/28/2023</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46,433</w:t>
            </w:r>
          </w:p>
        </w:tc>
        <w:tc>
          <w:tcPr>
            <w:tcW w:w="300" w:type="dxa"/>
            <w:vAlign w:val="bottom"/>
            <w:vMerge w:val="continue"/>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139,298</w:t>
            </w:r>
          </w:p>
        </w:tc>
        <w:tc>
          <w:tcPr>
            <w:tcW w:w="300" w:type="dxa"/>
            <w:vAlign w:val="bottom"/>
            <w:vMerge w:val="continue"/>
          </w:tcPr>
          <w:p>
            <w:pPr>
              <w:spacing w:after="0"/>
              <w:rPr>
                <w:sz w:val="10"/>
                <w:szCs w:val="10"/>
                <w:color w:val="auto"/>
              </w:rPr>
            </w:pPr>
          </w:p>
        </w:tc>
        <w:tc>
          <w:tcPr>
            <w:tcW w:w="4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4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70,579</w:t>
            </w:r>
          </w:p>
        </w:tc>
        <w:tc>
          <w:tcPr>
            <w:tcW w:w="3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4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34,287</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4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3/9/2031</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48,656</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83,084</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6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Anthony J. Gaeta</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18,719</w:t>
            </w:r>
          </w:p>
        </w:tc>
        <w:tc>
          <w:tcPr>
            <w:tcW w:w="300" w:type="dxa"/>
            <w:vAlign w:val="bottom"/>
            <w:vMerge w:val="restart"/>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940" w:type="dxa"/>
            <w:vAlign w:val="bottom"/>
            <w:gridSpan w:val="2"/>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5/28/2023</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36,527</w:t>
            </w:r>
          </w:p>
        </w:tc>
        <w:tc>
          <w:tcPr>
            <w:tcW w:w="300" w:type="dxa"/>
            <w:vAlign w:val="bottom"/>
            <w:vMerge w:val="continue"/>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109,581</w:t>
            </w:r>
          </w:p>
        </w:tc>
        <w:tc>
          <w:tcPr>
            <w:tcW w:w="300" w:type="dxa"/>
            <w:vAlign w:val="bottom"/>
            <w:vMerge w:val="continue"/>
            <w:shd w:val="clear" w:color="auto" w:fill="CFF0FC"/>
          </w:tcPr>
          <w:p>
            <w:pPr>
              <w:spacing w:after="0"/>
              <w:rPr>
                <w:sz w:val="12"/>
                <w:szCs w:val="12"/>
                <w:color w:val="auto"/>
              </w:rPr>
            </w:pPr>
          </w:p>
        </w:tc>
        <w:tc>
          <w:tcPr>
            <w:tcW w:w="400" w:type="dxa"/>
            <w:vAlign w:val="bottom"/>
            <w:vMerge w:val="restart"/>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40" w:type="dxa"/>
            <w:vAlign w:val="bottom"/>
            <w:gridSpan w:val="2"/>
            <w:vMerge w:val="restart"/>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6/11/2030</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55,522</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w:t>
            </w: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26,058</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3/9/2031</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380" w:type="dxa"/>
            <w:vAlign w:val="bottom"/>
            <w:vMerge w:val="continue"/>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36,978</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38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65,361</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$4.33 on January 28, 2022.</w:t>
      </w:r>
    </w:p>
    <w:p>
      <w:pPr>
        <w:spacing w:after="0" w:line="117" w:lineRule="exact"/>
        <w:rPr>
          <w:rFonts w:ascii="Times New Roman" w:cs="Times New Roman" w:eastAsia="Times New Roman" w:hAnsi="Times New Roman"/>
          <w:sz w:val="18"/>
          <w:szCs w:val="18"/>
          <w:color w:val="auto"/>
        </w:rPr>
      </w:pPr>
    </w:p>
    <w:p>
      <w:pPr>
        <w:ind w:left="760" w:hanging="378"/>
        <w:spacing w:after="0" w:line="244"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sign-on awards granted to Mr. Kanter in fiscal 2019. The original awards consisted of a grant of 240,000 RSUs that are vesting ratably over four years, with the remaining two tranches vesting on April 1, 2023 and April 1, 2024 and a grant of 720,000 PSUs that vest in installments when the following milestones are met: one-third of the PSUs vest when the trailing 90-day volume-weighted average closing stock price (“VWAP”) is $4.00, one-third of the PSUs vest when</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ind w:left="760" w:right="340"/>
        <w:spacing w:after="0" w:line="282" w:lineRule="auto"/>
        <w:rPr>
          <w:sz w:val="20"/>
          <w:szCs w:val="20"/>
          <w:color w:val="auto"/>
        </w:rPr>
      </w:pPr>
      <w:r>
        <w:rPr>
          <w:rFonts w:ascii="Times New Roman" w:cs="Times New Roman" w:eastAsia="Times New Roman" w:hAnsi="Times New Roman"/>
          <w:sz w:val="18"/>
          <w:szCs w:val="18"/>
          <w:color w:val="auto"/>
        </w:rPr>
        <w:t>the VWAP is $6.00 and one-third when the VWAP is $8.00. The first two tranches of the PSUs vested in fiscal 2021. The remaining 240,000 PSUs will expire on April 1, 2023 if the $8.00 VWAP is not achieved.</w:t>
      </w:r>
    </w:p>
    <w:p>
      <w:pPr>
        <w:spacing w:after="0" w:line="40" w:lineRule="exact"/>
        <w:rPr>
          <w:sz w:val="20"/>
          <w:szCs w:val="20"/>
          <w:color w:val="auto"/>
        </w:rPr>
      </w:pPr>
    </w:p>
    <w:p>
      <w:pPr>
        <w:ind w:left="760" w:right="1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August 7, 2019 in connection with our 2019-2021 LTIP. These awards vest in two remaining tranches on April 1, 2022 and April 1, 2023.</w:t>
      </w:r>
    </w:p>
    <w:p>
      <w:pPr>
        <w:spacing w:after="0" w:line="67" w:lineRule="exact"/>
        <w:rPr>
          <w:rFonts w:ascii="Times New Roman" w:cs="Times New Roman" w:eastAsia="Times New Roman" w:hAnsi="Times New Roman"/>
          <w:sz w:val="18"/>
          <w:szCs w:val="18"/>
          <w:color w:val="auto"/>
        </w:rPr>
      </w:pPr>
    </w:p>
    <w:p>
      <w:pPr>
        <w:ind w:left="760" w:right="54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originally vested in three equal tranches. The remaining two tranches vest on April 1, 2022 and April 1, 2023.</w:t>
      </w:r>
    </w:p>
    <w:p>
      <w:pPr>
        <w:spacing w:after="0" w:line="54"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The awards vest in four equal tranches on June 11, 2021, April 1, 2022, April 1, 2023 and April 1, 2024.</w:t>
      </w:r>
    </w:p>
    <w:p>
      <w:pPr>
        <w:spacing w:after="0" w:line="40"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The awards vest in four equal tranches on April 1, 2022, April 1, 2023, April 1, 2024 and April 1, 2025.</w:t>
      </w:r>
    </w:p>
    <w:p>
      <w:pPr>
        <w:spacing w:after="0" w:line="54"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all the-active members of management who were participants in the 2018-2020 LTIP. The awards vest in three equal tranches on March 9, 2022, March 9, 2023 and March 9, 2024.</w:t>
      </w:r>
    </w:p>
    <w:p>
      <w:pPr>
        <w:spacing w:after="0" w:line="40"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October 24, 2018 in connection with our 2018-2020 LTIP, except with respect to Mr. Dhoot for which awards were granted on December 16, 2019. The remaining awards vested on April 1, 2022.</w:t>
      </w:r>
    </w:p>
    <w:p>
      <w:pPr>
        <w:spacing w:after="0" w:line="15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awards and the vesting of stock awards during fiscal 2021.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OPTION EXERCISES AND STOCK VESTED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758"/>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78"/>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26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Acquired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2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on Vesting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00" w:type="dxa"/>
            <w:vAlign w:val="bottom"/>
            <w:gridSpan w:val="2"/>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($)(1)</w:t>
            </w:r>
          </w:p>
        </w:tc>
        <w:tc>
          <w:tcPr>
            <w:tcW w:w="1400" w:type="dxa"/>
            <w:vAlign w:val="bottom"/>
            <w:gridSpan w:val="2"/>
          </w:tcPr>
          <w:p>
            <w:pPr>
              <w:jc w:val="center"/>
              <w:ind w:left="175"/>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371,020</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1,979,588</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585,669</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80" w:right="240" w:hanging="427"/>
        <w:spacing w:after="0" w:line="258"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61" w:lineRule="exact"/>
        <w:rPr>
          <w:rFonts w:ascii="Times New Roman" w:cs="Times New Roman" w:eastAsia="Times New Roman" w:hAnsi="Times New Roman"/>
          <w:sz w:val="18"/>
          <w:szCs w:val="18"/>
          <w:color w:val="auto"/>
        </w:rPr>
      </w:pPr>
    </w:p>
    <w:p>
      <w:pPr>
        <w:jc w:val="both"/>
        <w:ind w:left="480" w:right="80" w:hanging="427"/>
        <w:spacing w:after="0" w:line="258"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2021 include the time-based awards granted under the 2018-2020 LTIP and 2019-2021 LTIP. The number of shares vested for Mr. Kanter also includes shares that vested pursuant to sign-on awards, including 480,000 performance stock units which vested during fiscal 2021 as a result of the Company's VWAP achieving $4.00 and $6.00 per share.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jc w:val="both"/>
        <w:spacing w:after="0" w:line="250" w:lineRule="auto"/>
        <w:rPr>
          <w:sz w:val="20"/>
          <w:szCs w:val="20"/>
          <w:color w:val="auto"/>
        </w:rPr>
      </w:pPr>
      <w:r>
        <w:rPr>
          <w:rFonts w:ascii="Times New Roman" w:cs="Times New Roman" w:eastAsia="Times New Roman" w:hAnsi="Times New Roman"/>
          <w:sz w:val="18"/>
          <w:szCs w:val="18"/>
          <w:color w:val="auto"/>
        </w:rPr>
        <w:t>In fiscal 2018, the Board ratified and approved the recommendation of the Company’s management team to suspend employer contributions to the 401(k) Plan, for the period from July 1, 2018 until December 31, 2019 and resumed its QACA status for the 2020 plan year. For the 2021 plan year, the Company suspended its QACA safe harbor and, while not required, the Company made a discretionary employer match for 2021. The Company has resumed its QACA safe harbor status for fiscal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6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Company's Non-Employee Director Compensation Plan, as amended to date, sets forth the compensation to be paid to our non-employee directors, including in the form of equity. The plan also permits the Company’s non-employee directors to acquire shares of the Company’s common stock at fair market value by voluntarily electing to receive shares of common stock in lieu of cash fees for service as a director, and currently, there are 1.5 million shares authorized for issuance under the plan for this purpose. The plan is a stand-alone plan and is not a sub-plan under our 2016 Incentive Compensation Plan (the “2016 Plan”). Accordingly, shares issued under the plan for voluntary elections to receive shares of common stock in lieu of cash fees do not reduce the shares available for issuance under the 2016 Plan. However, as described below, beginning in fiscal 2022, directors will be required to receive up to 60% of their annual retainer in the form of shares of our common stock, which shares will come from the 2016 Plan. At January 29, 2022, 797,090 shares remained available for future issuance under the plan to directors that voluntarily elect to receive such shares in lieu of cash fees in accordance with the terms of the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Compensation in Fiscal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directors were compensated under the plan as follows in fiscal 2021:</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$30,000;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$5,000;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$2,500;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$1,250.</w:t>
      </w:r>
    </w:p>
    <w:p>
      <w:pPr>
        <w:spacing w:after="0" w:line="1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For fiscal 2021, non-employee directors were not required to elect 50% of their annual retainer in equity as was previously required under the terms of the plan. The decision to temporarily suspend this requirement was made to preserve the shares available for grant under the 2016 Plan, which is used to support the Company’s employee incentive programs. The terms of the plan in place for fiscal 2021 also limited the number of shares that could be issued each quarter to 250,000 shares (with any shortfall satisfied in cash), removed the requirement for directors to take 50% of their annual retainer in equity and removed the ability for directors to elect deferred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Non-Employee Director Compensation Plan for Fiscal 2022</w:t>
      </w:r>
    </w:p>
    <w:p>
      <w:pPr>
        <w:spacing w:after="0" w:line="11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November 2021, the Compensation Committee engaged Segal to conduct a study comparing the Company's non-employee director compensation, including pay mix and pay practices, to the Company's proxy peers and similarly situated organizations. Based on the results of that study, in December 2021, the Compensation Committee recommended, and the Board of Directors approved, amendments to the Non-Employee Director Compensation Plan that are effective beginning in fiscal 2022. The plan was amended to, among other things, add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will be issued under the 2016 Plan, any additional equity will be satisfied under the Non-Employee Director Compensation Plan and the maximum number of shares that can be issued in any quarter pursuant to the plan remains limited to 250,000 shares in the aggregate. In addition, compensation paid to directors was amended, such that beginning in fiscal 2022, non-employee directors will receive the following compensation: (i) a retainer equal to $33,750 per fiscal quarter, (ii) a fee equal to $10,000 per fiscal quarter for the Board Chair/Lead Director, (iii) a fee equal to $5,000 per fiscal quarter for the chairperson of the audit committee, and (iv) a fee equal to $2,500 per fiscal quarter for the chairperson of any of the Board’s other committees.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0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2021. Ms. Rubin become a director on April 14, 2021 and Ms. Bauza became a director on December 17, 2021. Mr. Kanter is not included in the following table as he is a Named Executive Officer and, accordingly, received no compensation for his services as a director. Compensation earned by Mr. Kanter is included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Paid in Cash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2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($)(2)</w:t>
            </w:r>
          </w:p>
        </w:tc>
        <w:tc>
          <w:tcPr>
            <w:tcW w:w="1140" w:type="dxa"/>
            <w:vAlign w:val="bottom"/>
            <w:gridSpan w:val="2"/>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($)(3)</w:t>
            </w:r>
          </w:p>
        </w:tc>
        <w:tc>
          <w:tcPr>
            <w:tcW w:w="1380" w:type="dxa"/>
            <w:vAlign w:val="bottom"/>
            <w:gridSpan w:val="2"/>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 Boyle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6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Carmen R. Bauza</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Willem Mesdag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Mitchell S. Presser, former director</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6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Elaine K. Rubin</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60" w:right="20" w:hanging="378"/>
        <w:spacing w:after="0" w:line="24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2021, Messrs. Mesdag and Presser elected to receive all compensation in unrestricted shares of common stock. Mr. Presser received a cash payment for the pro-rated third quarter retainer. Mr. Conacher elected to receive 50% of his compensation in unrestricted shares of common stock and 50% in cash. Mr. Boyle elected to receive 75% of his compensation in unrestricted shares of common stock and 25% in cash. Ms. Ross elected to receive 85% of her compensation in cash and 15% in stock. Pursuant to the Non-Employee Director Compensation Plan, because Mses. Bauza and Rubin joined the Board during fiscal 2021 and were not able to make elections they both received all compensation in cash.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4" w:lineRule="exact"/>
        <w:rPr>
          <w:rFonts w:ascii="Times New Roman" w:cs="Times New Roman" w:eastAsia="Times New Roman" w:hAnsi="Times New Roman"/>
          <w:sz w:val="18"/>
          <w:szCs w:val="18"/>
          <w:color w:val="auto"/>
        </w:rPr>
      </w:pPr>
    </w:p>
    <w:p>
      <w:pPr>
        <w:ind w:left="760" w:right="20" w:hanging="378"/>
        <w:spacing w:after="0" w:line="24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w:t>
      </w:r>
    </w:p>
    <w:p>
      <w:pPr>
        <w:spacing w:after="0" w:line="1" w:lineRule="exact"/>
        <w:rPr>
          <w:rFonts w:ascii="Times New Roman" w:cs="Times New Roman" w:eastAsia="Times New Roman" w:hAnsi="Times New Roman"/>
          <w:sz w:val="18"/>
          <w:szCs w:val="18"/>
          <w:color w:val="auto"/>
        </w:rPr>
      </w:pPr>
    </w:p>
    <w:p>
      <w:pPr>
        <w:ind w:left="760" w:right="460" w:hanging="378"/>
        <w:spacing w:after="0" w:line="245"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2021. The following directors had the respective number of stock options outstanding at January 29, 2022: Mr. Boyle: 15,000; Mr. Conacher: 15,000; Mr. Mesdag: 15,000; and Ms. Ross: 15,000.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None of the members of the Compensation Committee who served on the Compensation Committee during fiscal 2021 was at any time during fiscal 2021 or at any other time an officer or employee of our Company. During fiscal 2021, none of our executive officers served as a member of the board of directors or compensation committee of any other entity that had one or more executive officers serving as a member of our Board or Compensation Committee.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0" w:name="page31"/>
    <w:bookmarkEnd w:id="30"/>
    <w:p>
      <w:pPr>
        <w:ind w:right="3080"/>
        <w:spacing w:after="0" w:line="370"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Security Ownership of Certain Beneficial Owners</w:t>
      </w:r>
    </w:p>
    <w:p>
      <w:pPr>
        <w:ind w:right="180"/>
        <w:spacing w:after="0" w:line="263"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persons known to us to be the beneficial owners of more than five percent of the issued and outstanding shares of our common stock as of May 13, 2022. We were informed that,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145"/>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40" w:type="dxa"/>
            <w:vAlign w:val="bottom"/>
          </w:tcPr>
          <w:p>
            <w:pPr>
              <w:spacing w:after="0"/>
              <w:rPr>
                <w:sz w:val="12"/>
                <w:szCs w:val="12"/>
                <w:color w:val="auto"/>
              </w:rPr>
            </w:pPr>
          </w:p>
        </w:tc>
        <w:tc>
          <w:tcPr>
            <w:tcW w:w="1520" w:type="dxa"/>
            <w:vAlign w:val="bottom"/>
          </w:tcPr>
          <w:p>
            <w:pPr>
              <w:jc w:val="right"/>
              <w:ind w:right="79"/>
              <w:spacing w:after="0" w:line="145"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480" w:type="dxa"/>
            <w:vAlign w:val="bottom"/>
          </w:tcPr>
          <w:p>
            <w:pPr>
              <w:spacing w:after="0"/>
              <w:rPr>
                <w:sz w:val="12"/>
                <w:szCs w:val="12"/>
                <w:color w:val="auto"/>
              </w:rPr>
            </w:pPr>
          </w:p>
        </w:tc>
        <w:tc>
          <w:tcPr>
            <w:tcW w:w="1400" w:type="dxa"/>
            <w:vAlign w:val="bottom"/>
            <w:gridSpan w:val="2"/>
          </w:tcPr>
          <w:p>
            <w:pPr>
              <w:jc w:val="right"/>
              <w:ind w:right="159"/>
              <w:spacing w:after="0" w:line="145" w:lineRule="exact"/>
              <w:rPr>
                <w:sz w:val="20"/>
                <w:szCs w:val="20"/>
                <w:color w:val="auto"/>
              </w:rPr>
            </w:pPr>
            <w:r>
              <w:rPr>
                <w:rFonts w:ascii="Times New Roman" w:cs="Times New Roman" w:eastAsia="Times New Roman" w:hAnsi="Times New Roman"/>
                <w:sz w:val="16"/>
                <w:szCs w:val="16"/>
                <w:b w:val="1"/>
                <w:bCs w:val="1"/>
                <w:color w:val="auto"/>
              </w:rPr>
              <w:t>Percent of Class</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77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AWM Investment Company, Inc.</w:t>
            </w:r>
          </w:p>
        </w:tc>
        <w:tc>
          <w:tcPr>
            <w:tcW w:w="140" w:type="dxa"/>
            <w:vAlign w:val="bottom"/>
          </w:tcPr>
          <w:p>
            <w:pPr>
              <w:spacing w:after="0"/>
              <w:rPr>
                <w:sz w:val="12"/>
                <w:szCs w:val="12"/>
                <w:color w:val="auto"/>
              </w:rPr>
            </w:pPr>
          </w:p>
        </w:tc>
        <w:tc>
          <w:tcPr>
            <w:tcW w:w="1520" w:type="dxa"/>
            <w:vAlign w:val="bottom"/>
          </w:tcPr>
          <w:p>
            <w:pPr>
              <w:jc w:val="right"/>
              <w:spacing w:after="0" w:line="146" w:lineRule="exact"/>
              <w:rPr>
                <w:sz w:val="20"/>
                <w:szCs w:val="20"/>
                <w:color w:val="auto"/>
              </w:rPr>
            </w:pPr>
            <w:r>
              <w:rPr>
                <w:rFonts w:ascii="Times New Roman" w:cs="Times New Roman" w:eastAsia="Times New Roman" w:hAnsi="Times New Roman"/>
                <w:sz w:val="16"/>
                <w:szCs w:val="16"/>
                <w:color w:val="auto"/>
              </w:rPr>
              <w:t>10,970,434</w:t>
            </w:r>
          </w:p>
        </w:tc>
        <w:tc>
          <w:tcPr>
            <w:tcW w:w="480" w:type="dxa"/>
            <w:vAlign w:val="bottom"/>
          </w:tcPr>
          <w:p>
            <w:pPr>
              <w:jc w:val="right"/>
              <w:ind w:right="99"/>
              <w:spacing w:after="0" w:line="146" w:lineRule="exact"/>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spacing w:after="0" w:line="146" w:lineRule="exact"/>
              <w:rPr>
                <w:sz w:val="20"/>
                <w:szCs w:val="20"/>
                <w:color w:val="auto"/>
              </w:rPr>
            </w:pPr>
            <w:r>
              <w:rPr>
                <w:rFonts w:ascii="Times New Roman" w:cs="Times New Roman" w:eastAsia="Times New Roman" w:hAnsi="Times New Roman"/>
                <w:sz w:val="16"/>
                <w:szCs w:val="16"/>
                <w:color w:val="auto"/>
              </w:rPr>
              <w:t>17.4</w:t>
            </w:r>
          </w:p>
        </w:tc>
        <w:tc>
          <w:tcPr>
            <w:tcW w:w="140" w:type="dxa"/>
            <w:vAlign w:val="bottom"/>
          </w:tcPr>
          <w:p>
            <w:pPr>
              <w:jc w:val="right"/>
              <w:spacing w:after="0" w:line="146"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5"/>
        </w:trPr>
        <w:tc>
          <w:tcPr>
            <w:tcW w:w="77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 Special Situations Funds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527 Madison Avenue, Suite 2600</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 New York 10022</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Seymour Holtzman</w:t>
            </w:r>
          </w:p>
        </w:tc>
        <w:tc>
          <w:tcPr>
            <w:tcW w:w="16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4,469,018</w:t>
            </w:r>
          </w:p>
        </w:tc>
        <w:tc>
          <w:tcPr>
            <w:tcW w:w="48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19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N Wilkes Barre Blvd.</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342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Wilkes Barre, PA 18702</w:t>
      </w:r>
    </w:p>
    <w:p>
      <w:pPr>
        <w:spacing w:after="0" w:line="212" w:lineRule="exact"/>
        <w:rPr>
          <w:sz w:val="20"/>
          <w:szCs w:val="20"/>
          <w:color w:val="auto"/>
        </w:rPr>
      </w:pPr>
    </w:p>
    <w:p>
      <w:pPr>
        <w:ind w:left="760" w:right="100" w:hanging="378"/>
        <w:spacing w:after="0" w:line="264"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63,646,745 shares of our common stock outstanding as of May 13, 2022.</w:t>
      </w:r>
    </w:p>
    <w:p>
      <w:pPr>
        <w:spacing w:after="0" w:line="58" w:lineRule="exact"/>
        <w:rPr>
          <w:rFonts w:ascii="Times New Roman" w:cs="Times New Roman" w:eastAsia="Times New Roman" w:hAnsi="Times New Roman"/>
          <w:sz w:val="17"/>
          <w:szCs w:val="17"/>
          <w:color w:val="auto"/>
        </w:rPr>
      </w:pPr>
    </w:p>
    <w:p>
      <w:pPr>
        <w:ind w:left="760" w:right="40" w:hanging="378"/>
        <w:spacing w:after="0" w:line="25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April 21, 2022. AWM Investment Company, Inc. is the investment adviser to Special Situations Fund III QP, L.P. (“SSFQP”), Special Situations Cayman Fund, L.P. (“SSCF”) and Special Situations Private Equity Fund, L.P. (“SSPE,” and together with SSFQP and SSCF, “the Funds”). Of the shares reflected in the table, (i) 6,578,108 shares are held directly by SSFQP, (ii) 2,231,647 shares are held directly by SSCF and (iii) 2,160,679 shares are held directly by SSPE. As the investment adviser to the Funds, AWM holds sole voting and investment power over these shares.</w:t>
      </w:r>
    </w:p>
    <w:p>
      <w:pPr>
        <w:spacing w:after="0" w:line="69" w:lineRule="exact"/>
        <w:rPr>
          <w:rFonts w:ascii="Times New Roman" w:cs="Times New Roman" w:eastAsia="Times New Roman" w:hAnsi="Times New Roman"/>
          <w:sz w:val="18"/>
          <w:szCs w:val="18"/>
          <w:color w:val="auto"/>
        </w:rPr>
      </w:pPr>
    </w:p>
    <w:p>
      <w:pPr>
        <w:jc w:val="both"/>
        <w:ind w:left="760" w:right="40" w:hanging="378"/>
        <w:spacing w:after="0" w:line="25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62 to Schedule 13D dated August 5, 2021. Of these shares, 339,594 shares are held by Jewelcor Management, Inc. Mr. Holtzman is the chairman, chief executive officer and president and, together with his wife, indirectly, the majority shareholder of Jewelcor Management, Inc.</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63"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13, 2022,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80" w:type="dxa"/>
            <w:vAlign w:val="bottom"/>
          </w:tcPr>
          <w:p>
            <w:pPr>
              <w:spacing w:after="0"/>
              <w:rPr>
                <w:sz w:val="16"/>
                <w:szCs w:val="16"/>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Percent of Class</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Lionel F. Conacher</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358,069</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Chairman of the Board</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Harvey S. Kanter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804,519</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Peter H. Stratton, Jr.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307,413</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Ujjwal Dhoot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162,765</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Marketing Officer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Robert S. Molloy</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388,886</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Anthony J. Gaeta</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257,659</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Stores Officer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Jack Boyle, Director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476,315</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Carmen R. Bauza, Director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Willem Mesdag, Director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3,000,997</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Ivy Ross, Director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209,395</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Elaine K. Rubin, Director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54,610</w:t>
            </w: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 and executive officers as a group (15 persons)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6,806,159</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-2061845</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951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6" w:lineRule="exact"/>
        <w:rPr>
          <w:sz w:val="20"/>
          <w:szCs w:val="20"/>
          <w:color w:val="auto"/>
        </w:rPr>
      </w:pPr>
    </w:p>
    <w:p>
      <w:pPr>
        <w:ind w:left="380" w:right="180" w:hanging="372"/>
        <w:spacing w:after="0" w:line="24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63,646,745 shares of our common stock outstanding as of May 13, 2022.</w:t>
      </w:r>
    </w:p>
    <w:p>
      <w:pPr>
        <w:ind w:left="380" w:hanging="372"/>
        <w:spacing w:after="0" w:line="234"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490,432 shares subject to stock options exercisable within 60 days.</w:t>
      </w:r>
    </w:p>
    <w:p>
      <w:pPr>
        <w:spacing w:after="0" w:line="7" w:lineRule="exact"/>
        <w:rPr>
          <w:rFonts w:ascii="Times New Roman" w:cs="Times New Roman" w:eastAsia="Times New Roman" w:hAnsi="Times New Roman"/>
          <w:sz w:val="18"/>
          <w:szCs w:val="18"/>
          <w:color w:val="auto"/>
        </w:rPr>
      </w:pPr>
    </w:p>
    <w:p>
      <w:pPr>
        <w:ind w:left="380" w:hanging="372"/>
        <w:spacing w:after="0" w:line="23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128,442 shares subject to stock options exercisable within 60 days.</w:t>
      </w:r>
    </w:p>
    <w:p>
      <w:pPr>
        <w:ind w:left="380" w:hanging="372"/>
        <w:spacing w:after="0" w:line="234"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95,856 shares subject to stock options exercisable within 60 days.</w:t>
      </w: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140,257 shares subject to stock options exercisable within 60 days.</w:t>
      </w:r>
    </w:p>
    <w:p>
      <w:pPr>
        <w:spacing w:after="0" w:line="7" w:lineRule="exact"/>
        <w:rPr>
          <w:rFonts w:ascii="Times New Roman" w:cs="Times New Roman" w:eastAsia="Times New Roman" w:hAnsi="Times New Roman"/>
          <w:sz w:val="18"/>
          <w:szCs w:val="18"/>
          <w:color w:val="auto"/>
        </w:rPr>
      </w:pPr>
    </w:p>
    <w:p>
      <w:pPr>
        <w:ind w:left="380" w:hanging="372"/>
        <w:spacing w:after="0" w:line="23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114,340 shares subject to stock options exercisable within 60 days.</w:t>
      </w:r>
    </w:p>
    <w:p>
      <w:pPr>
        <w:ind w:left="380" w:right="40" w:hanging="372"/>
        <w:spacing w:after="0" w:line="239"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 and 435,568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By virtue of his direct or indirect control of Red Mountain Partners, L.P. and Red Mountain Capital Partners, LLC, Mr. Mesdag is deemed to beneficially own all of the securities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1" w:lineRule="exact"/>
        <w:rPr>
          <w:rFonts w:ascii="Times New Roman" w:cs="Times New Roman" w:eastAsia="Times New Roman" w:hAnsi="Times New Roman"/>
          <w:sz w:val="18"/>
          <w:szCs w:val="18"/>
          <w:color w:val="auto"/>
        </w:rPr>
      </w:pPr>
    </w:p>
    <w:p>
      <w:pPr>
        <w:ind w:left="380" w:hanging="372"/>
        <w:spacing w:after="0" w:line="234"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1,393,152 shares subject to stock options exercisable within 60 days and 435,568 shares of deferred stock.</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our equity compensation plans as of January 29, 2022:</w:t>
      </w:r>
    </w:p>
    <w:p>
      <w:pPr>
        <w:sectPr>
          <w:pgSz w:w="11900" w:h="16838" w:orient="portrait"/>
          <w:cols w:equalWidth="0" w:num="1">
            <w:col w:w="11140"/>
          </w:cols>
          <w:pgMar w:left="320" w:top="53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446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(1)</w:t>
      </w:r>
    </w:p>
    <w:p>
      <w:pPr>
        <w:ind w:left="20"/>
        <w:spacing w:after="0" w:line="212" w:lineRule="auto"/>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(3)</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38"/>
        </w:trPr>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470"/>
              <w:spacing w:after="0" w:line="139"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470"/>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35"/>
        </w:trPr>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tcPr>
          <w:p>
            <w:pPr>
              <w:jc w:val="center"/>
              <w:ind w:right="470"/>
              <w:spacing w:after="0" w:line="13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8"/>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470"/>
              <w:spacing w:after="0"/>
              <w:rPr>
                <w:sz w:val="20"/>
                <w:szCs w:val="20"/>
                <w:color w:val="auto"/>
              </w:rPr>
            </w:pPr>
            <w:r>
              <w:rPr>
                <w:rFonts w:ascii="Times New Roman" w:cs="Times New Roman" w:eastAsia="Times New Roman" w:hAnsi="Times New Roman"/>
                <w:sz w:val="13"/>
                <w:szCs w:val="13"/>
                <w:b w:val="1"/>
                <w:bCs w:val="1"/>
                <w:color w:val="auto"/>
              </w:rPr>
              <w:t>options, 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35"/>
        </w:trPr>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tcPr>
          <w:p>
            <w:pPr>
              <w:jc w:val="center"/>
              <w:ind w:right="470"/>
              <w:spacing w:after="0" w:line="135" w:lineRule="exact"/>
              <w:rPr>
                <w:sz w:val="20"/>
                <w:szCs w:val="20"/>
                <w:color w:val="auto"/>
              </w:rPr>
            </w:pPr>
            <w:r>
              <w:rPr>
                <w:rFonts w:ascii="Times New Roman" w:cs="Times New Roman" w:eastAsia="Times New Roman" w:hAnsi="Times New Roman"/>
                <w:sz w:val="13"/>
                <w:szCs w:val="13"/>
                <w:b w:val="1"/>
                <w:bCs w:val="1"/>
                <w:color w:val="auto"/>
              </w:rPr>
              <w:t>and rights</w:t>
            </w:r>
          </w:p>
        </w:tc>
        <w:tc>
          <w:tcPr>
            <w:tcW w:w="1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88"/>
        </w:trPr>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470"/>
              <w:spacing w:after="0"/>
              <w:rPr>
                <w:sz w:val="20"/>
                <w:szCs w:val="20"/>
                <w:color w:val="auto"/>
              </w:rPr>
            </w:pPr>
            <w:r>
              <w:rPr>
                <w:rFonts w:ascii="Times New Roman" w:cs="Times New Roman" w:eastAsia="Times New Roman" w:hAnsi="Times New Roman"/>
                <w:sz w:val="13"/>
                <w:szCs w:val="13"/>
                <w:b w:val="1"/>
                <w:bCs w:val="1"/>
                <w:color w:val="auto"/>
              </w:rPr>
              <w:t>(b)</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65"/>
        </w:trPr>
        <w:tc>
          <w:tcPr>
            <w:tcW w:w="1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680" w:type="dxa"/>
            <w:vAlign w:val="bottom"/>
            <w:tcBorders>
              <w:top w:val="single" w:sz="8" w:color="auto"/>
            </w:tcBorders>
          </w:tcPr>
          <w:p>
            <w:pPr>
              <w:spacing w:after="0"/>
              <w:rPr>
                <w:sz w:val="14"/>
                <w:szCs w:val="14"/>
                <w:color w:val="auto"/>
              </w:rPr>
            </w:pPr>
          </w:p>
        </w:tc>
      </w:tr>
      <w:tr>
        <w:trPr>
          <w:trHeight w:val="216"/>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5,812,409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0.90  )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4,800,386</w:t>
            </w:r>
          </w:p>
        </w:tc>
      </w:tr>
      <w:tr>
        <w:trPr>
          <w:trHeight w:val="234"/>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767,090</w:t>
            </w:r>
          </w:p>
        </w:tc>
      </w:tr>
      <w:tr>
        <w:trPr>
          <w:trHeight w:val="209"/>
        </w:trPr>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5,812,409</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4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5,567,476</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-565150</wp:posOffset>
            </wp:positionV>
            <wp:extent cx="713232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-162560</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40" w:space="720"/>
            <w:col w:w="5580"/>
          </w:cols>
          <w:pgMar w:left="320" w:top="536" w:right="439" w:bottom="1440" w:gutter="0" w:footer="0" w:header="0"/>
          <w:type w:val="continuous"/>
        </w:sectPr>
      </w:pPr>
    </w:p>
    <w:p>
      <w:pPr>
        <w:ind w:left="760" w:right="20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4,621,550 outstanding stock options, 515,291 outstanding RSUs, 240,000 outstanding PSUs and 435,568 outstanding deferred stock awards.</w:t>
      </w:r>
    </w:p>
    <w:p>
      <w:pPr>
        <w:spacing w:after="0" w:line="148"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solely based upon outstanding stock options and excludes RSUs, PSUs and deferred stock awards.</w:t>
      </w:r>
    </w:p>
    <w:p>
      <w:pPr>
        <w:spacing w:after="0" w:line="67"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Non-Employee Director Compensation Plan, we have 1,500,000 shares authorized for stock issuances in lieu of cash director fees, of which 767,090 shares were available at January 29, 2022.</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its charter, the Audit Committee reviews all related-party transactions on an ongoing basis and, to the extent required by the Sarbanes−Oxley Act of 2002, the SEC or Nasdaq, all such transactions must be approved by the Audit Committee except as otherwise delegated by the Audit Committee to another independent body of the Board.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comprised of seven members, all of whom are independent, under the rules for Nasdaq, other than Mr. Kanter, the Company’s CEO.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engaged KPMG LLP to serve as our independent registered public accounting firm during the fiscal year ended January 29,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 has served as the Company’s independent registered public accounting firm since June 6, 2013.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January 29, 2022 (“fiscal 2021”) and January 30, 2021 (“fiscal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2021</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2020</w:t>
            </w:r>
          </w:p>
        </w:tc>
        <w:tc>
          <w:tcPr>
            <w:tcW w:w="100" w:type="dxa"/>
            <w:vAlign w:val="bottom"/>
          </w:tcPr>
          <w:p>
            <w:pPr>
              <w:spacing w:after="0"/>
              <w:rPr>
                <w:sz w:val="16"/>
                <w:szCs w:val="16"/>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1,060,500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 (2)</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1,162,280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831,780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760" w:right="140" w:hanging="378"/>
        <w:spacing w:after="0" w:line="250"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related to professional services rendered in connection with the audits of our financial statements included in our Annual Reports on Form 10-K for fiscal 2021 and fiscal 2020, services performed related to compliance with Section 404 of the Sarbanes-Oxley Act of 2002 for fiscal 2021, reviews of the financial statements included in each of our Quarterly Reports on Form 10-Q for fiscal 2021 and fiscal 2020, and </w:t>
      </w:r>
      <w:r>
        <w:rPr>
          <w:rFonts w:ascii="Times New Roman" w:cs="Times New Roman" w:eastAsia="Times New Roman" w:hAnsi="Times New Roman"/>
          <w:sz w:val="18"/>
          <w:szCs w:val="18"/>
          <w:color w:val="212121"/>
        </w:rPr>
        <w:t xml:space="preserve">services normally provided by the independent auditor in connection with statutory and regulatory filings </w:t>
      </w:r>
      <w:r>
        <w:rPr>
          <w:rFonts w:ascii="Times New Roman" w:cs="Times New Roman" w:eastAsia="Times New Roman" w:hAnsi="Times New Roman"/>
          <w:sz w:val="18"/>
          <w:szCs w:val="18"/>
          <w:color w:val="252525"/>
        </w:rPr>
        <w:t>in both fiscal years.</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professional services rendered in connection with income tax return preparation and compliance services.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related to an annual fee for access to an online accounting research tool.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21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9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 of the Audit Committee in time-sensitive cases. The Audit Committee will regularly review summary reports detailing all services (and related fees and expenses) being provided to us by the independent registered public accounting firm.</w:t>
      </w:r>
    </w:p>
    <w:p>
      <w:pPr>
        <w:spacing w:after="0" w:line="1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All of the services provided in fiscal 2021 and fiscal 2020 under Audit Fees, Tax Fees and All Other Fees were pre-approved by the Audit Committee.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15(a)(3) Exhibits</w:t>
      </w:r>
    </w:p>
    <w:p>
      <w:pPr>
        <w:spacing w:after="0" w:line="23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59" w:lineRule="exact"/>
        <w:rPr>
          <w:sz w:val="20"/>
          <w:szCs w:val="20"/>
          <w:color w:val="auto"/>
        </w:rPr>
      </w:pPr>
    </w:p>
    <w:p>
      <w:pPr>
        <w:ind w:left="420"/>
        <w:spacing w:after="0"/>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-7620</wp:posOffset>
            </wp:positionV>
            <wp:extent cx="586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4225" cy="8255"/>
                    </a:xfrm>
                    <a:prstGeom prst="rect">
                      <a:avLst/>
                    </a:prstGeom>
                    <a:noFill/>
                  </pic:spPr>
                </pic:pic>
              </a:graphicData>
            </a:graphic>
          </wp:anchor>
        </w:drawing>
      </w:r>
    </w:p>
    <w:p>
      <w:pPr>
        <w:spacing w:after="0" w:line="97" w:lineRule="exact"/>
        <w:rPr>
          <w:sz w:val="20"/>
          <w:szCs w:val="20"/>
          <w:color w:val="auto"/>
        </w:rPr>
      </w:pPr>
    </w:p>
    <w:p>
      <w:pPr>
        <w:ind w:left="420"/>
        <w:spacing w:after="0"/>
        <w:tabs>
          <w:tab w:leader="none" w:pos="1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-7620</wp:posOffset>
            </wp:positionV>
            <wp:extent cx="58324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32475" cy="8255"/>
                    </a:xfrm>
                    <a:prstGeom prst="rect">
                      <a:avLst/>
                    </a:prstGeom>
                    <a:noFill/>
                  </pic:spPr>
                </pic:pic>
              </a:graphicData>
            </a:graphic>
          </wp:anchor>
        </w:drawing>
      </w:r>
    </w:p>
    <w:p>
      <w:pPr>
        <w:spacing w:after="0" w:line="70" w:lineRule="exact"/>
        <w:rPr>
          <w:sz w:val="20"/>
          <w:szCs w:val="20"/>
          <w:color w:val="auto"/>
        </w:rPr>
      </w:pPr>
    </w:p>
    <w:p>
      <w:pPr>
        <w:ind w:left="1100" w:hanging="633"/>
        <w:spacing w:after="0" w:line="184" w:lineRule="auto"/>
        <w:tabs>
          <w:tab w:leader="none" w:pos="1100" w:val="left"/>
        </w:tabs>
        <w:numPr>
          <w:ilvl w:val="0"/>
          <w:numId w:val="3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Cover Page Interactive Data File – The cover page interactive data file does not appear in the interactive data file because its XBRL tags are embedded within the Inline XBRL document.</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20" w:right="97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3"/>
          <w:szCs w:val="13"/>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3"/>
          <w:szCs w:val="13"/>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180" w:right="1800" w:hanging="7492"/>
        <w:spacing w:after="0" w:line="254" w:lineRule="auto"/>
        <w:tabs>
          <w:tab w:leader="none" w:pos="7160" w:val="left"/>
        </w:tabs>
        <w:rPr>
          <w:sz w:val="20"/>
          <w:szCs w:val="20"/>
          <w:color w:val="auto"/>
        </w:rPr>
      </w:pPr>
      <w:r>
        <w:rPr>
          <w:rFonts w:ascii="Times New Roman" w:cs="Times New Roman" w:eastAsia="Times New Roman" w:hAnsi="Times New Roman"/>
          <w:sz w:val="18"/>
          <w:szCs w:val="18"/>
          <w:color w:val="auto"/>
        </w:rPr>
        <w:t>May 31, 2022</w:t>
      </w:r>
      <w:r>
        <w:rPr>
          <w:sz w:val="20"/>
          <w:szCs w:val="20"/>
          <w:color w:val="auto"/>
        </w:rPr>
        <w:tab/>
      </w:r>
      <w:r>
        <w:rPr>
          <w:rFonts w:ascii="Times New Roman" w:cs="Times New Roman" w:eastAsia="Times New Roman" w:hAnsi="Times New Roman"/>
          <w:sz w:val="18"/>
          <w:szCs w:val="18"/>
          <w:color w:val="auto"/>
        </w:rPr>
        <w:t>By: /s/ HARVEY S. KANTER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-128905</wp:posOffset>
            </wp:positionV>
            <wp:extent cx="23742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7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23742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Peter H. Stratton, Jr.</w:t>
      </w:r>
    </w:p>
    <w:p>
      <w:pPr>
        <w:ind w:left="752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7520"/>
        <w:spacing w:after="0"/>
        <w:rPr>
          <w:sz w:val="20"/>
          <w:szCs w:val="20"/>
          <w:color w:val="auto"/>
        </w:rPr>
      </w:pPr>
      <w:r>
        <w:rPr>
          <w:rFonts w:ascii="Times New Roman" w:cs="Times New Roman" w:eastAsia="Times New Roman" w:hAnsi="Times New Roman"/>
          <w:sz w:val="18"/>
          <w:szCs w:val="18"/>
          <w:color w:val="auto"/>
        </w:rPr>
        <w:t>and Treasurer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77"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57"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1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2" w:lineRule="exact"/>
        <w:rPr>
          <w:sz w:val="20"/>
          <w:szCs w:val="20"/>
          <w:color w:val="auto"/>
        </w:rPr>
      </w:pPr>
    </w:p>
    <w:p>
      <w:pPr>
        <w:ind w:left="20"/>
        <w:spacing w:after="0"/>
        <w:tabs>
          <w:tab w:leader="none" w:pos="580" w:val="left"/>
          <w:tab w:leader="none" w:pos="6780" w:val="left"/>
          <w:tab w:leader="none" w:pos="8420" w:val="left"/>
        </w:tabs>
        <w:rPr>
          <w:sz w:val="20"/>
          <w:szCs w:val="20"/>
          <w:color w:val="auto"/>
        </w:rPr>
      </w:pPr>
      <w:r>
        <w:rPr>
          <w:rFonts w:ascii="Times New Roman" w:cs="Times New Roman" w:eastAsia="Times New Roman" w:hAnsi="Times New Roman"/>
          <w:sz w:val="18"/>
          <w:szCs w:val="18"/>
          <w:color w:val="auto"/>
        </w:rPr>
        <w:t>Date:</w:t>
        <w:tab/>
        <w:t>May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18"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77"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Destination XL Group, Inc.;</w:t>
      </w:r>
    </w:p>
    <w:p>
      <w:pPr>
        <w:spacing w:after="0" w:line="157" w:lineRule="exact"/>
        <w:rPr>
          <w:rFonts w:ascii="Times New Roman" w:cs="Times New Roman" w:eastAsia="Times New Roman" w:hAnsi="Times New Roman"/>
          <w:sz w:val="18"/>
          <w:szCs w:val="18"/>
          <w:color w:val="auto"/>
        </w:rPr>
      </w:pPr>
    </w:p>
    <w:p>
      <w:pPr>
        <w:ind w:left="520" w:right="280" w:hanging="512"/>
        <w:spacing w:after="0" w:line="258" w:lineRule="auto"/>
        <w:tabs>
          <w:tab w:leader="none" w:pos="1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2" w:lineRule="exact"/>
        <w:rPr>
          <w:sz w:val="20"/>
          <w:szCs w:val="20"/>
          <w:color w:val="auto"/>
        </w:rPr>
      </w:pPr>
    </w:p>
    <w:p>
      <w:pPr>
        <w:ind w:left="20"/>
        <w:spacing w:after="0"/>
        <w:tabs>
          <w:tab w:leader="none" w:pos="620" w:val="left"/>
          <w:tab w:leader="none" w:pos="6780" w:val="left"/>
          <w:tab w:leader="none" w:pos="8300" w:val="left"/>
        </w:tabs>
        <w:rPr>
          <w:sz w:val="20"/>
          <w:szCs w:val="20"/>
          <w:color w:val="auto"/>
        </w:rPr>
      </w:pPr>
      <w:r>
        <w:rPr>
          <w:rFonts w:ascii="Times New Roman" w:cs="Times New Roman" w:eastAsia="Times New Roman" w:hAnsi="Times New Roman"/>
          <w:sz w:val="18"/>
          <w:szCs w:val="18"/>
          <w:color w:val="auto"/>
        </w:rPr>
        <w:t>Date:</w:t>
        <w:tab/>
        <w:t>May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18"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4"/>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Roman"/>
      <w:start w:val="1"/>
    </w:lvl>
  </w:abstractNum>
  <w:abstractNum w:abstractNumId="20">
    <w:nsid w:val="2901D82"/>
    <w:multiLevelType w:val="hybridMultilevel"/>
    <w:lvl w:ilvl="0">
      <w:lvlJc w:val="left"/>
      <w:lvlText w:val="(%1)"/>
      <w:numFmt w:val="lowerRoman"/>
      <w:start w:val="2"/>
    </w:lvl>
  </w:abstractNum>
  <w:abstractNum w:abstractNumId="21">
    <w:nsid w:val="3A95F874"/>
    <w:multiLevelType w:val="hybridMultilevel"/>
    <w:lvl w:ilvl="0">
      <w:lvlJc w:val="left"/>
      <w:lvlText w:val="(%1)"/>
      <w:numFmt w:val="lowerRoman"/>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04"/>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2022-05-31T16:09:56Z</dcterms:created>
  <dcterms:modified xsi:type="dcterms:W3CDTF">2022-05-31T16:09:56Z</dcterms:modified>
</cp:coreProperties>
</file>