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38" w:lineRule="auto"/>
        <w:rPr>
          <w:sz w:val="20"/>
          <w:szCs w:val="20"/>
          <w:color w:val="auto"/>
        </w:rPr>
      </w:pPr>
      <w:r>
        <w:rPr>
          <w:rFonts w:ascii="Courier New" w:cs="Courier New" w:eastAsia="Courier New" w:hAnsi="Courier New"/>
          <w:sz w:val="18"/>
          <w:szCs w:val="18"/>
          <w:color w:val="auto"/>
        </w:rPr>
        <w:t>(Amendment No. 6)</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Designs, Inc.</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 par value $.01</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148711104</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6" w:lineRule="exact"/>
        <w:rPr>
          <w:sz w:val="24"/>
          <w:szCs w:val="24"/>
          <w:color w:val="auto"/>
        </w:rPr>
      </w:pPr>
    </w:p>
    <w:p>
      <w:pPr>
        <w:ind w:left="640" w:hanging="632"/>
        <w:spacing w:after="0"/>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Franklin Resources, Inc.</w:t>
      </w:r>
    </w:p>
    <w:p>
      <w:pPr>
        <w:spacing w:after="0" w:line="200" w:lineRule="exact"/>
        <w:rPr>
          <w:sz w:val="24"/>
          <w:szCs w:val="24"/>
          <w:color w:val="auto"/>
        </w:rPr>
      </w:pPr>
    </w:p>
    <w:p>
      <w:pPr>
        <w:spacing w:after="0" w:line="204" w:lineRule="exact"/>
        <w:rPr>
          <w:sz w:val="24"/>
          <w:szCs w:val="24"/>
          <w:color w:val="auto"/>
        </w:rPr>
      </w:pPr>
    </w:p>
    <w:p>
      <w:pPr>
        <w:ind w:left="640" w:hanging="632"/>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(a)</w:t>
      </w:r>
    </w:p>
    <w:p>
      <w:pPr>
        <w:ind w:left="1900" w:hanging="628"/>
        <w:spacing w:after="0" w:line="238" w:lineRule="auto"/>
        <w:tabs>
          <w:tab w:leader="none" w:pos="190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640" w:right="5779" w:hanging="632"/>
        <w:spacing w:after="0" w:line="470" w:lineRule="auto"/>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0" w:lineRule="exact"/>
        <w:rPr>
          <w:sz w:val="24"/>
          <w:szCs w:val="24"/>
          <w:color w:val="auto"/>
        </w:rPr>
      </w:pPr>
    </w:p>
    <w:p>
      <w:pPr>
        <w:spacing w:after="0" w:line="209" w:lineRule="exact"/>
        <w:rPr>
          <w:sz w:val="24"/>
          <w:szCs w:val="24"/>
          <w:color w:val="auto"/>
        </w:rPr>
      </w:pPr>
    </w:p>
    <w:p>
      <w:pPr>
        <w:ind w:left="1280" w:right="7159" w:hanging="640"/>
        <w:spacing w:after="0" w:line="536" w:lineRule="auto"/>
        <w:tabs>
          <w:tab w:leader="none" w:pos="1280"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(See Item 4)</w:t>
      </w:r>
    </w:p>
    <w:p>
      <w:pPr>
        <w:ind w:left="1280" w:right="6939" w:hanging="640"/>
        <w:spacing w:after="0" w:line="470" w:lineRule="auto"/>
        <w:tabs>
          <w:tab w:leader="none" w:pos="128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(See Item 4)</w:t>
      </w:r>
    </w:p>
    <w:p>
      <w:pPr>
        <w:spacing w:after="0" w:line="11" w:lineRule="exact"/>
        <w:rPr>
          <w:rFonts w:ascii="Courier New" w:cs="Courier New" w:eastAsia="Courier New" w:hAnsi="Courier New"/>
          <w:sz w:val="18"/>
          <w:szCs w:val="18"/>
          <w:color w:val="auto"/>
        </w:rPr>
      </w:pPr>
    </w:p>
    <w:p>
      <w:pPr>
        <w:ind w:left="1280" w:right="6639" w:hanging="640"/>
        <w:spacing w:after="0" w:line="470" w:lineRule="auto"/>
        <w:tabs>
          <w:tab w:leader="none" w:pos="128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spacing w:after="0" w:line="11" w:lineRule="exact"/>
        <w:rPr>
          <w:rFonts w:ascii="Courier New" w:cs="Courier New" w:eastAsia="Courier New" w:hAnsi="Courier New"/>
          <w:sz w:val="18"/>
          <w:szCs w:val="18"/>
          <w:color w:val="auto"/>
        </w:rPr>
      </w:pPr>
    </w:p>
    <w:p>
      <w:pPr>
        <w:ind w:left="1280" w:right="6419" w:hanging="640"/>
        <w:spacing w:after="0" w:line="470" w:lineRule="auto"/>
        <w:tabs>
          <w:tab w:leader="none" w:pos="128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spacing w:after="0" w:line="11" w:lineRule="exact"/>
        <w:rPr>
          <w:rFonts w:ascii="Courier New" w:cs="Courier New" w:eastAsia="Courier New" w:hAnsi="Courier New"/>
          <w:sz w:val="18"/>
          <w:szCs w:val="18"/>
          <w:color w:val="auto"/>
        </w:rPr>
      </w:pPr>
    </w:p>
    <w:p>
      <w:pPr>
        <w:ind w:left="960" w:right="3259" w:hanging="952"/>
        <w:spacing w:after="0" w:line="470" w:lineRule="auto"/>
        <w:tabs>
          <w:tab w:leader="none" w:pos="644"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525,000</w:t>
      </w:r>
    </w:p>
    <w:p>
      <w:pPr>
        <w:spacing w:after="0" w:line="11" w:lineRule="exact"/>
        <w:rPr>
          <w:rFonts w:ascii="Courier New" w:cs="Courier New" w:eastAsia="Courier New" w:hAnsi="Courier New"/>
          <w:sz w:val="18"/>
          <w:szCs w:val="18"/>
          <w:color w:val="auto"/>
        </w:rPr>
      </w:pPr>
    </w:p>
    <w:p>
      <w:pPr>
        <w:ind w:left="640" w:right="4419" w:hanging="632"/>
        <w:spacing w:after="0" w:line="235" w:lineRule="auto"/>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 ]</w:t>
      </w:r>
    </w:p>
    <w:p>
      <w:pPr>
        <w:spacing w:after="0" w:line="200" w:lineRule="exact"/>
        <w:rPr>
          <w:rFonts w:ascii="Courier New" w:cs="Courier New" w:eastAsia="Courier New" w:hAnsi="Courier New"/>
          <w:sz w:val="18"/>
          <w:szCs w:val="18"/>
          <w:color w:val="auto"/>
        </w:rPr>
      </w:pPr>
    </w:p>
    <w:p>
      <w:pPr>
        <w:spacing w:after="0" w:line="205"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1.5%</w:t>
      </w:r>
    </w:p>
    <w:p>
      <w:pPr>
        <w:sectPr>
          <w:pgSz w:w="11900" w:h="16855" w:orient="portrait"/>
          <w:cols w:equalWidth="0" w:num="1">
            <w:col w:w="10219"/>
          </w:cols>
          <w:pgMar w:left="240" w:top="244" w:right="1440" w:bottom="0" w:gutter="0" w:footer="0" w:header="0"/>
        </w:sectPr>
      </w:pPr>
    </w:p>
    <w:bookmarkStart w:id="1" w:name="page2"/>
    <w:bookmarkEnd w:id="1"/>
    <w:p>
      <w:pPr>
        <w:ind w:left="640" w:right="7059" w:hanging="632"/>
        <w:spacing w:after="0" w:line="470" w:lineRule="auto"/>
        <w:tabs>
          <w:tab w:leader="none" w:pos="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 (See Item 4)</w:t>
      </w:r>
    </w:p>
    <w:p>
      <w:pPr>
        <w:spacing w:after="0" w:line="209" w:lineRule="exact"/>
        <w:rPr>
          <w:sz w:val="20"/>
          <w:szCs w:val="20"/>
          <w:color w:val="auto"/>
        </w:rPr>
      </w:pPr>
    </w:p>
    <w:p>
      <w:pPr>
        <w:ind w:left="640" w:hanging="632"/>
        <w:spacing w:after="0"/>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Charles B. Johnson</w:t>
      </w:r>
    </w:p>
    <w:p>
      <w:pPr>
        <w:spacing w:after="0" w:line="200" w:lineRule="exact"/>
        <w:rPr>
          <w:sz w:val="20"/>
          <w:szCs w:val="20"/>
          <w:color w:val="auto"/>
        </w:rPr>
      </w:pPr>
    </w:p>
    <w:p>
      <w:pPr>
        <w:spacing w:after="0" w:line="204" w:lineRule="exact"/>
        <w:rPr>
          <w:sz w:val="20"/>
          <w:szCs w:val="20"/>
          <w:color w:val="auto"/>
        </w:rPr>
      </w:pPr>
    </w:p>
    <w:p>
      <w:pPr>
        <w:ind w:left="640" w:hanging="632"/>
        <w:spacing w:after="0"/>
        <w:tabs>
          <w:tab w:leader="none" w:pos="6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(a)</w:t>
      </w:r>
    </w:p>
    <w:p>
      <w:pPr>
        <w:ind w:left="1900" w:hanging="628"/>
        <w:spacing w:after="0" w:line="238" w:lineRule="auto"/>
        <w:tabs>
          <w:tab w:leader="none" w:pos="190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640" w:right="5779" w:hanging="632"/>
        <w:spacing w:after="0" w:line="470" w:lineRule="auto"/>
        <w:tabs>
          <w:tab w:leader="none" w:pos="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USA</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00" w:lineRule="exact"/>
        <w:rPr>
          <w:sz w:val="20"/>
          <w:szCs w:val="20"/>
          <w:color w:val="auto"/>
        </w:rPr>
      </w:pPr>
    </w:p>
    <w:p>
      <w:pPr>
        <w:spacing w:after="0" w:line="226" w:lineRule="exact"/>
        <w:rPr>
          <w:sz w:val="20"/>
          <w:szCs w:val="20"/>
          <w:color w:val="auto"/>
        </w:rPr>
      </w:pPr>
    </w:p>
    <w:p>
      <w:pPr>
        <w:ind w:left="1280" w:right="7159" w:hanging="640"/>
        <w:spacing w:after="0" w:line="536" w:lineRule="auto"/>
        <w:tabs>
          <w:tab w:leader="none" w:pos="1280" w:val="left"/>
        </w:tabs>
        <w:numPr>
          <w:ilvl w:val="1"/>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(See Item 4)</w:t>
      </w:r>
    </w:p>
    <w:p>
      <w:pPr>
        <w:ind w:left="1280" w:right="6939" w:hanging="640"/>
        <w:spacing w:after="0" w:line="470" w:lineRule="auto"/>
        <w:tabs>
          <w:tab w:leader="none" w:pos="128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(See Item 4)</w:t>
      </w:r>
    </w:p>
    <w:p>
      <w:pPr>
        <w:spacing w:after="0" w:line="11" w:lineRule="exact"/>
        <w:rPr>
          <w:rFonts w:ascii="Courier New" w:cs="Courier New" w:eastAsia="Courier New" w:hAnsi="Courier New"/>
          <w:sz w:val="18"/>
          <w:szCs w:val="18"/>
          <w:color w:val="auto"/>
        </w:rPr>
      </w:pPr>
    </w:p>
    <w:p>
      <w:pPr>
        <w:ind w:left="1280" w:right="6639" w:hanging="640"/>
        <w:spacing w:after="0" w:line="470" w:lineRule="auto"/>
        <w:tabs>
          <w:tab w:leader="none" w:pos="128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spacing w:after="0" w:line="11" w:lineRule="exact"/>
        <w:rPr>
          <w:rFonts w:ascii="Courier New" w:cs="Courier New" w:eastAsia="Courier New" w:hAnsi="Courier New"/>
          <w:sz w:val="18"/>
          <w:szCs w:val="18"/>
          <w:color w:val="auto"/>
        </w:rPr>
      </w:pPr>
    </w:p>
    <w:p>
      <w:pPr>
        <w:ind w:left="1280" w:right="6419" w:hanging="640"/>
        <w:spacing w:after="0" w:line="470" w:lineRule="auto"/>
        <w:tabs>
          <w:tab w:leader="none" w:pos="128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spacing w:after="0" w:line="11" w:lineRule="exact"/>
        <w:rPr>
          <w:rFonts w:ascii="Courier New" w:cs="Courier New" w:eastAsia="Courier New" w:hAnsi="Courier New"/>
          <w:sz w:val="18"/>
          <w:szCs w:val="18"/>
          <w:color w:val="auto"/>
        </w:rPr>
      </w:pPr>
    </w:p>
    <w:p>
      <w:pPr>
        <w:ind w:left="960" w:right="3259" w:hanging="952"/>
        <w:spacing w:after="0" w:line="470" w:lineRule="auto"/>
        <w:tabs>
          <w:tab w:leader="none" w:pos="644"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525,000</w:t>
      </w:r>
    </w:p>
    <w:p>
      <w:pPr>
        <w:spacing w:after="0" w:line="11" w:lineRule="exact"/>
        <w:rPr>
          <w:rFonts w:ascii="Courier New" w:cs="Courier New" w:eastAsia="Courier New" w:hAnsi="Courier New"/>
          <w:sz w:val="18"/>
          <w:szCs w:val="18"/>
          <w:color w:val="auto"/>
        </w:rPr>
      </w:pPr>
    </w:p>
    <w:p>
      <w:pPr>
        <w:ind w:left="640" w:right="4419" w:hanging="632"/>
        <w:spacing w:after="0" w:line="235" w:lineRule="auto"/>
        <w:tabs>
          <w:tab w:leader="none" w:pos="6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 ]</w:t>
      </w:r>
    </w:p>
    <w:p>
      <w:pPr>
        <w:spacing w:after="0" w:line="200" w:lineRule="exact"/>
        <w:rPr>
          <w:rFonts w:ascii="Courier New" w:cs="Courier New" w:eastAsia="Courier New" w:hAnsi="Courier New"/>
          <w:sz w:val="18"/>
          <w:szCs w:val="18"/>
          <w:color w:val="auto"/>
        </w:rPr>
      </w:pPr>
    </w:p>
    <w:p>
      <w:pPr>
        <w:spacing w:after="0" w:line="205"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1.5%</w:t>
      </w:r>
    </w:p>
    <w:p>
      <w:pPr>
        <w:spacing w:after="0" w:line="207" w:lineRule="exact"/>
        <w:rPr>
          <w:sz w:val="20"/>
          <w:szCs w:val="20"/>
          <w:color w:val="auto"/>
        </w:rPr>
      </w:pPr>
    </w:p>
    <w:p>
      <w:pPr>
        <w:ind w:left="640" w:right="7059" w:hanging="632"/>
        <w:spacing w:after="0" w:line="470" w:lineRule="auto"/>
        <w:tabs>
          <w:tab w:leader="none" w:pos="6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 (See Item 4)</w:t>
      </w:r>
    </w:p>
    <w:p>
      <w:pPr>
        <w:spacing w:after="0" w:line="200" w:lineRule="exact"/>
        <w:rPr>
          <w:sz w:val="20"/>
          <w:szCs w:val="20"/>
          <w:color w:val="auto"/>
        </w:rPr>
      </w:pPr>
    </w:p>
    <w:p>
      <w:pPr>
        <w:spacing w:after="0" w:line="211" w:lineRule="exact"/>
        <w:rPr>
          <w:sz w:val="20"/>
          <w:szCs w:val="20"/>
          <w:color w:val="auto"/>
        </w:rPr>
      </w:pPr>
    </w:p>
    <w:p>
      <w:pPr>
        <w:ind w:left="640" w:hanging="632"/>
        <w:spacing w:after="0"/>
        <w:tabs>
          <w:tab w:leader="none" w:pos="6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Rupert H. Johnson, Jr.</w:t>
      </w:r>
    </w:p>
    <w:p>
      <w:pPr>
        <w:spacing w:after="0" w:line="200" w:lineRule="exact"/>
        <w:rPr>
          <w:sz w:val="20"/>
          <w:szCs w:val="20"/>
          <w:color w:val="auto"/>
        </w:rPr>
      </w:pPr>
    </w:p>
    <w:p>
      <w:pPr>
        <w:spacing w:after="0" w:line="204" w:lineRule="exact"/>
        <w:rPr>
          <w:sz w:val="20"/>
          <w:szCs w:val="20"/>
          <w:color w:val="auto"/>
        </w:rPr>
      </w:pPr>
    </w:p>
    <w:p>
      <w:pPr>
        <w:ind w:left="640" w:hanging="632"/>
        <w:spacing w:after="0"/>
        <w:tabs>
          <w:tab w:leader="none" w:pos="6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(a)</w:t>
      </w:r>
    </w:p>
    <w:p>
      <w:pPr>
        <w:ind w:left="1900" w:hanging="628"/>
        <w:spacing w:after="0" w:line="238" w:lineRule="auto"/>
        <w:tabs>
          <w:tab w:leader="none" w:pos="190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640" w:right="5779" w:hanging="632"/>
        <w:spacing w:after="0" w:line="470" w:lineRule="auto"/>
        <w:tabs>
          <w:tab w:leader="none" w:pos="6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USA</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18" w:lineRule="exact"/>
        <w:rPr>
          <w:sz w:val="20"/>
          <w:szCs w:val="20"/>
          <w:color w:val="auto"/>
        </w:rPr>
      </w:pPr>
    </w:p>
    <w:p>
      <w:pPr>
        <w:ind w:left="640"/>
        <w:spacing w:after="0"/>
        <w:tabs>
          <w:tab w:leader="none" w:pos="1260" w:val="left"/>
        </w:tabs>
        <w:rPr>
          <w:sz w:val="20"/>
          <w:szCs w:val="20"/>
          <w:color w:val="auto"/>
        </w:rPr>
      </w:pPr>
      <w:r>
        <w:rPr>
          <w:rFonts w:ascii="Courier New" w:cs="Courier New" w:eastAsia="Courier New" w:hAnsi="Courier New"/>
          <w:sz w:val="18"/>
          <w:szCs w:val="18"/>
          <w:color w:val="auto"/>
        </w:rPr>
        <w:t>5.</w:t>
      </w:r>
      <w:r>
        <w:rPr>
          <w:sz w:val="20"/>
          <w:szCs w:val="20"/>
          <w:color w:val="auto"/>
        </w:rPr>
        <w:tab/>
      </w:r>
      <w:r>
        <w:rPr>
          <w:rFonts w:ascii="Courier New" w:cs="Courier New" w:eastAsia="Courier New" w:hAnsi="Courier New"/>
          <w:sz w:val="18"/>
          <w:szCs w:val="18"/>
          <w:color w:val="auto"/>
        </w:rPr>
        <w:t>SOLE VOTING POWER</w:t>
      </w:r>
    </w:p>
    <w:p>
      <w:pPr>
        <w:sectPr>
          <w:pgSz w:w="11900" w:h="16838" w:orient="portrait"/>
          <w:cols w:equalWidth="0" w:num="1">
            <w:col w:w="10219"/>
          </w:cols>
          <w:pgMar w:left="240" w:top="344" w:right="1440" w:bottom="0" w:gutter="0" w:footer="0" w:header="0"/>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(See Item 4)</w:t>
      </w:r>
    </w:p>
    <w:p>
      <w:pPr>
        <w:spacing w:after="0" w:line="207" w:lineRule="exact"/>
        <w:rPr>
          <w:sz w:val="20"/>
          <w:szCs w:val="20"/>
          <w:color w:val="auto"/>
        </w:rPr>
      </w:pPr>
    </w:p>
    <w:p>
      <w:pPr>
        <w:ind w:left="1280" w:right="6939" w:hanging="640"/>
        <w:spacing w:after="0" w:line="470" w:lineRule="auto"/>
        <w:tabs>
          <w:tab w:leader="none" w:pos="128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(See Item 4)</w:t>
      </w:r>
    </w:p>
    <w:p>
      <w:pPr>
        <w:spacing w:after="0" w:line="11" w:lineRule="exact"/>
        <w:rPr>
          <w:rFonts w:ascii="Courier New" w:cs="Courier New" w:eastAsia="Courier New" w:hAnsi="Courier New"/>
          <w:sz w:val="18"/>
          <w:szCs w:val="18"/>
          <w:color w:val="auto"/>
        </w:rPr>
      </w:pPr>
    </w:p>
    <w:p>
      <w:pPr>
        <w:ind w:left="1280" w:right="6639" w:hanging="640"/>
        <w:spacing w:after="0" w:line="470" w:lineRule="auto"/>
        <w:tabs>
          <w:tab w:leader="none" w:pos="128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spacing w:after="0" w:line="11" w:lineRule="exact"/>
        <w:rPr>
          <w:rFonts w:ascii="Courier New" w:cs="Courier New" w:eastAsia="Courier New" w:hAnsi="Courier New"/>
          <w:sz w:val="18"/>
          <w:szCs w:val="18"/>
          <w:color w:val="auto"/>
        </w:rPr>
      </w:pPr>
    </w:p>
    <w:p>
      <w:pPr>
        <w:ind w:left="1280" w:right="6419" w:hanging="640"/>
        <w:spacing w:after="0" w:line="470" w:lineRule="auto"/>
        <w:tabs>
          <w:tab w:leader="none" w:pos="128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spacing w:after="0" w:line="11" w:lineRule="exact"/>
        <w:rPr>
          <w:rFonts w:ascii="Courier New" w:cs="Courier New" w:eastAsia="Courier New" w:hAnsi="Courier New"/>
          <w:sz w:val="18"/>
          <w:szCs w:val="18"/>
          <w:color w:val="auto"/>
        </w:rPr>
      </w:pPr>
    </w:p>
    <w:p>
      <w:pPr>
        <w:ind w:left="960" w:right="3259" w:hanging="952"/>
        <w:spacing w:after="0" w:line="470" w:lineRule="auto"/>
        <w:tabs>
          <w:tab w:leader="none" w:pos="644"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525,000</w:t>
      </w:r>
    </w:p>
    <w:p>
      <w:pPr>
        <w:spacing w:after="0" w:line="11" w:lineRule="exact"/>
        <w:rPr>
          <w:rFonts w:ascii="Courier New" w:cs="Courier New" w:eastAsia="Courier New" w:hAnsi="Courier New"/>
          <w:sz w:val="18"/>
          <w:szCs w:val="18"/>
          <w:color w:val="auto"/>
        </w:rPr>
      </w:pPr>
    </w:p>
    <w:p>
      <w:pPr>
        <w:ind w:left="640" w:right="4419" w:hanging="632"/>
        <w:spacing w:after="0" w:line="235" w:lineRule="auto"/>
        <w:tabs>
          <w:tab w:leader="none" w:pos="6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 ]</w:t>
      </w:r>
    </w:p>
    <w:p>
      <w:pPr>
        <w:spacing w:after="0" w:line="200" w:lineRule="exact"/>
        <w:rPr>
          <w:rFonts w:ascii="Courier New" w:cs="Courier New" w:eastAsia="Courier New" w:hAnsi="Courier New"/>
          <w:sz w:val="18"/>
          <w:szCs w:val="18"/>
          <w:color w:val="auto"/>
        </w:rPr>
      </w:pPr>
    </w:p>
    <w:p>
      <w:pPr>
        <w:spacing w:after="0" w:line="205"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1.5%</w:t>
      </w:r>
    </w:p>
    <w:p>
      <w:pPr>
        <w:spacing w:after="0" w:line="207" w:lineRule="exact"/>
        <w:rPr>
          <w:sz w:val="20"/>
          <w:szCs w:val="20"/>
          <w:color w:val="auto"/>
        </w:rPr>
      </w:pPr>
    </w:p>
    <w:p>
      <w:pPr>
        <w:ind w:left="640" w:right="7059" w:hanging="632"/>
        <w:spacing w:after="0" w:line="470" w:lineRule="auto"/>
        <w:tabs>
          <w:tab w:leader="none" w:pos="6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 (See Item 4)</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4" w:lineRule="exact"/>
        <w:rPr>
          <w:sz w:val="20"/>
          <w:szCs w:val="20"/>
          <w:color w:val="auto"/>
        </w:rPr>
      </w:pPr>
    </w:p>
    <w:p>
      <w:pPr>
        <w:ind w:left="540" w:right="8099" w:hanging="532"/>
        <w:spacing w:after="0" w:line="536" w:lineRule="auto"/>
        <w:tabs>
          <w:tab w:leader="none" w:pos="54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Issuer: Designs, Inc.</w:t>
      </w:r>
    </w:p>
    <w:p>
      <w:pPr>
        <w:ind w:left="540" w:hanging="532"/>
        <w:spacing w:after="0"/>
        <w:tabs>
          <w:tab w:leader="none" w:pos="5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06" w:lineRule="exact"/>
        <w:rPr>
          <w:rFonts w:ascii="Courier New" w:cs="Courier New" w:eastAsia="Courier New" w:hAnsi="Courier New"/>
          <w:sz w:val="18"/>
          <w:szCs w:val="18"/>
          <w:color w:val="auto"/>
        </w:rPr>
      </w:pPr>
    </w:p>
    <w:p>
      <w:pPr>
        <w:ind w:left="540" w:right="767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555 Turnpike Street Canton, MA 02021</w:t>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ind w:left="540" w:hanging="532"/>
        <w:spacing w:after="0" w:line="238" w:lineRule="auto"/>
        <w:tabs>
          <w:tab w:leader="none" w:pos="5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   Franklin Resources, Inc.</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(ii):  Charles B. Johnson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(iii): Rupert H. Johnson, Jr.</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540" w:right="5779" w:hanging="532"/>
        <w:spacing w:after="0" w:line="470" w:lineRule="auto"/>
        <w:tabs>
          <w:tab w:leader="none" w:pos="5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(i), (ii), and (iii):</w:t>
      </w:r>
    </w:p>
    <w:p>
      <w:pPr>
        <w:spacing w:after="0" w:line="6"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One Franklin Parkway</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San Mateo, CA  94403-1906</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540" w:right="5779" w:hanging="532"/>
        <w:spacing w:after="0" w:line="357" w:lineRule="auto"/>
        <w:tabs>
          <w:tab w:leader="none" w:pos="5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Place of Organization or Citizenship: (i): Delaware</w:t>
      </w:r>
    </w:p>
    <w:p>
      <w:pPr>
        <w:ind w:left="1060" w:hanging="525"/>
        <w:spacing w:after="0" w:line="238" w:lineRule="auto"/>
        <w:tabs>
          <w:tab w:leader="none" w:pos="1060"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(iii): USA</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540" w:right="6639" w:hanging="532"/>
        <w:spacing w:after="0" w:line="536" w:lineRule="auto"/>
        <w:tabs>
          <w:tab w:leader="none" w:pos="54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Title of Class of Securities: Common Stock, par value $.01</w:t>
      </w:r>
    </w:p>
    <w:p>
      <w:pPr>
        <w:ind w:left="540" w:right="8319" w:hanging="532"/>
        <w:spacing w:after="0" w:line="558" w:lineRule="auto"/>
        <w:tabs>
          <w:tab w:leader="none" w:pos="54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CUSIP Number: 148711104</w:t>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The persons filing this Schedule 13G are:</w:t>
      </w:r>
    </w:p>
    <w:p>
      <w:pPr>
        <w:spacing w:after="0" w:line="201" w:lineRule="exact"/>
        <w:rPr>
          <w:sz w:val="20"/>
          <w:szCs w:val="20"/>
          <w:color w:val="auto"/>
        </w:rPr>
      </w:pPr>
    </w:p>
    <w:p>
      <w:pPr>
        <w:ind w:left="1480" w:hanging="524"/>
        <w:spacing w:after="0"/>
        <w:tabs>
          <w:tab w:leader="none" w:pos="148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Franklin Resources, Inc.</w:t>
      </w:r>
    </w:p>
    <w:p>
      <w:pPr>
        <w:ind w:left="2000" w:hanging="517"/>
        <w:spacing w:after="0" w:line="238" w:lineRule="auto"/>
        <w:tabs>
          <w:tab w:leader="none" w:pos="2000"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Parent Holding Company</w:t>
      </w:r>
    </w:p>
    <w:p>
      <w:pPr>
        <w:ind w:left="1480" w:hanging="524"/>
        <w:spacing w:after="0" w:line="238" w:lineRule="auto"/>
        <w:tabs>
          <w:tab w:leader="none" w:pos="148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Charles B. Johnson</w:t>
      </w:r>
    </w:p>
    <w:p>
      <w:pPr>
        <w:jc w:val="both"/>
        <w:ind w:left="1480"/>
        <w:spacing w:after="0"/>
        <w:tabs>
          <w:tab w:leader="none" w:pos="1980" w:val="left"/>
        </w:tabs>
        <w:rPr>
          <w:sz w:val="20"/>
          <w:szCs w:val="20"/>
          <w:color w:val="auto"/>
        </w:rPr>
      </w:pPr>
      <w:r>
        <w:rPr>
          <w:rFonts w:ascii="Courier New" w:cs="Courier New" w:eastAsia="Courier New" w:hAnsi="Courier New"/>
          <w:sz w:val="18"/>
          <w:szCs w:val="18"/>
          <w:color w:val="auto"/>
        </w:rPr>
        <w:t>(g)</w:t>
        <w:tab/>
        <w:t>Principal Shareholder of Parent Holding Company</w:t>
      </w:r>
    </w:p>
    <w:p>
      <w:pPr>
        <w:sectPr>
          <w:pgSz w:w="11900" w:h="16838" w:orient="portrait"/>
          <w:cols w:equalWidth="0" w:num="1">
            <w:col w:w="10219"/>
          </w:cols>
          <w:pgMar w:left="240" w:top="136" w:right="1440" w:bottom="0" w:gutter="0" w:footer="0" w:header="0"/>
        </w:sectPr>
      </w:pPr>
    </w:p>
    <w:bookmarkStart w:id="3" w:name="page4"/>
    <w:bookmarkEnd w:id="3"/>
    <w:p>
      <w:pPr>
        <w:ind w:left="960"/>
        <w:spacing w:after="0"/>
        <w:rPr>
          <w:sz w:val="20"/>
          <w:szCs w:val="20"/>
          <w:color w:val="auto"/>
        </w:rPr>
      </w:pPr>
      <w:r>
        <w:rPr>
          <w:rFonts w:ascii="Courier New" w:cs="Courier New" w:eastAsia="Courier New" w:hAnsi="Courier New"/>
          <w:sz w:val="18"/>
          <w:szCs w:val="18"/>
          <w:color w:val="auto"/>
        </w:rPr>
        <w:t>(iii)Rupert H. Johnson, Jr.</w:t>
      </w:r>
    </w:p>
    <w:p>
      <w:pPr>
        <w:ind w:left="2000" w:hanging="517"/>
        <w:spacing w:after="0" w:line="238" w:lineRule="auto"/>
        <w:tabs>
          <w:tab w:leader="none" w:pos="200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Principal Shareholder of Parent Holding Company</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The securities reported on herein are beneficially owned by one or more open or closed-end investment companies or other managed accounts which are advised by direct and indirect investment advisory subsidiaries (the "Adviser Subsidiaries") of Franklin Resources, Inc. ("FRI"). Such advisory contracts grant to such Adviser Subsidiaries all investment and/or voting power over the securities owned by such advisory clients. Therefore, such Adviser Subsidiaries may be deemed to be, for purposes of Rule 13d-3 under the Securities Exchange Act of 1934, the beneficial owner of the securities covered by this statement.</w:t>
      </w:r>
    </w:p>
    <w:p>
      <w:pPr>
        <w:spacing w:after="0" w:line="186"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Beneficial ownership by investment advisory subsidiaries and other affiliates of FRI is being reported in conformity with the guidelines articulated by the SEC staff in Release No. 34-39538 (January 12, 1998) relating to organizations, such as FRI, where related entities exercise voting and investment powers over the securities being reported independently from each other. The voting and investment powers held by Franklin Mutual Advisers, LLC (FMA), formerly Franklin Mutual Advisers, Inc., an indirect wholly owned investment advisory subsidiary of FRI, are exercised independently from FRI and from all other investment advisor subsidiaries of FRI (FRI, its affiliates and investment advisor subsidiaries other than FMA are collectively referred to herein as FRI affiliates). Furthermore, FMA and FRI internal policies and procedures establish informational barriers that prevent the flow between FMA and the FRI affiliates of information that relates to the voting and investment powers over the securities owned by their respective advisory clients. Consequently, FMA and the FRI affiliates are each reporting the securities over which they hold investment and voting power separately from each other.</w:t>
      </w:r>
    </w:p>
    <w:p>
      <w:pPr>
        <w:spacing w:after="0" w:line="39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Charles B. Johnson and Rupert H. Johnson, Jr. (the "Principal Shareholders") each own in excess of 10% of the outstanding Common Stock of FRI and are the principal shareholders of FRI. FRI and the Principal Shareholders may be deemed to be, for purposes of Rule 13d-3 under the 1934 Act, the beneficial owner of securities held by persons and entities advised by FRI subsidiaries. FRI, the Principal Shareholders and each of the Adviser Subsidiaries disclaim any economic interest or beneficial ownership in any of the securities covered by this statement.</w:t>
      </w:r>
    </w:p>
    <w:p>
      <w:pPr>
        <w:spacing w:after="0" w:line="21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FRI, the Principal Shareholders, and each of the Adviser Subsidiaries are of the view that they are not acting as a "group" for purposes of Section 13(d) under the 1934 Act and that they are not otherwise required to attribute to each other the "beneficial ownership" of securities held by any of them or by any persons or entities advised by FRI subsidiaries.</w:t>
      </w:r>
    </w:p>
    <w:p>
      <w:pPr>
        <w:spacing w:after="0" w:line="209" w:lineRule="exact"/>
        <w:rPr>
          <w:sz w:val="20"/>
          <w:szCs w:val="20"/>
          <w:color w:val="auto"/>
        </w:rPr>
      </w:pPr>
    </w:p>
    <w:p>
      <w:pPr>
        <w:ind w:left="1060" w:right="6739" w:hanging="736"/>
        <w:spacing w:after="0" w:line="470" w:lineRule="auto"/>
        <w:tabs>
          <w:tab w:leader="none" w:pos="744"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525,000</w:t>
      </w:r>
    </w:p>
    <w:p>
      <w:pPr>
        <w:spacing w:after="0" w:line="200" w:lineRule="exact"/>
        <w:rPr>
          <w:rFonts w:ascii="Courier New" w:cs="Courier New" w:eastAsia="Courier New" w:hAnsi="Courier New"/>
          <w:sz w:val="18"/>
          <w:szCs w:val="18"/>
          <w:color w:val="auto"/>
        </w:rPr>
      </w:pPr>
    </w:p>
    <w:p>
      <w:pPr>
        <w:spacing w:after="0" w:line="211" w:lineRule="exact"/>
        <w:rPr>
          <w:rFonts w:ascii="Courier New" w:cs="Courier New" w:eastAsia="Courier New" w:hAnsi="Courier New"/>
          <w:sz w:val="18"/>
          <w:szCs w:val="18"/>
          <w:color w:val="auto"/>
        </w:rPr>
      </w:pPr>
    </w:p>
    <w:p>
      <w:pPr>
        <w:ind w:left="740" w:hanging="416"/>
        <w:spacing w:after="0"/>
        <w:tabs>
          <w:tab w:leader="none" w:pos="7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1.5%</w:t>
      </w:r>
    </w:p>
    <w:p>
      <w:pPr>
        <w:spacing w:after="0" w:line="201" w:lineRule="exact"/>
        <w:rPr>
          <w:sz w:val="20"/>
          <w:szCs w:val="20"/>
          <w:color w:val="auto"/>
        </w:rPr>
      </w:pPr>
    </w:p>
    <w:p>
      <w:pPr>
        <w:ind w:left="740" w:hanging="416"/>
        <w:spacing w:after="0"/>
        <w:tabs>
          <w:tab w:leader="none" w:pos="7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960" w:hanging="425"/>
        <w:spacing w:after="0"/>
        <w:tabs>
          <w:tab w:leader="none" w:pos="960" w:val="left"/>
        </w:tabs>
        <w:numPr>
          <w:ilvl w:val="1"/>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tbl>
      <w:tblPr>
        <w:tblLayout w:type="fixed"/>
        <w:tblInd w:w="960" w:type="dxa"/>
        <w:tblCellMar>
          <w:top w:w="0" w:type="dxa"/>
          <w:left w:w="0" w:type="dxa"/>
          <w:bottom w:w="0" w:type="dxa"/>
          <w:right w:w="0" w:type="dxa"/>
        </w:tblCellMar>
      </w:tblPr>
      <w:tr>
        <w:trPr>
          <w:trHeight w:val="204"/>
        </w:trPr>
        <w:tc>
          <w:tcPr>
            <w:tcW w:w="2940" w:type="dxa"/>
            <w:vAlign w:val="bottom"/>
            <w:gridSpan w:val="2"/>
          </w:tcPr>
          <w:p>
            <w:pPr>
              <w:spacing w:after="0"/>
              <w:rPr>
                <w:sz w:val="20"/>
                <w:szCs w:val="20"/>
                <w:color w:val="auto"/>
              </w:rPr>
            </w:pPr>
            <w:r>
              <w:rPr>
                <w:rFonts w:ascii="Courier New" w:cs="Courier New" w:eastAsia="Courier New" w:hAnsi="Courier New"/>
                <w:sz w:val="18"/>
                <w:szCs w:val="18"/>
                <w:color w:val="auto"/>
              </w:rPr>
              <w:t>Franklin Resources, Inc.:</w:t>
            </w:r>
          </w:p>
        </w:tc>
        <w:tc>
          <w:tcPr>
            <w:tcW w:w="96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0</w:t>
            </w:r>
          </w:p>
        </w:tc>
        <w:tc>
          <w:tcPr>
            <w:tcW w:w="1260" w:type="dxa"/>
            <w:vAlign w:val="bottom"/>
          </w:tcPr>
          <w:p>
            <w:pPr>
              <w:spacing w:after="0"/>
              <w:rPr>
                <w:sz w:val="17"/>
                <w:szCs w:val="17"/>
                <w:color w:val="auto"/>
              </w:rPr>
            </w:pPr>
          </w:p>
        </w:tc>
      </w:tr>
      <w:tr>
        <w:trPr>
          <w:trHeight w:val="203"/>
        </w:trPr>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Charles B. Johnson:</w:t>
            </w:r>
          </w:p>
        </w:tc>
        <w:tc>
          <w:tcPr>
            <w:tcW w:w="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73"/>
              </w:rPr>
              <w:t>0</w:t>
            </w:r>
          </w:p>
        </w:tc>
        <w:tc>
          <w:tcPr>
            <w:tcW w:w="9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Rupert H. Johnson, Jr.:</w:t>
            </w:r>
          </w:p>
        </w:tc>
        <w:tc>
          <w:tcPr>
            <w:tcW w:w="520" w:type="dxa"/>
            <w:vAlign w:val="bottom"/>
          </w:tcPr>
          <w:p>
            <w:pPr>
              <w:spacing w:after="0"/>
              <w:rPr>
                <w:sz w:val="17"/>
                <w:szCs w:val="17"/>
                <w:color w:val="auto"/>
              </w:rPr>
            </w:pPr>
          </w:p>
        </w:tc>
        <w:tc>
          <w:tcPr>
            <w:tcW w:w="9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0</w:t>
            </w:r>
          </w:p>
        </w:tc>
        <w:tc>
          <w:tcPr>
            <w:tcW w:w="1260" w:type="dxa"/>
            <w:vAlign w:val="bottom"/>
          </w:tcPr>
          <w:p>
            <w:pPr>
              <w:spacing w:after="0"/>
              <w:rPr>
                <w:sz w:val="17"/>
                <w:szCs w:val="17"/>
                <w:color w:val="auto"/>
              </w:rPr>
            </w:pPr>
          </w:p>
        </w:tc>
      </w:tr>
      <w:tr>
        <w:trPr>
          <w:trHeight w:val="203"/>
        </w:trPr>
        <w:tc>
          <w:tcPr>
            <w:tcW w:w="39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Franklin Advisory Services, LLC:</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525,000</w:t>
            </w:r>
          </w:p>
        </w:tc>
      </w:tr>
    </w:tbl>
    <w:p>
      <w:pPr>
        <w:spacing w:after="0" w:line="201" w:lineRule="exact"/>
        <w:rPr>
          <w:sz w:val="20"/>
          <w:szCs w:val="20"/>
          <w:color w:val="auto"/>
        </w:rPr>
      </w:pPr>
    </w:p>
    <w:p>
      <w:pPr>
        <w:ind w:left="960" w:hanging="531"/>
        <w:spacing w:after="0"/>
        <w:tabs>
          <w:tab w:leader="none" w:pos="96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960" w:hanging="636"/>
        <w:spacing w:after="0"/>
        <w:tabs>
          <w:tab w:leader="none" w:pos="96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tbl>
      <w:tblPr>
        <w:tblLayout w:type="fixed"/>
        <w:tblInd w:w="960" w:type="dxa"/>
        <w:tblCellMar>
          <w:top w:w="0" w:type="dxa"/>
          <w:left w:w="0" w:type="dxa"/>
          <w:bottom w:w="0" w:type="dxa"/>
          <w:right w:w="0" w:type="dxa"/>
        </w:tblCellMar>
      </w:tblPr>
      <w:tr>
        <w:trPr>
          <w:trHeight w:val="204"/>
        </w:trPr>
        <w:tc>
          <w:tcPr>
            <w:tcW w:w="2940" w:type="dxa"/>
            <w:vAlign w:val="bottom"/>
            <w:gridSpan w:val="2"/>
          </w:tcPr>
          <w:p>
            <w:pPr>
              <w:spacing w:after="0"/>
              <w:rPr>
                <w:sz w:val="20"/>
                <w:szCs w:val="20"/>
                <w:color w:val="auto"/>
              </w:rPr>
            </w:pPr>
            <w:r>
              <w:rPr>
                <w:rFonts w:ascii="Courier New" w:cs="Courier New" w:eastAsia="Courier New" w:hAnsi="Courier New"/>
                <w:sz w:val="18"/>
                <w:szCs w:val="18"/>
                <w:color w:val="auto"/>
              </w:rPr>
              <w:t>Franklin Resources, Inc.:</w:t>
            </w:r>
          </w:p>
        </w:tc>
        <w:tc>
          <w:tcPr>
            <w:tcW w:w="96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0</w:t>
            </w:r>
          </w:p>
        </w:tc>
        <w:tc>
          <w:tcPr>
            <w:tcW w:w="1260" w:type="dxa"/>
            <w:vAlign w:val="bottom"/>
          </w:tcPr>
          <w:p>
            <w:pPr>
              <w:spacing w:after="0"/>
              <w:rPr>
                <w:sz w:val="17"/>
                <w:szCs w:val="17"/>
                <w:color w:val="auto"/>
              </w:rPr>
            </w:pPr>
          </w:p>
        </w:tc>
      </w:tr>
      <w:tr>
        <w:trPr>
          <w:trHeight w:val="203"/>
        </w:trPr>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Charles B. Johnson:</w:t>
            </w:r>
          </w:p>
        </w:tc>
        <w:tc>
          <w:tcPr>
            <w:tcW w:w="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73"/>
              </w:rPr>
              <w:t>0</w:t>
            </w:r>
          </w:p>
        </w:tc>
        <w:tc>
          <w:tcPr>
            <w:tcW w:w="9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Rupert H. Johnson, Jr.:</w:t>
            </w:r>
          </w:p>
        </w:tc>
        <w:tc>
          <w:tcPr>
            <w:tcW w:w="520" w:type="dxa"/>
            <w:vAlign w:val="bottom"/>
          </w:tcPr>
          <w:p>
            <w:pPr>
              <w:spacing w:after="0"/>
              <w:rPr>
                <w:sz w:val="17"/>
                <w:szCs w:val="17"/>
                <w:color w:val="auto"/>
              </w:rPr>
            </w:pPr>
          </w:p>
        </w:tc>
        <w:tc>
          <w:tcPr>
            <w:tcW w:w="9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0</w:t>
            </w:r>
          </w:p>
        </w:tc>
        <w:tc>
          <w:tcPr>
            <w:tcW w:w="1260" w:type="dxa"/>
            <w:vAlign w:val="bottom"/>
          </w:tcPr>
          <w:p>
            <w:pPr>
              <w:spacing w:after="0"/>
              <w:rPr>
                <w:sz w:val="17"/>
                <w:szCs w:val="17"/>
                <w:color w:val="auto"/>
              </w:rPr>
            </w:pPr>
          </w:p>
        </w:tc>
      </w:tr>
      <w:tr>
        <w:trPr>
          <w:trHeight w:val="203"/>
        </w:trPr>
        <w:tc>
          <w:tcPr>
            <w:tcW w:w="39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Franklin Advisory Services, LLC:</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525,000</w:t>
            </w:r>
          </w:p>
        </w:tc>
      </w:tr>
    </w:tbl>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(iv) Shared power to dispose or to direct the disposition of</w:t>
      </w:r>
    </w:p>
    <w:p>
      <w:pPr>
        <w:spacing w:after="0" w:line="200" w:lineRule="exact"/>
        <w:rPr>
          <w:sz w:val="20"/>
          <w:szCs w:val="20"/>
          <w:color w:val="auto"/>
        </w:rPr>
      </w:pPr>
    </w:p>
    <w:p>
      <w:pPr>
        <w:spacing w:after="0" w:line="209"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Item 5. Ownership of Five Percent or Less of a Class If this statement is being filed to report the fact that as of the date hereof the reporting person has</w:t>
      </w:r>
    </w:p>
    <w:p>
      <w:pPr>
        <w:sectPr>
          <w:pgSz w:w="11900" w:h="16838" w:orient="portrait"/>
          <w:cols w:equalWidth="0" w:num="1">
            <w:col w:w="10219"/>
          </w:cols>
          <w:pgMar w:left="240" w:top="136" w:right="1440" w:bottom="0" w:gutter="0" w:footer="0" w:header="0"/>
        </w:sectPr>
      </w:pPr>
    </w:p>
    <w:bookmarkStart w:id="4" w:name="page5"/>
    <w:bookmarkEnd w:id="4"/>
    <w:p>
      <w:pPr>
        <w:ind w:right="2319"/>
        <w:spacing w:after="0" w:line="235" w:lineRule="auto"/>
        <w:rPr>
          <w:sz w:val="20"/>
          <w:szCs w:val="20"/>
          <w:color w:val="auto"/>
        </w:rPr>
      </w:pPr>
      <w:r>
        <w:rPr>
          <w:rFonts w:ascii="Courier New" w:cs="Courier New" w:eastAsia="Courier New" w:hAnsi="Courier New"/>
          <w:sz w:val="18"/>
          <w:szCs w:val="18"/>
          <w:color w:val="auto"/>
        </w:rPr>
        <w:t>ceased to be the beneficial owner of more than five percent of the class of securities, check the following [ X ].</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clients of the Adviser Subsidiaries, including investment companies registered under the Investment Company Act of 1940 and other managed accounts, have the right to receive dividends from as well as the proceeds from the sale of such securities reported on in this statement.</w:t>
      </w:r>
    </w:p>
    <w:p>
      <w:pPr>
        <w:spacing w:after="0" w:line="200" w:lineRule="exact"/>
        <w:rPr>
          <w:sz w:val="20"/>
          <w:szCs w:val="20"/>
          <w:color w:val="auto"/>
        </w:rPr>
      </w:pPr>
    </w:p>
    <w:p>
      <w:pPr>
        <w:spacing w:after="0" w:line="210"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tbl>
      <w:tblPr>
        <w:tblLayout w:type="fixed"/>
        <w:tblInd w:w="960" w:type="dxa"/>
        <w:tblCellMar>
          <w:top w:w="0" w:type="dxa"/>
          <w:left w:w="0" w:type="dxa"/>
          <w:bottom w:w="0" w:type="dxa"/>
          <w:right w:w="0" w:type="dxa"/>
        </w:tblCellMar>
      </w:tblPr>
      <w:tr>
        <w:trPr>
          <w:trHeight w:val="204"/>
        </w:trPr>
        <w:tc>
          <w:tcPr>
            <w:tcW w:w="4100" w:type="dxa"/>
            <w:vAlign w:val="bottom"/>
          </w:tcPr>
          <w:p>
            <w:pPr>
              <w:spacing w:after="0"/>
              <w:rPr>
                <w:sz w:val="20"/>
                <w:szCs w:val="20"/>
                <w:color w:val="auto"/>
              </w:rPr>
            </w:pPr>
            <w:r>
              <w:rPr>
                <w:rFonts w:ascii="Courier New" w:cs="Courier New" w:eastAsia="Courier New" w:hAnsi="Courier New"/>
                <w:sz w:val="18"/>
                <w:szCs w:val="18"/>
                <w:color w:val="auto"/>
              </w:rPr>
              <w:t>Franklin Advisory Services, LLC</w:t>
            </w:r>
          </w:p>
        </w:tc>
        <w:tc>
          <w:tcPr>
            <w:tcW w:w="1260" w:type="dxa"/>
            <w:vAlign w:val="bottom"/>
          </w:tcPr>
          <w:p>
            <w:pPr>
              <w:ind w:left="840"/>
              <w:spacing w:after="0"/>
              <w:rPr>
                <w:sz w:val="20"/>
                <w:szCs w:val="20"/>
                <w:color w:val="auto"/>
              </w:rPr>
            </w:pPr>
            <w:r>
              <w:rPr>
                <w:rFonts w:ascii="Courier New" w:cs="Courier New" w:eastAsia="Courier New" w:hAnsi="Courier New"/>
                <w:sz w:val="18"/>
                <w:szCs w:val="18"/>
                <w:color w:val="auto"/>
                <w:w w:val="92"/>
              </w:rPr>
              <w:t>3(e)</w:t>
            </w:r>
          </w:p>
        </w:tc>
      </w:tr>
    </w:tbl>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By signing below, we certify that, to the best of our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10"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This report shall not be construed as an admission by the persons filing the report that they are the beneficial owner of any securities covered by this report.</w:t>
      </w:r>
    </w:p>
    <w:p>
      <w:pPr>
        <w:spacing w:after="0" w:line="209" w:lineRule="exact"/>
        <w:rPr>
          <w:sz w:val="20"/>
          <w:szCs w:val="20"/>
          <w:color w:val="auto"/>
        </w:rPr>
      </w:pPr>
    </w:p>
    <w:p>
      <w:pPr>
        <w:ind w:right="1779"/>
        <w:spacing w:after="0" w:line="290" w:lineRule="auto"/>
        <w:rPr>
          <w:sz w:val="20"/>
          <w:szCs w:val="20"/>
          <w:color w:val="auto"/>
        </w:rPr>
      </w:pPr>
      <w:r>
        <w:rPr>
          <w:rFonts w:ascii="Courier New" w:cs="Courier New" w:eastAsia="Courier New" w:hAnsi="Courier New"/>
          <w:sz w:val="16"/>
          <w:szCs w:val="16"/>
          <w:color w:val="auto"/>
        </w:rPr>
        <w:t>After reasonable inquiry and to the best of our knowledge and belief, we certify that the information set forth in this statement is true, complete and correct.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January 15, 2003</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Franklin Resources, Inc.</w:t>
      </w:r>
    </w:p>
    <w:p>
      <w:pPr>
        <w:spacing w:after="0" w:line="238" w:lineRule="auto"/>
        <w:rPr>
          <w:sz w:val="20"/>
          <w:szCs w:val="20"/>
          <w:color w:val="auto"/>
        </w:rPr>
      </w:pPr>
      <w:r>
        <w:rPr>
          <w:rFonts w:ascii="Courier New" w:cs="Courier New" w:eastAsia="Courier New" w:hAnsi="Courier New"/>
          <w:sz w:val="18"/>
          <w:szCs w:val="18"/>
          <w:color w:val="auto"/>
        </w:rPr>
        <w:t>Charles B. Johnson</w:t>
      </w:r>
    </w:p>
    <w:p>
      <w:pPr>
        <w:spacing w:after="0"/>
        <w:rPr>
          <w:sz w:val="20"/>
          <w:szCs w:val="20"/>
          <w:color w:val="auto"/>
        </w:rPr>
      </w:pPr>
      <w:r>
        <w:rPr>
          <w:rFonts w:ascii="Courier New" w:cs="Courier New" w:eastAsia="Courier New" w:hAnsi="Courier New"/>
          <w:sz w:val="18"/>
          <w:szCs w:val="18"/>
          <w:color w:val="auto"/>
        </w:rPr>
        <w:t>Rupert H. Johnson, Jr.</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S\LESLIE M. KRATTER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Leslie M. Kratter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Senior Vice President &amp; Secretary, Franklin Resources, Inc.</w:t>
      </w:r>
    </w:p>
    <w:p>
      <w:pPr>
        <w:spacing w:after="0" w:line="207"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Attorney in Fact for Charles B. Johnson pursuant to Power of Attorney attached to this Schedule 13G</w:t>
      </w:r>
    </w:p>
    <w:p>
      <w:pPr>
        <w:spacing w:after="0" w:line="208"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Attorney in Fact for Rupert H. Johnson, Jr. pursuant to Power of Attorney attached to this Schedule 13G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JOINT FILING AGREEMENT</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accordance with Rule 13d-1 (f)(1) under the Securities Exchange Act of 1934, as amended, the undersigned hereby agrees to the joint filing with each other of the attached statement on Schedule 13G and to all amendments to such statement and that such statement and all amendments to such statement is made on behalf of each of them.</w:t>
      </w:r>
    </w:p>
    <w:p>
      <w:pPr>
        <w:sectPr>
          <w:pgSz w:w="11900" w:h="16838" w:orient="portrait"/>
          <w:cols w:equalWidth="0" w:num="1">
            <w:col w:w="10219"/>
          </w:cols>
          <w:pgMar w:left="240" w:top="142" w:right="1440" w:bottom="0" w:gutter="0" w:footer="0" w:header="0"/>
        </w:sectPr>
      </w:pPr>
    </w:p>
    <w:bookmarkStart w:id="5" w:name="page6"/>
    <w:bookmarkEnd w:id="5"/>
    <w:p>
      <w:pPr>
        <w:ind w:right="1779"/>
        <w:spacing w:after="0" w:line="235" w:lineRule="auto"/>
        <w:rPr>
          <w:sz w:val="20"/>
          <w:szCs w:val="20"/>
          <w:color w:val="auto"/>
        </w:rPr>
      </w:pPr>
      <w:r>
        <w:rPr>
          <w:rFonts w:ascii="Courier New" w:cs="Courier New" w:eastAsia="Courier New" w:hAnsi="Courier New"/>
          <w:sz w:val="18"/>
          <w:szCs w:val="18"/>
          <w:color w:val="auto"/>
        </w:rPr>
        <w:t>IN WITNESS WHEREOF, the undersigned hereby execute this agreement on January 15, 2003.</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Franklin Resources, Inc.</w:t>
      </w:r>
    </w:p>
    <w:p>
      <w:pPr>
        <w:spacing w:after="0" w:line="238" w:lineRule="auto"/>
        <w:rPr>
          <w:sz w:val="20"/>
          <w:szCs w:val="20"/>
          <w:color w:val="auto"/>
        </w:rPr>
      </w:pPr>
      <w:r>
        <w:rPr>
          <w:rFonts w:ascii="Courier New" w:cs="Courier New" w:eastAsia="Courier New" w:hAnsi="Courier New"/>
          <w:sz w:val="18"/>
          <w:szCs w:val="18"/>
          <w:color w:val="auto"/>
        </w:rPr>
        <w:t>Charles B. Johnson</w:t>
      </w:r>
    </w:p>
    <w:p>
      <w:pPr>
        <w:spacing w:after="0"/>
        <w:rPr>
          <w:sz w:val="20"/>
          <w:szCs w:val="20"/>
          <w:color w:val="auto"/>
        </w:rPr>
      </w:pPr>
      <w:r>
        <w:rPr>
          <w:rFonts w:ascii="Courier New" w:cs="Courier New" w:eastAsia="Courier New" w:hAnsi="Courier New"/>
          <w:sz w:val="18"/>
          <w:szCs w:val="18"/>
          <w:color w:val="auto"/>
        </w:rPr>
        <w:t>Rupert H. Johnson, Jr.</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S\LESLIE M. KRATTER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Leslie M. Kratter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Senior Vice President &amp; Secretary, Franklin Resources, Inc.</w:t>
      </w:r>
    </w:p>
    <w:p>
      <w:pPr>
        <w:spacing w:after="0" w:line="207"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Attorney in Fact for Charles B. Johnson pursuant to Power of Attorney attached to this Schedule 13G</w:t>
      </w:r>
    </w:p>
    <w:p>
      <w:pPr>
        <w:spacing w:after="0" w:line="208"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Attorney in Fact for Rupert H. Johnson, Jr. pursuant to Power of Attorney attached to this Schedule 13G</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CHARLES B. JOHNSON hereby appoints LESLIE M. KRATTER his true and lawful attorney-in-fact and agent to execute and file with the Securities and Exchange Commission any Schedule 13G, any amendments thereto or any related documentation which may be required to be filed in his individual capacity as a result of his position as an officer, director or shareholder of Franklin Resources, Inc. and, granting unto said attorney-in-fact and agent, full power and authority to do and perform each and every act and thing which he might or could do in person, hereby ratifying and confirming all that said attorney-in-fact and agent, may lawfully do or cause to be done by virtue hereof.</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S\CHARLES B. JOHNSON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RUPERT H. JOHNSON, JR. hereby appoints LESLIE M. KRATTER his true and lawful attorney-in-fact and agent to execute and file with the Securities and Exchange Commission any Schedule 13G, any amendments thereto or any related documentation which may be required to be filed in his individual capacity as a result of his position as an officer, director or shareholder of Franklin Resources, Inc. and, granting unto said attorney-in-fact and agent, full power and authority to do and perform each and every act and thing which he might or could do in person, hereby ratifying and confirming all that said attorney-in-fact and agent, may lawfully do or cause to be done by virtue hereof.</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S\RUPERT H. JOHNSON, JR.</w:t>
      </w:r>
    </w:p>
    <w:sectPr>
      <w:pgSz w:w="11900" w:h="16838" w:orient="portrait"/>
      <w:cols w:equalWidth="0" w:num="1">
        <w:col w:w="10219"/>
      </w:cols>
      <w:pgMar w:left="24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BEFD79F"/>
    <w:multiLevelType w:val="hybridMultilevel"/>
    <w:lvl w:ilvl="0">
      <w:lvlJc w:val="left"/>
      <w:lvlText w:val="%1."/>
      <w:numFmt w:val="decimal"/>
      <w:start w:val="1"/>
    </w:lvl>
  </w:abstractNum>
  <w:abstractNum w:abstractNumId="1">
    <w:nsid w:val="41A7C4C9"/>
    <w:multiLevelType w:val="hybridMultilevel"/>
    <w:lvl w:ilvl="0">
      <w:lvlJc w:val="left"/>
      <w:lvlText w:val="%1."/>
      <w:numFmt w:val="decimal"/>
      <w:start w:val="2"/>
    </w:lvl>
  </w:abstractNum>
  <w:abstractNum w:abstractNumId="2">
    <w:nsid w:val="6B68079A"/>
    <w:multiLevelType w:val="hybridMultilevel"/>
    <w:lvl w:ilvl="0">
      <w:lvlJc w:val="left"/>
      <w:lvlText w:val="%1"/>
      <w:numFmt w:val="decimal"/>
      <w:start w:val="1"/>
    </w:lvl>
    <w:lvl w:ilvl="1">
      <w:lvlJc w:val="left"/>
      <w:lvlText w:val="(%2)"/>
      <w:numFmt w:val="lowerLetter"/>
      <w:start w:val="2"/>
    </w:lvl>
  </w:abstractNum>
  <w:abstractNum w:abstractNumId="3">
    <w:nsid w:val="4E6AFB66"/>
    <w:multiLevelType w:val="hybridMultilevel"/>
    <w:lvl w:ilvl="0">
      <w:lvlJc w:val="left"/>
      <w:lvlText w:val="%1."/>
      <w:numFmt w:val="decimal"/>
      <w:start w:val="3"/>
    </w:lvl>
    <w:lvl w:ilvl="1">
      <w:lvlJc w:val="left"/>
      <w:lvlText w:val="%2"/>
      <w:numFmt w:val="lowerLetter"/>
      <w:start w:val="1"/>
    </w:lvl>
  </w:abstractNum>
  <w:abstractNum w:abstractNumId="4">
    <w:nsid w:val="25E45D32"/>
    <w:multiLevelType w:val="hybridMultilevel"/>
    <w:lvl w:ilvl="0">
      <w:lvlJc w:val="left"/>
      <w:lvlText w:val="%1"/>
      <w:numFmt w:val="decimal"/>
      <w:start w:val="1"/>
    </w:lvl>
    <w:lvl w:ilvl="1">
      <w:lvlJc w:val="left"/>
      <w:lvlText w:val="%2."/>
      <w:numFmt w:val="decimal"/>
      <w:start w:val="5"/>
    </w:lvl>
  </w:abstractNum>
  <w:abstractNum w:abstractNumId="5">
    <w:nsid w:val="519B500D"/>
    <w:multiLevelType w:val="hybridMultilevel"/>
    <w:lvl w:ilvl="0">
      <w:lvlJc w:val="left"/>
      <w:lvlText w:val="%1."/>
      <w:numFmt w:val="decimal"/>
      <w:start w:val="9"/>
    </w:lvl>
    <w:lvl w:ilvl="1">
      <w:lvlJc w:val="left"/>
      <w:lvlText w:val="%2"/>
      <w:numFmt w:val="decimal"/>
      <w:start w:val="1"/>
    </w:lvl>
  </w:abstractNum>
  <w:abstractNum w:abstractNumId="6">
    <w:nsid w:val="431BD7B7"/>
    <w:multiLevelType w:val="hybridMultilevel"/>
    <w:lvl w:ilvl="0">
      <w:lvlJc w:val="left"/>
      <w:lvlText w:val="%1."/>
      <w:numFmt w:val="decimal"/>
      <w:start w:val="12"/>
    </w:lvl>
  </w:abstractNum>
  <w:abstractNum w:abstractNumId="7">
    <w:nsid w:val="3F2DBA31"/>
    <w:multiLevelType w:val="hybridMultilevel"/>
    <w:lvl w:ilvl="0">
      <w:lvlJc w:val="left"/>
      <w:lvlText w:val="%1."/>
      <w:numFmt w:val="decimal"/>
      <w:start w:val="1"/>
    </w:lvl>
  </w:abstractNum>
  <w:abstractNum w:abstractNumId="8">
    <w:nsid w:val="7C83E458"/>
    <w:multiLevelType w:val="hybridMultilevel"/>
    <w:lvl w:ilvl="0">
      <w:lvlJc w:val="left"/>
      <w:lvlText w:val="%1."/>
      <w:numFmt w:val="decimal"/>
      <w:start w:val="2"/>
    </w:lvl>
  </w:abstractNum>
  <w:abstractNum w:abstractNumId="9">
    <w:nsid w:val="257130A3"/>
    <w:multiLevelType w:val="hybridMultilevel"/>
    <w:lvl w:ilvl="0">
      <w:lvlJc w:val="left"/>
      <w:lvlText w:val="%1"/>
      <w:numFmt w:val="decimal"/>
      <w:start w:val="1"/>
    </w:lvl>
    <w:lvl w:ilvl="1">
      <w:lvlJc w:val="left"/>
      <w:lvlText w:val="(%2)"/>
      <w:numFmt w:val="lowerLetter"/>
      <w:start w:val="2"/>
    </w:lvl>
  </w:abstractNum>
  <w:abstractNum w:abstractNumId="10">
    <w:nsid w:val="62BBD95A"/>
    <w:multiLevelType w:val="hybridMultilevel"/>
    <w:lvl w:ilvl="0">
      <w:lvlJc w:val="left"/>
      <w:lvlText w:val="%1."/>
      <w:numFmt w:val="decimal"/>
      <w:start w:val="3"/>
    </w:lvl>
    <w:lvl w:ilvl="1">
      <w:lvlJc w:val="left"/>
      <w:lvlText w:val="%2"/>
      <w:numFmt w:val="lowerLetter"/>
      <w:start w:val="1"/>
    </w:lvl>
  </w:abstractNum>
  <w:abstractNum w:abstractNumId="11">
    <w:nsid w:val="436C6125"/>
    <w:multiLevelType w:val="hybridMultilevel"/>
    <w:lvl w:ilvl="0">
      <w:lvlJc w:val="left"/>
      <w:lvlText w:val="%1"/>
      <w:numFmt w:val="decimal"/>
      <w:start w:val="1"/>
    </w:lvl>
    <w:lvl w:ilvl="1">
      <w:lvlJc w:val="left"/>
      <w:lvlText w:val="%2."/>
      <w:numFmt w:val="decimal"/>
      <w:start w:val="5"/>
    </w:lvl>
  </w:abstractNum>
  <w:abstractNum w:abstractNumId="12">
    <w:nsid w:val="628C895D"/>
    <w:multiLevelType w:val="hybridMultilevel"/>
    <w:lvl w:ilvl="0">
      <w:lvlJc w:val="left"/>
      <w:lvlText w:val="%1."/>
      <w:numFmt w:val="decimal"/>
      <w:start w:val="9"/>
    </w:lvl>
    <w:lvl w:ilvl="1">
      <w:lvlJc w:val="left"/>
      <w:lvlText w:val="%2"/>
      <w:numFmt w:val="decimal"/>
      <w:start w:val="1"/>
    </w:lvl>
  </w:abstractNum>
  <w:abstractNum w:abstractNumId="13">
    <w:nsid w:val="333AB105"/>
    <w:multiLevelType w:val="hybridMultilevel"/>
    <w:lvl w:ilvl="0">
      <w:lvlJc w:val="left"/>
      <w:lvlText w:val="%1."/>
      <w:numFmt w:val="decimal"/>
      <w:start w:val="12"/>
    </w:lvl>
  </w:abstractNum>
  <w:abstractNum w:abstractNumId="14">
    <w:nsid w:val="721DA317"/>
    <w:multiLevelType w:val="hybridMultilevel"/>
    <w:lvl w:ilvl="0">
      <w:lvlJc w:val="left"/>
      <w:lvlText w:val="%1."/>
      <w:numFmt w:val="decimal"/>
      <w:start w:val="1"/>
    </w:lvl>
  </w:abstractNum>
  <w:abstractNum w:abstractNumId="15">
    <w:nsid w:val="2443A858"/>
    <w:multiLevelType w:val="hybridMultilevel"/>
    <w:lvl w:ilvl="0">
      <w:lvlJc w:val="left"/>
      <w:lvlText w:val="%1."/>
      <w:numFmt w:val="decimal"/>
      <w:start w:val="2"/>
    </w:lvl>
  </w:abstractNum>
  <w:abstractNum w:abstractNumId="16">
    <w:nsid w:val="2D1D5AE9"/>
    <w:multiLevelType w:val="hybridMultilevel"/>
    <w:lvl w:ilvl="0">
      <w:lvlJc w:val="left"/>
      <w:lvlText w:val="%1"/>
      <w:numFmt w:val="decimal"/>
      <w:start w:val="1"/>
    </w:lvl>
    <w:lvl w:ilvl="1">
      <w:lvlJc w:val="left"/>
      <w:lvlText w:val="(%2)"/>
      <w:numFmt w:val="lowerLetter"/>
      <w:start w:val="2"/>
    </w:lvl>
  </w:abstractNum>
  <w:abstractNum w:abstractNumId="17">
    <w:nsid w:val="6763845E"/>
    <w:multiLevelType w:val="hybridMultilevel"/>
    <w:lvl w:ilvl="0">
      <w:lvlJc w:val="left"/>
      <w:lvlText w:val="%1."/>
      <w:numFmt w:val="decimal"/>
      <w:start w:val="3"/>
    </w:lvl>
    <w:lvl w:ilvl="1">
      <w:lvlJc w:val="left"/>
      <w:lvlText w:val="%2"/>
      <w:numFmt w:val="lowerLetter"/>
      <w:start w:val="1"/>
    </w:lvl>
  </w:abstractNum>
  <w:abstractNum w:abstractNumId="18">
    <w:nsid w:val="75A2A8D4"/>
    <w:multiLevelType w:val="hybridMultilevel"/>
    <w:lvl w:ilvl="0">
      <w:lvlJc w:val="left"/>
      <w:lvlText w:val="%1"/>
      <w:numFmt w:val="decimal"/>
      <w:start w:val="1"/>
    </w:lvl>
    <w:lvl w:ilvl="1">
      <w:lvlJc w:val="left"/>
      <w:lvlText w:val="%2."/>
      <w:numFmt w:val="decimal"/>
      <w:start w:val="6"/>
    </w:lvl>
  </w:abstractNum>
  <w:abstractNum w:abstractNumId="19">
    <w:nsid w:val="8EDBDAB"/>
    <w:multiLevelType w:val="hybridMultilevel"/>
    <w:lvl w:ilvl="0">
      <w:lvlJc w:val="left"/>
      <w:lvlText w:val="%1."/>
      <w:numFmt w:val="decimal"/>
      <w:start w:val="9"/>
    </w:lvl>
    <w:lvl w:ilvl="1">
      <w:lvlJc w:val="left"/>
      <w:lvlText w:val="%2"/>
      <w:numFmt w:val="decimal"/>
      <w:start w:val="1"/>
    </w:lvl>
  </w:abstractNum>
  <w:abstractNum w:abstractNumId="20">
    <w:nsid w:val="79838CB2"/>
    <w:multiLevelType w:val="hybridMultilevel"/>
    <w:lvl w:ilvl="0">
      <w:lvlJc w:val="left"/>
      <w:lvlText w:val="%1."/>
      <w:numFmt w:val="decimal"/>
      <w:start w:val="12"/>
    </w:lvl>
  </w:abstractNum>
  <w:abstractNum w:abstractNumId="21">
    <w:nsid w:val="4353D0CD"/>
    <w:multiLevelType w:val="hybridMultilevel"/>
    <w:lvl w:ilvl="0">
      <w:lvlJc w:val="left"/>
      <w:lvlText w:val="(%1)"/>
      <w:numFmt w:val="lowerLetter"/>
      <w:start w:val="1"/>
    </w:lvl>
  </w:abstractNum>
  <w:abstractNum w:abstractNumId="22">
    <w:nsid w:val="B03E0C6"/>
    <w:multiLevelType w:val="hybridMultilevel"/>
    <w:lvl w:ilvl="0">
      <w:lvlJc w:val="left"/>
      <w:lvlText w:val="(%1)"/>
      <w:numFmt w:val="lowerLetter"/>
      <w:start w:val="1"/>
    </w:lvl>
    <w:lvl w:ilvl="1">
      <w:lvlJc w:val="left"/>
      <w:lvlText w:val="(%2)"/>
      <w:numFmt w:val="lowerLetter"/>
      <w:start w:val="35"/>
    </w:lvl>
  </w:abstractNum>
  <w:abstractNum w:abstractNumId="23">
    <w:nsid w:val="189A769B"/>
    <w:multiLevelType w:val="hybridMultilevel"/>
    <w:lvl w:ilvl="0">
      <w:lvlJc w:val="left"/>
      <w:lvlText w:val="(%1)"/>
      <w:numFmt w:val="lowerLetter"/>
      <w:start w:val="9"/>
    </w:lvl>
    <w:lvl w:ilvl="1">
      <w:lvlJc w:val="left"/>
      <w:lvlText w:val="(%2)"/>
      <w:numFmt w:val="lowerLetter"/>
      <w:start w:val="7"/>
    </w:lvl>
  </w:abstractNum>
  <w:abstractNum w:abstractNumId="24">
    <w:nsid w:val="54E49EB4"/>
    <w:multiLevelType w:val="hybridMultilevel"/>
    <w:lvl w:ilvl="0">
      <w:lvlJc w:val="left"/>
      <w:lvlText w:val="(%1)"/>
      <w:numFmt w:val="lowerLetter"/>
      <w:start w:val="35"/>
    </w:lvl>
    <w:lvl w:ilvl="1">
      <w:lvlJc w:val="left"/>
      <w:lvlText w:val="%2"/>
      <w:numFmt w:val="lowerLetter"/>
      <w:start w:val="1"/>
    </w:lvl>
  </w:abstractNum>
  <w:abstractNum w:abstractNumId="25">
    <w:nsid w:val="71F32454"/>
    <w:multiLevelType w:val="hybridMultilevel"/>
    <w:lvl w:ilvl="0">
      <w:lvlJc w:val="left"/>
      <w:lvlText w:val="(%1)"/>
      <w:numFmt w:val="lowerLetter"/>
      <w:start w:val="7"/>
    </w:lvl>
  </w:abstractNum>
  <w:abstractNum w:abstractNumId="26">
    <w:nsid w:val="2CA88611"/>
    <w:multiLevelType w:val="hybridMultilevel"/>
    <w:lvl w:ilvl="0">
      <w:lvlJc w:val="left"/>
      <w:lvlText w:val="(%1)"/>
      <w:numFmt w:val="lowerLetter"/>
      <w:start w:val="1"/>
    </w:lvl>
  </w:abstractNum>
  <w:abstractNum w:abstractNumId="27">
    <w:nsid w:val="836C40E"/>
    <w:multiLevelType w:val="hybridMultilevel"/>
    <w:lvl w:ilvl="0">
      <w:lvlJc w:val="left"/>
      <w:lvlText w:val="(%1)"/>
      <w:numFmt w:val="lowerLetter"/>
      <w:start w:val="3"/>
    </w:lvl>
    <w:lvl w:ilvl="1">
      <w:lvlJc w:val="left"/>
      <w:lvlText w:val="(%2)"/>
      <w:numFmt w:val="lowerLetter"/>
      <w:start w:val="9"/>
    </w:lvl>
  </w:abstractNum>
  <w:abstractNum w:abstractNumId="28">
    <w:nsid w:val="2901D82"/>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2019-12-19T20:19:58Z</dcterms:created>
  <dcterms:modified xsi:type="dcterms:W3CDTF">2019-12-19T20:19:58Z</dcterms:modified>
</cp:coreProperties>
</file>