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w w:val="98"/>
              </w:rPr>
              <w:t>01-34219</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8"/>
                <w:szCs w:val="18"/>
                <w:b w:val="1"/>
                <w:bCs w:val="1"/>
                <w:color w:val="auto"/>
                <w:w w:val="98"/>
              </w:rPr>
              <w:t>04-2623104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0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20" w:type="dxa"/>
            <w:vAlign w:val="bottom"/>
          </w:tcPr>
          <w:p>
            <w:pPr>
              <w:jc w:val="center"/>
              <w:ind w:left="16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0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20" w:type="dxa"/>
            <w:vAlign w:val="bottom"/>
          </w:tcPr>
          <w:p>
            <w:pPr>
              <w:jc w:val="center"/>
              <w:ind w:left="16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555 Turnpike Street,</w:t>
            </w:r>
          </w:p>
        </w:tc>
        <w:tc>
          <w:tcPr>
            <w:tcW w:w="2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27"/>
        </w:trPr>
        <w:tc>
          <w:tcPr>
            <w:tcW w:w="3580" w:type="dxa"/>
            <w:vAlign w:val="bottom"/>
          </w:tcPr>
          <w:p>
            <w:pPr>
              <w:jc w:val="center"/>
              <w:ind w:right="19"/>
              <w:spacing w:after="0"/>
              <w:rPr>
                <w:sz w:val="20"/>
                <w:szCs w:val="20"/>
                <w:color w:val="auto"/>
              </w:rPr>
            </w:pPr>
            <w:r>
              <w:rPr>
                <w:rFonts w:ascii="Times New Roman" w:cs="Times New Roman" w:eastAsia="Times New Roman" w:hAnsi="Times New Roman"/>
                <w:sz w:val="18"/>
                <w:szCs w:val="18"/>
                <w:b w:val="1"/>
                <w:bCs w:val="1"/>
                <w:color w:val="auto"/>
                <w:w w:val="99"/>
              </w:rPr>
              <w:t>Canton, Massachusetts</w:t>
            </w:r>
          </w:p>
        </w:tc>
        <w:tc>
          <w:tcPr>
            <w:tcW w:w="2400" w:type="dxa"/>
            <w:vAlign w:val="bottom"/>
          </w:tcPr>
          <w:p>
            <w:pPr>
              <w:spacing w:after="0"/>
              <w:rPr>
                <w:sz w:val="19"/>
                <w:szCs w:val="19"/>
                <w:color w:val="auto"/>
              </w:rPr>
            </w:pPr>
          </w:p>
        </w:tc>
        <w:tc>
          <w:tcPr>
            <w:tcW w:w="2820" w:type="dxa"/>
            <w:vAlign w:val="bottom"/>
          </w:tcPr>
          <w:p>
            <w:pPr>
              <w:jc w:val="right"/>
              <w:ind w:right="1201"/>
              <w:spacing w:after="0"/>
              <w:rPr>
                <w:sz w:val="20"/>
                <w:szCs w:val="20"/>
                <w:color w:val="auto"/>
              </w:rPr>
            </w:pPr>
            <w:r>
              <w:rPr>
                <w:rFonts w:ascii="Times New Roman" w:cs="Times New Roman" w:eastAsia="Times New Roman" w:hAnsi="Times New Roman"/>
                <w:sz w:val="18"/>
                <w:szCs w:val="18"/>
                <w:b w:val="1"/>
                <w:bCs w:val="1"/>
                <w:color w:val="auto"/>
              </w:rPr>
              <w:t>02021</w:t>
            </w:r>
          </w:p>
        </w:tc>
      </w:tr>
      <w:tr>
        <w:trPr>
          <w:trHeight w:val="190"/>
        </w:trPr>
        <w:tc>
          <w:tcPr>
            <w:tcW w:w="35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0" w:type="dxa"/>
            <w:vAlign w:val="bottom"/>
          </w:tcPr>
          <w:p>
            <w:pPr>
              <w:spacing w:after="0"/>
              <w:rPr>
                <w:sz w:val="16"/>
                <w:szCs w:val="16"/>
                <w:color w:val="auto"/>
              </w:rPr>
            </w:pPr>
          </w:p>
        </w:tc>
        <w:tc>
          <w:tcPr>
            <w:tcW w:w="282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EFE"/>
                <w:w w:val="99"/>
              </w:rPr>
              <w:t>NONE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EFE"/>
                <w:w w:val="99"/>
              </w:rPr>
              <w:t>NONE</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EFE"/>
                <w:w w:val="99"/>
              </w:rPr>
              <w:t>NONE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EXPLANATORY NOTE</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Amendment No. 2 to Form 8-K (“</w:t>
      </w:r>
      <w:r>
        <w:rPr>
          <w:rFonts w:ascii="Times New Roman" w:cs="Times New Roman" w:eastAsia="Times New Roman" w:hAnsi="Times New Roman"/>
          <w:sz w:val="18"/>
          <w:szCs w:val="18"/>
          <w:u w:val="single" w:color="auto"/>
          <w:color w:val="auto"/>
        </w:rPr>
        <w:t>Form 8-K/A</w:t>
      </w:r>
      <w:r>
        <w:rPr>
          <w:rFonts w:ascii="Times New Roman" w:cs="Times New Roman" w:eastAsia="Times New Roman" w:hAnsi="Times New Roman"/>
          <w:sz w:val="18"/>
          <w:szCs w:val="18"/>
          <w:color w:val="auto"/>
        </w:rPr>
        <w:t>”) amends the Current Report on Form 8-K filed by Destination XL Group, Inc.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February 5, 2021 (the “</w:t>
      </w:r>
      <w:r>
        <w:rPr>
          <w:rFonts w:ascii="Times New Roman" w:cs="Times New Roman" w:eastAsia="Times New Roman" w:hAnsi="Times New Roman"/>
          <w:sz w:val="18"/>
          <w:szCs w:val="18"/>
          <w:u w:val="single" w:color="auto"/>
          <w:color w:val="auto"/>
        </w:rPr>
        <w:t>Original Filing</w:t>
      </w:r>
      <w:r>
        <w:rPr>
          <w:rFonts w:ascii="Times New Roman" w:cs="Times New Roman" w:eastAsia="Times New Roman" w:hAnsi="Times New Roman"/>
          <w:sz w:val="18"/>
          <w:szCs w:val="18"/>
          <w:color w:val="auto"/>
        </w:rPr>
        <w:t>”), as amended by Amendment No. 1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Form 8-K filed with the SEC on February 5, 2021 (together with the Original Filing, the “</w:t>
      </w:r>
      <w:r>
        <w:rPr>
          <w:rFonts w:ascii="Times New Roman" w:cs="Times New Roman" w:eastAsia="Times New Roman" w:hAnsi="Times New Roman"/>
          <w:sz w:val="17"/>
          <w:szCs w:val="17"/>
          <w:u w:val="single" w:color="auto"/>
          <w:color w:val="auto"/>
        </w:rPr>
        <w:t>Prior Forms 8-K</w:t>
      </w:r>
      <w:r>
        <w:rPr>
          <w:rFonts w:ascii="Times New Roman" w:cs="Times New Roman" w:eastAsia="Times New Roman" w:hAnsi="Times New Roman"/>
          <w:sz w:val="17"/>
          <w:szCs w:val="17"/>
          <w:color w:val="auto"/>
        </w:rPr>
        <w:t>”), to report its entry into a securities purchase</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agreement with the purchasers named therein, pursuant to which the Company agreed to issue and sell, in a registered offering directly to the investors,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aggregate of 11,111,111 shares of common stock, par value $0.01 per share, of the Company for gross proceeds of approximately $5.0 million. This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Form 8-K/A is being filed solely for the purpose of filing a form of the Securities Purchase Agreement, the Placement Agency Agreement, and a copy of</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 of Greenberg Traurig LLP relating to the legality of the common stock offered by the Company as Exhibits 10.1, 10.2, and 5.1, respectively,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Prior Forms 8-K. This Form 8-K/A does not change any of the other information contained in the Prior Forms 8-K, except as specifically set forth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herein. This Form 8-K/A continues to speak as of the date of the Prior Forms 8-K, and we have not updated or amended any disclosures, except as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specifically set forth herein, contained in the Prior Forms 8-K to reflect events that have occurred since the date of the Prior Forms 8-K.</w:t>
      </w:r>
    </w:p>
    <w:p>
      <w:pPr>
        <w:spacing w:after="0" w:line="207" w:lineRule="exact"/>
        <w:rPr>
          <w:sz w:val="20"/>
          <w:szCs w:val="20"/>
          <w:color w:val="auto"/>
        </w:rPr>
      </w:pPr>
    </w:p>
    <w:p>
      <w:pPr>
        <w:ind w:left="4" w:right="520" w:firstLine="440"/>
        <w:spacing w:after="0" w:line="258" w:lineRule="auto"/>
        <w:rPr>
          <w:sz w:val="20"/>
          <w:szCs w:val="20"/>
          <w:color w:val="auto"/>
        </w:rPr>
      </w:pPr>
      <w:r>
        <w:rPr>
          <w:rFonts w:ascii="Times New Roman" w:cs="Times New Roman" w:eastAsia="Times New Roman" w:hAnsi="Times New Roman"/>
          <w:sz w:val="18"/>
          <w:szCs w:val="18"/>
          <w:color w:val="auto"/>
        </w:rPr>
        <w:t>A copy of the form of Securities Purchase Agreement and the Placement Agency Agreement are included as exhibits to this Form 8-K/A to provide investors and security holders with information regarding their terms. It is not intended to provide any other factual information about the Company. The representations, warranties and covenants contained in the Securities Purchase Agreement and Placement Agency Agreement, respectively, were made only for purposes of such agreements and as of specific dates, were solely for the benefit of the parties to the Securities Purchase Agreement and Placement Agency Agreement, and may be subject to limitations agreed upon by the parties.</w:t>
      </w:r>
    </w:p>
    <w:p>
      <w:pPr>
        <w:spacing w:after="0" w:line="328" w:lineRule="exact"/>
        <w:rPr>
          <w:sz w:val="20"/>
          <w:szCs w:val="20"/>
          <w:color w:val="auto"/>
        </w:rPr>
      </w:pPr>
    </w:p>
    <w:p>
      <w:pPr>
        <w:ind w:left="4"/>
        <w:spacing w:after="0"/>
        <w:tabs>
          <w:tab w:leader="none" w:pos="12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8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4">
        <w:r>
          <w:rPr>
            <w:rFonts w:ascii="Times New Roman" w:cs="Times New Roman" w:eastAsia="Times New Roman" w:hAnsi="Times New Roman"/>
            <w:sz w:val="17"/>
            <w:szCs w:val="17"/>
            <w:u w:val="single" w:color="auto"/>
            <w:color w:val="0000EE"/>
          </w:rPr>
          <w:t>Opinion of Greenberg Traurig LLP</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w:anchor="page5">
        <w:r>
          <w:rPr>
            <w:rFonts w:ascii="Times New Roman" w:cs="Times New Roman" w:eastAsia="Times New Roman" w:hAnsi="Times New Roman"/>
            <w:sz w:val="18"/>
            <w:szCs w:val="18"/>
            <w:u w:val="single" w:color="auto"/>
            <w:color w:val="0000EE"/>
          </w:rPr>
          <w:t>Form of Securities Purchase Agreement</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w:anchor="page36">
        <w:r>
          <w:rPr>
            <w:rFonts w:ascii="Times New Roman" w:cs="Times New Roman" w:eastAsia="Times New Roman" w:hAnsi="Times New Roman"/>
            <w:sz w:val="17"/>
            <w:szCs w:val="17"/>
            <w:u w:val="single" w:color="auto"/>
            <w:color w:val="0000EE"/>
          </w:rPr>
          <w:t>Placement Agency Agreement, dated February 5, 2021, between Destination XL Group, Inc. and D.A. Davidson &amp; Co.</w:t>
        </w:r>
      </w:hyperlink>
    </w:p>
    <w:p>
      <w:pPr>
        <w:spacing w:after="0" w:line="11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4">
        <w:r>
          <w:rPr>
            <w:rFonts w:ascii="Times New Roman" w:cs="Times New Roman" w:eastAsia="Times New Roman" w:hAnsi="Times New Roman"/>
            <w:sz w:val="17"/>
            <w:szCs w:val="17"/>
            <w:u w:val="single" w:color="auto"/>
            <w:color w:val="0000EE"/>
          </w:rPr>
          <w:t>Consent of Greenberg Traurig, LLP (included in Exhibit 5.1 hereto)</w:t>
        </w:r>
      </w:hyperlink>
    </w:p>
    <w:p>
      <w:pPr>
        <w:spacing w:after="0" w:line="117" w:lineRule="exact"/>
        <w:rPr>
          <w:sz w:val="20"/>
          <w:szCs w:val="20"/>
          <w:color w:val="auto"/>
        </w:rPr>
      </w:pPr>
    </w:p>
    <w:p>
      <w:pPr>
        <w:ind w:left="884" w:right="40" w:hanging="884"/>
        <w:spacing w:after="0" w:line="282" w:lineRule="auto"/>
        <w:tabs>
          <w:tab w:leader="none" w:pos="8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DESTINATION XL GROUP,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2021</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S. Molloy</w:t>
            </w:r>
          </w:p>
        </w:tc>
      </w:tr>
      <w:tr>
        <w:trPr>
          <w:trHeight w:val="205"/>
        </w:trPr>
        <w:tc>
          <w:tcPr>
            <w:tcW w:w="3560" w:type="dxa"/>
            <w:vAlign w:val="bottom"/>
          </w:tcPr>
          <w:p>
            <w:pPr>
              <w:spacing w:after="0"/>
              <w:rPr>
                <w:sz w:val="17"/>
                <w:szCs w:val="17"/>
                <w:color w:val="auto"/>
              </w:rPr>
            </w:pPr>
          </w:p>
        </w:tc>
        <w:tc>
          <w:tcPr>
            <w:tcW w:w="2600" w:type="dxa"/>
            <w:vAlign w:val="bottom"/>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S. Molloy</w:t>
            </w:r>
          </w:p>
        </w:tc>
      </w:tr>
      <w:tr>
        <w:trPr>
          <w:trHeight w:val="234"/>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General Counsel and Secretary</w:t>
            </w:r>
          </w:p>
        </w:tc>
      </w:tr>
      <w:tr>
        <w:trPr>
          <w:trHeight w:val="364"/>
        </w:trPr>
        <w:tc>
          <w:tcPr>
            <w:tcW w:w="3560" w:type="dxa"/>
            <w:vAlign w:val="bottom"/>
          </w:tcPr>
          <w:p>
            <w:pPr>
              <w:spacing w:after="0"/>
              <w:rPr>
                <w:sz w:val="24"/>
                <w:szCs w:val="24"/>
                <w:color w:val="auto"/>
              </w:rPr>
            </w:pPr>
          </w:p>
        </w:tc>
        <w:tc>
          <w:tcPr>
            <w:tcW w:w="26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GREENBERG TRAURIG, LLP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One International Place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2000</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Boston, Massachusetts 02110</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February 5, 2021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234"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Offering of Destination XL Group, Inc.</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1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Destination XL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registration by the Company of the offer and sale of up to 11,111,111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of the Company’s common stock, par value $0.01 per share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pursuant to the terms of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as of February 5, 2021, by and among the Company and each of the purchasers identified on the signature pages thereto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The Securities were offered and sold under a Registration Statement on Form S-3 (File No. 333-238929) (as amended or supplemented,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June 4, 2020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including a base prospectus, dated as of June 16, 2020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a prospectus supplement, dated as of February 5, 2021 (together with the Base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The Registration Statement became effective on June 16, 2020.</w:t>
      </w:r>
    </w:p>
    <w:p>
      <w:pPr>
        <w:spacing w:after="0" w:line="192"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In that connection, we have examined originals, or copies certified or otherwise identified to our satisfaction, of such documents, corporate records and other instruments as we have deemed necessary for the purposes of this opinion, including (i) the organizational documents of the Company,</w:t>
      </w:r>
    </w:p>
    <w:p>
      <w:pPr>
        <w:spacing w:after="0" w:line="1" w:lineRule="exact"/>
        <w:rPr>
          <w:sz w:val="20"/>
          <w:szCs w:val="20"/>
          <w:color w:val="auto"/>
        </w:rPr>
      </w:pPr>
    </w:p>
    <w:p>
      <w:pPr>
        <w:ind w:left="4" w:right="200" w:hanging="4"/>
        <w:spacing w:after="0" w:line="255"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and records of the corporate proceedings of the Company with respect to the issuance and sale of the Securities, including the proceedings of the Board of Directors of the Company, (iii) the Registration Statement, including the exhibits thereto, (iv) the Prospectus and (v) the Purchase Agreement.</w:t>
      </w:r>
    </w:p>
    <w:p>
      <w:pPr>
        <w:spacing w:after="0" w:line="18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We have not independently established or verified any facts relevant to the opinions expressed herein, but have relied upon statements and representations of the officers and other representatives of the Company.</w:t>
      </w:r>
    </w:p>
    <w:p>
      <w:pPr>
        <w:spacing w:after="0" w:line="187" w:lineRule="exact"/>
        <w:rPr>
          <w:sz w:val="20"/>
          <w:szCs w:val="20"/>
          <w:color w:val="auto"/>
        </w:rPr>
      </w:pPr>
    </w:p>
    <w:p>
      <w:pPr>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qualifications, assumptions and limitations and the further limitations set forth below, we are of the opinion that the Securities, when issued, delivered, and paid for as described in the Purchase Agreement, will be validly issued, fully paid and nonassessable.</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Our opinion expressed above is subject to the qualifications that we express no opinion as to the applicability of, compliance with, or effect of any laws except the federal securities laws of the United States and the General Corporation Law of the State of Delaware (including the applicable provisions of the Delaware constitution and reported judicial decisions interpreting these laws).</w:t>
      </w:r>
    </w:p>
    <w:p>
      <w:pPr>
        <w:spacing w:after="0" w:line="176" w:lineRule="exact"/>
        <w:rPr>
          <w:sz w:val="20"/>
          <w:szCs w:val="20"/>
          <w:color w:val="auto"/>
        </w:rPr>
      </w:pPr>
    </w:p>
    <w:p>
      <w:pPr>
        <w:jc w:val="both"/>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We did not find it necessary for the purposes of this opinion, and accordingly we do not purport to cover herein, the application of the securities or “Blue Sky” laws of the various states to the issuance and sale of the Securities.</w:t>
      </w:r>
    </w:p>
    <w:p>
      <w:pPr>
        <w:spacing w:after="0" w:line="162"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We assume no obligation to revise or supplement this opinion should the present federal securities laws of the United States or the General Corporation Law of the State of Delaware be changed by legislative action, judicial decision or otherwise.</w:t>
      </w:r>
    </w:p>
    <w:p>
      <w:pPr>
        <w:spacing w:after="0" w:line="176"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Company’s Current Report on Form 8-K and to its incorporation into the Registration Statement. We also consent to the reference to our firm under the heading “Legal Matters” in the Prospectus constituting part of the Registration Statement. In giving this consent, we do not thereby admit that we are in the category of persons whose consent is required under Section 7 of the Securities Act or the rules and regulations of the Commission.</w:t>
      </w:r>
    </w:p>
    <w:p>
      <w:pPr>
        <w:spacing w:after="0" w:line="20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i w:val="1"/>
          <w:iCs w:val="1"/>
          <w:color w:val="auto"/>
        </w:rPr>
        <w:t>/s/ Greenberg Traurig, LLP</w:t>
      </w:r>
    </w:p>
    <w:p>
      <w:pPr>
        <w:spacing w:after="0" w:line="2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GREENBERG TRAURIG, LLP</w:t>
      </w:r>
    </w:p>
    <w:p>
      <w:pPr>
        <w:sectPr>
          <w:pgSz w:w="11900" w:h="16838" w:orient="portrait"/>
          <w:cols w:equalWidth="0" w:num="1">
            <w:col w:w="11024"/>
          </w:cols>
          <w:pgMar w:left="436"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Stock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February 5, 2021, between Destination XL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shares of Common Stock of the Company as more fully described in this Agreement.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4.3.</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117" w:lineRule="exact"/>
        <w:rPr>
          <w:sz w:val="20"/>
          <w:szCs w:val="20"/>
          <w:color w:val="auto"/>
        </w:rPr>
      </w:pPr>
    </w:p>
    <w:p>
      <w:pPr>
        <w:ind w:left="440" w:right="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117" w:lineRule="exact"/>
        <w:rPr>
          <w:sz w:val="20"/>
          <w:szCs w:val="20"/>
          <w:color w:val="auto"/>
        </w:rPr>
      </w:pPr>
    </w:p>
    <w:p>
      <w:pPr>
        <w:ind w:left="440" w:right="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117" w:lineRule="exact"/>
        <w:rPr>
          <w:sz w:val="20"/>
          <w:szCs w:val="20"/>
          <w:color w:val="auto"/>
        </w:rPr>
      </w:pPr>
    </w:p>
    <w:p>
      <w:pPr>
        <w:ind w:left="440" w:right="16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Trading Day following the date hereof.</w:t>
      </w:r>
    </w:p>
    <w:p>
      <w:pPr>
        <w:spacing w:after="0" w:line="7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 w:name="page6"/>
    <w:bookmarkEnd w:id="5"/>
    <w:p>
      <w:pPr>
        <w:ind w:left="4" w:right="26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54" w:lineRule="exact"/>
        <w:rPr>
          <w:sz w:val="20"/>
          <w:szCs w:val="20"/>
          <w:color w:val="auto"/>
        </w:rPr>
      </w:pPr>
    </w:p>
    <w:p>
      <w:pPr>
        <w:ind w:left="4"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68" w:lineRule="exact"/>
        <w:rPr>
          <w:sz w:val="20"/>
          <w:szCs w:val="20"/>
          <w:color w:val="auto"/>
        </w:rPr>
      </w:pPr>
    </w:p>
    <w:p>
      <w:pPr>
        <w:ind w:left="4" w:right="30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Greenberg Traurig, LLP, with offices located at One International Place, Suite 2000, Boston, Massachusetts 02110.</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117" w:lineRule="exact"/>
        <w:rPr>
          <w:sz w:val="20"/>
          <w:szCs w:val="20"/>
          <w:color w:val="auto"/>
        </w:rPr>
      </w:pPr>
    </w:p>
    <w:p>
      <w:pPr>
        <w:ind w:left="4" w:right="100" w:firstLine="423"/>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xml:space="preserve"> ”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72"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Dorsey</w:t>
      </w:r>
      <w:r>
        <w:rPr>
          <w:rFonts w:ascii="Times New Roman" w:cs="Times New Roman" w:eastAsia="Times New Roman" w:hAnsi="Times New Roman"/>
          <w:sz w:val="18"/>
          <w:szCs w:val="18"/>
          <w:color w:val="auto"/>
        </w:rPr>
        <w:t>” means Dorsey &amp; Whitney LLP, with offices located at 111 South Main Street, Suite 2100, Salt Lake City, Utah 84111.</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11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17" w:lineRule="exact"/>
        <w:rPr>
          <w:sz w:val="20"/>
          <w:szCs w:val="20"/>
          <w:color w:val="auto"/>
        </w:rPr>
      </w:pPr>
    </w:p>
    <w:p>
      <w:pPr>
        <w:ind w:left="4" w:right="240" w:firstLine="423"/>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for services rendered to the Company,</w:t>
      </w:r>
    </w:p>
    <w:p>
      <w:pPr>
        <w:spacing w:after="0" w:line="1" w:lineRule="exact"/>
        <w:rPr>
          <w:sz w:val="20"/>
          <w:szCs w:val="20"/>
          <w:color w:val="auto"/>
        </w:rPr>
      </w:pPr>
    </w:p>
    <w:p>
      <w:pPr>
        <w:ind w:left="4" w:hanging="4"/>
        <w:spacing w:after="0" w:line="269" w:lineRule="auto"/>
        <w:tabs>
          <w:tab w:leader="none" w:pos="25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upon the exercise or exchange of or conversion of any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4.7 herein, and provided that any such issuance shall only be to a Person (or to the</w:t>
      </w:r>
    </w:p>
    <w:p>
      <w:pPr>
        <w:spacing w:after="0" w:line="10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04"/>
          </w:cols>
          <w:pgMar w:left="876" w:top="270" w:right="519" w:bottom="1440" w:gutter="0" w:footer="0" w:header="0"/>
        </w:sectPr>
      </w:pPr>
    </w:p>
    <w:bookmarkStart w:id="6" w:name="page7"/>
    <w:bookmarkEnd w:id="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$0.45 per Share.</w:t>
      </w:r>
    </w:p>
    <w:p>
      <w:pPr>
        <w:spacing w:after="0" w:line="117"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D.A. Davidson &amp; Co.</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included in the Registration Statement.</w:t>
      </w:r>
    </w:p>
    <w:p>
      <w:pPr>
        <w:spacing w:after="0" w:line="117" w:lineRule="exact"/>
        <w:rPr>
          <w:sz w:val="20"/>
          <w:szCs w:val="20"/>
          <w:color w:val="auto"/>
        </w:rPr>
      </w:pPr>
    </w:p>
    <w:p>
      <w:pPr>
        <w:ind w:right="1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that is filed with the Commission and delivered by the Company to each Purchaser at the Closing.</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4.6.</w:t>
      </w:r>
    </w:p>
    <w:p>
      <w:pPr>
        <w:spacing w:after="0" w:line="117"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with Commission file No. 333-238929 which registers the sale of the Shares.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15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40"/>
          </w:cols>
          <w:pgMar w:left="880" w:top="270" w:right="579" w:bottom="1440" w:gutter="0" w:footer="0" w:header="0"/>
        </w:sectPr>
      </w:pPr>
    </w:p>
    <w:bookmarkStart w:id="7" w:name="page8"/>
    <w:bookmarkEnd w:id="7"/>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117"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54"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Shares purchased hereunder as specified below such Purchaser’s name on the signature page of this Agreement and next to the heading “Subscription Amount,” in United States dollars and in immediately available funds.</w:t>
      </w:r>
    </w:p>
    <w:p>
      <w:pPr>
        <w:spacing w:after="0" w:line="68" w:lineRule="exact"/>
        <w:rPr>
          <w:sz w:val="20"/>
          <w:szCs w:val="20"/>
          <w:color w:val="auto"/>
        </w:rPr>
      </w:pPr>
    </w:p>
    <w:p>
      <w:pPr>
        <w:ind w:right="44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referred to in Section 3.1(a) and shall, where applicable, also include any direct or indirect subsidiary of the Company formed or acquired after the date hereof.</w:t>
      </w:r>
    </w:p>
    <w:p>
      <w:pPr>
        <w:spacing w:after="0" w:line="54"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(i) a day on which the Common Stock is listed or quoted and traded on its principal Trading Market (other than the OTC Bulletin Board), or (ii) if the Common Stock is not listed on a Trading Market (other than the OTC Bulletin Board), a day on which the Common Stock is traded in the over-the- counter market, as reported by the OTC Bulletin Board, or (iii) if the Common Stock is not quoted on any Trading Market, a day on which the Common Stock is quoted in the over-the-counter market as reported in the “pink sheets” by OTC Markets Group Inc. (or any similar organization or agency succeeding to its functions of reporting prices); provided, that in the event that the Common Stock is not listed or quoted as set forth in (i), (ii) or (iii) hereof, then Trading Day shall mean a Business Day.</w:t>
      </w:r>
    </w:p>
    <w:p>
      <w:pPr>
        <w:spacing w:after="0" w:line="79" w:lineRule="exact"/>
        <w:rPr>
          <w:sz w:val="20"/>
          <w:szCs w:val="20"/>
          <w:color w:val="auto"/>
        </w:rPr>
      </w:pPr>
    </w:p>
    <w:p>
      <w:pPr>
        <w:jc w:val="both"/>
        <w:ind w:right="100" w:firstLine="423"/>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Trading Market</w:t>
      </w:r>
      <w:r>
        <w:rPr>
          <w:rFonts w:ascii="Times New Roman" w:cs="Times New Roman" w:eastAsia="Times New Roman" w:hAnsi="Times New Roman"/>
          <w:sz w:val="17"/>
          <w:szCs w:val="17"/>
          <w:color w:val="auto"/>
        </w:rPr>
        <w:t>” means any of the following markets or exchanges on which the Common Stock is listed or quoted for trading on the date in question: the OTCQB, OTCQX or Pink Open Market operated by OTC Markets Group, the NYSE American, the Nasdaq Capital Market, the Nasdaq Global Market, the Nasdaq Global Select Market or the New York Stock Exchange (or any successors to any of the foregoing).</w:t>
      </w:r>
    </w:p>
    <w:p>
      <w:pPr>
        <w:spacing w:after="0" w:line="9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ind w:left="440" w:right="42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hereto and any other documents or agreements executed in connection with the transactions contemplated hereunder.</w:t>
      </w:r>
    </w:p>
    <w:p>
      <w:pPr>
        <w:spacing w:after="0" w:line="54" w:lineRule="exact"/>
        <w:rPr>
          <w:sz w:val="20"/>
          <w:szCs w:val="20"/>
          <w:color w:val="auto"/>
        </w:rPr>
      </w:pPr>
    </w:p>
    <w:p>
      <w:pPr>
        <w:ind w:left="440" w:right="280" w:firstLine="423"/>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American Stock Transfer &amp; Trust Co, the current transfer agent of the Company, with a mailing address of 6201 15th Avenue, Brooklyn, New York 11219, and any successor transfer agent of the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$5,000,000 of Shares. Each Purchaser’s Subscription Amount as set forth on the signature page hereto executed by such Purchaser shall be made available for “Delivery Versus Payment” (“DVP”) settlement with the Company or its designee. The Company shall deliver to each Purchaser its respective Shares, and the Company and each Purchaser shall deliver the other items set forth in Section 2.2 deliverable at the Closing. Upon satisfaction of the covenants and conditions set forth in Sections 2.2 and 2.3, the Closing shall occur at the offices of Dorsey or such other location as the parties shall mutually agree. Each Purchaser acknowledges that, concurrently with the Closing and pursuant to the Prospectus, the Company may sell up to $5,000,000 of additional Shares to purchasers substantially concurrent with this Purchase Agreement, less the aggregate dollar amount of Shares sold pursuant to this Agreement; provided, the Company will issue to each other purchaser Shares in the same form and at the same price as issued to a Purchaser hereunder.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in form reasonably acceptable to the Purchasers;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9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Company’s wire instructions, on Company letterhead and executed by the Chief Executive Officer or Chief Financial Officer;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 w:name="page10"/>
    <w:bookmarkEnd w:id="9"/>
    <w:p>
      <w:pPr>
        <w:ind w:left="540" w:right="100" w:firstLine="408"/>
        <w:spacing w:after="0" w:line="289" w:lineRule="auto"/>
        <w:tabs>
          <w:tab w:leader="none" w:pos="1246"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the last sentence of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Shares equal to such Purchaser’s Subscription Amount divided by the Per Share Purchase Price, registered in the name of such Purchaser; and</w:t>
      </w:r>
    </w:p>
    <w:p>
      <w:pPr>
        <w:spacing w:after="0" w:line="49" w:lineRule="exact"/>
        <w:rPr>
          <w:rFonts w:ascii="Times New Roman" w:cs="Times New Roman" w:eastAsia="Times New Roman" w:hAnsi="Times New Roman"/>
          <w:sz w:val="17"/>
          <w:szCs w:val="17"/>
          <w:color w:val="auto"/>
        </w:rPr>
      </w:pPr>
    </w:p>
    <w:p>
      <w:pPr>
        <w:ind w:left="1200" w:hanging="252"/>
        <w:spacing w:after="0"/>
        <w:tabs>
          <w:tab w:leader="none" w:pos="12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 Act).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117" w:lineRule="exact"/>
        <w:rPr>
          <w:rFonts w:ascii="Times New Roman" w:cs="Times New Roman" w:eastAsia="Times New Roman" w:hAnsi="Times New Roman"/>
          <w:sz w:val="18"/>
          <w:szCs w:val="18"/>
          <w:color w:val="auto"/>
        </w:rPr>
      </w:pPr>
    </w:p>
    <w:p>
      <w:pPr>
        <w:ind w:left="540" w:right="60" w:firstLine="408"/>
        <w:spacing w:after="0" w:line="282" w:lineRule="auto"/>
        <w:tabs>
          <w:tab w:leader="none" w:pos="12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with regard to the Shares purchased by such Purchaser, which shall be made available for “Delivery Versus Payment” settlement with the Company or its designee.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hanging="241"/>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on the Closing Date of the representations and warranties of the Purchasers contained herein (unless as of a specific date therein in which case they shall be accurate as of such date);</w:t>
      </w:r>
    </w:p>
    <w:p>
      <w:pPr>
        <w:spacing w:after="0" w:line="73" w:lineRule="exact"/>
        <w:rPr>
          <w:rFonts w:ascii="Times New Roman" w:cs="Times New Roman" w:eastAsia="Times New Roman" w:hAnsi="Times New Roman"/>
          <w:sz w:val="18"/>
          <w:szCs w:val="18"/>
          <w:color w:val="auto"/>
        </w:rPr>
      </w:pPr>
    </w:p>
    <w:p>
      <w:pPr>
        <w:ind w:left="540" w:right="200" w:firstLine="408"/>
        <w:spacing w:after="0" w:line="282" w:lineRule="auto"/>
        <w:tabs>
          <w:tab w:leader="none" w:pos="12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5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w:t>
      </w:r>
    </w:p>
    <w:p>
      <w:pPr>
        <w:spacing w:after="0" w:line="27" w:lineRule="exact"/>
        <w:rPr>
          <w:rFonts w:ascii="Times New Roman" w:cs="Times New Roman" w:eastAsia="Times New Roman" w:hAnsi="Times New Roman"/>
          <w:sz w:val="18"/>
          <w:szCs w:val="18"/>
          <w:color w:val="auto"/>
        </w:rPr>
      </w:pPr>
    </w:p>
    <w:p>
      <w:pPr>
        <w:ind w:lef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 in all respects) when made and on the Closing Date of the representations and warranties of the Company contained herein (unless as of a specific date therein in which case they shall be accurate as of such date);</w:t>
      </w:r>
    </w:p>
    <w:p>
      <w:pPr>
        <w:spacing w:after="0" w:line="73"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0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left="1700" w:hanging="312"/>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delivery by the Company of the items set forth in Section 2.2(a) of this Agreement;</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55" w:lineRule="auto"/>
        <w:tabs>
          <w:tab w:leader="none" w:pos="1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(excluding any risk factor disclosure and disclosure of risks included in any “forward-looking statements” disclaimer or other statements included in such SEC Reports to the extent that they are predictive, forward-looking or primarily cautionary in nature, in each case other than any specific factual information contained therein, and excluding any supplement, modification or amendment thereto made after the date hereof), the Company hereby makes the following representations and warranties to each Purchaser:</w:t>
      </w:r>
    </w:p>
    <w:p>
      <w:pPr>
        <w:spacing w:after="0" w:line="75" w:lineRule="exact"/>
        <w:rPr>
          <w:sz w:val="20"/>
          <w:szCs w:val="20"/>
          <w:color w:val="auto"/>
        </w:rPr>
      </w:pPr>
    </w:p>
    <w:p>
      <w:pPr>
        <w:ind w:left="440" w:right="60" w:firstLine="419"/>
        <w:spacing w:after="0" w:line="258" w:lineRule="auto"/>
        <w:tabs>
          <w:tab w:leader="none" w:pos="110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on Exhibit 21.1 to the Company’s Annual Report on Form 10-K for the fiscal year ended February 1, 2020.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75" w:lineRule="exact"/>
        <w:rPr>
          <w:rFonts w:ascii="Times New Roman" w:cs="Times New Roman" w:eastAsia="Times New Roman" w:hAnsi="Times New Roman"/>
          <w:sz w:val="18"/>
          <w:szCs w:val="18"/>
          <w:color w:val="auto"/>
        </w:rPr>
      </w:pPr>
    </w:p>
    <w:p>
      <w:pPr>
        <w:ind w:left="440" w:right="20" w:firstLine="419"/>
        <w:spacing w:after="0" w:line="277" w:lineRule="auto"/>
        <w:tabs>
          <w:tab w:leader="none" w:pos="11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11" w:name="page12"/>
    <w:bookmarkEnd w:id="11"/>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81" w:lineRule="exact"/>
        <w:rPr>
          <w:sz w:val="20"/>
          <w:szCs w:val="20"/>
          <w:color w:val="auto"/>
        </w:rPr>
      </w:pPr>
    </w:p>
    <w:p>
      <w:pPr>
        <w:ind w:left="4" w:right="60" w:firstLine="419"/>
        <w:spacing w:after="0" w:line="253" w:lineRule="auto"/>
        <w:tabs>
          <w:tab w:leader="none" w:pos="67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left="4" w:firstLine="419"/>
        <w:spacing w:after="0" w:line="268" w:lineRule="auto"/>
        <w:tabs>
          <w:tab w:leader="none" w:pos="68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jc w:val="both"/>
        <w:ind w:left="4" w:right="20" w:hanging="4"/>
        <w:spacing w:after="0" w:line="265" w:lineRule="auto"/>
        <w:tabs>
          <w:tab w:leader="none" w:pos="31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ind w:left="264" w:hanging="264"/>
        <w:spacing w:after="0"/>
        <w:tabs>
          <w:tab w:leader="none" w:pos="2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such as could not have or reasonably be expected to result in a Material Adverse Effect.</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2" w:name="page13"/>
    <w:bookmarkEnd w:id="12"/>
    <w:p>
      <w:pPr>
        <w:ind w:right="160" w:firstLine="419"/>
        <w:spacing w:after="0" w:line="256" w:lineRule="auto"/>
        <w:tabs>
          <w:tab w:leader="none" w:pos="6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4.2 of this Agreement, (ii) the filing with the Commission of the Prospectus Supplement, (iii) application(s) to each applicable Trading Market for the listing or quotation of the Shares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June 16, 2020,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meets the transaction requirements with respect to the aggregate market value of securities being sold pursuant to this offering and during the twelve (12) months prior to this offering, as set forth in General Instruction I.B.6 of Form S-3.</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firstLine="419"/>
        <w:spacing w:after="0" w:line="251"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capitalization of the Company is as set forth in the SEC Reports. The Company has not issued any capital stock since its most recently filed periodic report under the Exchange Act, other than pursuant to the exercise of employee stock options and the vesting of restricted stock units under the Company’s equity compensation plans, the issuance of shares of Common Stock to directors under the Company’s Non-Employee Director Compensation Plan and to employees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other than equity awards under the Company’s equity compensation plans.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97"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4" w:name="page15"/>
    <w:bookmarkEnd w:id="14"/>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86" w:lineRule="exact"/>
        <w:rPr>
          <w:sz w:val="20"/>
          <w:szCs w:val="20"/>
          <w:color w:val="auto"/>
        </w:rPr>
      </w:pPr>
    </w:p>
    <w:p>
      <w:pPr>
        <w:ind w:firstLine="419"/>
        <w:spacing w:after="0" w:line="269" w:lineRule="auto"/>
        <w:tabs>
          <w:tab w:leader="none" w:pos="6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67" w:lineRule="exact"/>
        <w:rPr>
          <w:rFonts w:ascii="Times New Roman" w:cs="Times New Roman" w:eastAsia="Times New Roman" w:hAnsi="Times New Roman"/>
          <w:sz w:val="17"/>
          <w:szCs w:val="17"/>
          <w:color w:val="auto"/>
        </w:rPr>
      </w:pPr>
    </w:p>
    <w:p>
      <w:pPr>
        <w:ind w:right="40" w:firstLine="419"/>
        <w:spacing w:after="0" w:line="258" w:lineRule="auto"/>
        <w:tabs>
          <w:tab w:leader="none" w:pos="6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5" w:name="page16"/>
    <w:bookmarkEnd w:id="15"/>
    <w:p>
      <w:pPr>
        <w:ind w:right="3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75" w:lineRule="exact"/>
        <w:rPr>
          <w:sz w:val="20"/>
          <w:szCs w:val="20"/>
          <w:color w:val="auto"/>
        </w:rPr>
      </w:pPr>
    </w:p>
    <w:p>
      <w:pPr>
        <w:ind w:right="120" w:firstLine="419"/>
        <w:spacing w:after="0" w:line="253" w:lineRule="auto"/>
        <w:tabs>
          <w:tab w:leader="none" w:pos="6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83" w:lineRule="exact"/>
        <w:rPr>
          <w:rFonts w:ascii="Times New Roman" w:cs="Times New Roman" w:eastAsia="Times New Roman" w:hAnsi="Times New Roman"/>
          <w:sz w:val="18"/>
          <w:szCs w:val="18"/>
          <w:color w:val="auto"/>
        </w:rPr>
      </w:pPr>
    </w:p>
    <w:p>
      <w:pPr>
        <w:ind w:firstLine="419"/>
        <w:spacing w:after="0" w:line="254" w:lineRule="auto"/>
        <w:tabs>
          <w:tab w:leader="none" w:pos="6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83" w:lineRule="exact"/>
        <w:rPr>
          <w:rFonts w:ascii="Times New Roman" w:cs="Times New Roman" w:eastAsia="Times New Roman" w:hAnsi="Times New Roman"/>
          <w:sz w:val="18"/>
          <w:szCs w:val="18"/>
          <w:color w:val="auto"/>
        </w:rPr>
      </w:pPr>
    </w:p>
    <w:p>
      <w:pPr>
        <w:ind w:right="120" w:firstLine="419"/>
        <w:spacing w:after="0" w:line="289" w:lineRule="auto"/>
        <w:tabs>
          <w:tab w:leader="none" w:pos="72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Laws</w:t>
      </w:r>
      <w:r>
        <w:rPr>
          <w:rFonts w:ascii="Times New Roman" w:cs="Times New Roman" w:eastAsia="Times New Roman" w:hAnsi="Times New Roman"/>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81" w:lineRule="exact"/>
        <w:rPr>
          <w:sz w:val="20"/>
          <w:szCs w:val="20"/>
          <w:color w:val="auto"/>
        </w:rPr>
      </w:pPr>
    </w:p>
    <w:p>
      <w:pPr>
        <w:jc w:val="both"/>
        <w:ind w:left="4" w:right="20" w:firstLine="419"/>
        <w:spacing w:after="0" w:line="261" w:lineRule="auto"/>
        <w:tabs>
          <w:tab w:leader="none" w:pos="6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71"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w:t>
      </w:r>
    </w:p>
    <w:p>
      <w:pPr>
        <w:spacing w:after="0" w:line="71" w:lineRule="exact"/>
        <w:rPr>
          <w:rFonts w:ascii="Times New Roman" w:cs="Times New Roman" w:eastAsia="Times New Roman" w:hAnsi="Times New Roman"/>
          <w:sz w:val="18"/>
          <w:szCs w:val="18"/>
          <w:color w:val="auto"/>
        </w:rPr>
      </w:pPr>
    </w:p>
    <w:p>
      <w:pPr>
        <w:ind w:left="4" w:right="140" w:hanging="4"/>
        <w:spacing w:after="0" w:line="289" w:lineRule="auto"/>
        <w:tabs>
          <w:tab w:leader="none" w:pos="26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49" w:lineRule="exact"/>
        <w:rPr>
          <w:rFonts w:ascii="Times New Roman" w:cs="Times New Roman" w:eastAsia="Times New Roman" w:hAnsi="Times New Roman"/>
          <w:sz w:val="17"/>
          <w:szCs w:val="17"/>
          <w:color w:val="auto"/>
        </w:rPr>
      </w:pPr>
    </w:p>
    <w:p>
      <w:pPr>
        <w:ind w:left="4" w:firstLine="419"/>
        <w:spacing w:after="0" w:line="253" w:lineRule="auto"/>
        <w:tabs>
          <w:tab w:leader="none" w:pos="6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7" w:name="page18"/>
    <w:bookmarkEnd w:id="17"/>
    <w:p>
      <w:pPr>
        <w:ind w:firstLine="419"/>
        <w:spacing w:after="0" w:line="258"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75" w:lineRule="exact"/>
        <w:rPr>
          <w:rFonts w:ascii="Times New Roman" w:cs="Times New Roman" w:eastAsia="Times New Roman" w:hAnsi="Times New Roman"/>
          <w:sz w:val="18"/>
          <w:szCs w:val="18"/>
          <w:color w:val="auto"/>
        </w:rPr>
      </w:pPr>
    </w:p>
    <w:p>
      <w:pPr>
        <w:ind w:right="20" w:firstLine="419"/>
        <w:spacing w:after="0" w:line="254"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80" w:lineRule="exact"/>
        <w:rPr>
          <w:rFonts w:ascii="Times New Roman" w:cs="Times New Roman" w:eastAsia="Times New Roman" w:hAnsi="Times New Roman"/>
          <w:sz w:val="18"/>
          <w:szCs w:val="18"/>
          <w:color w:val="auto"/>
        </w:rPr>
      </w:pPr>
    </w:p>
    <w:p>
      <w:pPr>
        <w:ind w:right="40" w:firstLine="419"/>
        <w:spacing w:after="0" w:line="253" w:lineRule="auto"/>
        <w:tabs>
          <w:tab w:leader="none" w:pos="6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8" w:name="page19"/>
    <w:bookmarkEnd w:id="18"/>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7"/>
          <w:szCs w:val="17"/>
          <w:u w:val="single" w:color="auto"/>
          <w:color w:val="auto"/>
        </w:rPr>
        <w:t>Evaluation Date</w:t>
      </w:r>
      <w:r>
        <w:rPr>
          <w:rFonts w:ascii="Times New Roman" w:cs="Times New Roman" w:eastAsia="Times New Roman" w:hAnsi="Times New Roman"/>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w:t>
      </w:r>
    </w:p>
    <w:p>
      <w:pPr>
        <w:spacing w:after="0" w:line="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78" w:lineRule="exact"/>
        <w:rPr>
          <w:sz w:val="20"/>
          <w:szCs w:val="20"/>
          <w:color w:val="auto"/>
        </w:rPr>
      </w:pPr>
    </w:p>
    <w:p>
      <w:pPr>
        <w:ind w:right="160" w:firstLine="419"/>
        <w:spacing w:after="0" w:line="258" w:lineRule="auto"/>
        <w:tabs>
          <w:tab w:leader="none" w:pos="6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75"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71" w:lineRule="exact"/>
        <w:rPr>
          <w:rFonts w:ascii="Times New Roman" w:cs="Times New Roman" w:eastAsia="Times New Roman" w:hAnsi="Times New Roman"/>
          <w:sz w:val="18"/>
          <w:szCs w:val="18"/>
          <w:color w:val="auto"/>
        </w:rPr>
      </w:pPr>
    </w:p>
    <w:p>
      <w:pPr>
        <w:ind w:right="160" w:firstLine="419"/>
        <w:spacing w:after="0" w:line="282" w:lineRule="auto"/>
        <w:tabs>
          <w:tab w:leader="none" w:pos="67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53" w:lineRule="exact"/>
        <w:rPr>
          <w:rFonts w:ascii="Times New Roman" w:cs="Times New Roman" w:eastAsia="Times New Roman" w:hAnsi="Times New Roman"/>
          <w:sz w:val="18"/>
          <w:szCs w:val="18"/>
          <w:color w:val="auto"/>
        </w:rPr>
      </w:pPr>
    </w:p>
    <w:p>
      <w:pPr>
        <w:ind w:firstLine="419"/>
        <w:spacing w:after="0" w:line="255" w:lineRule="auto"/>
        <w:tabs>
          <w:tab w:leader="none" w:pos="71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40"/>
          </w:cols>
          <w:pgMar w:left="880" w:top="270" w:right="479" w:bottom="1440" w:gutter="0" w:footer="0" w:header="0"/>
        </w:sectPr>
      </w:pPr>
    </w:p>
    <w:bookmarkStart w:id="19" w:name="page20"/>
    <w:bookmarkEnd w:id="19"/>
    <w:p>
      <w:pPr>
        <w:ind w:left="4" w:right="60" w:firstLine="419"/>
        <w:spacing w:after="0" w:line="256" w:lineRule="auto"/>
        <w:tabs>
          <w:tab w:leader="none" w:pos="6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79"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81"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75" w:lineRule="exact"/>
        <w:rPr>
          <w:sz w:val="20"/>
          <w:szCs w:val="20"/>
          <w:color w:val="auto"/>
        </w:rPr>
      </w:pPr>
    </w:p>
    <w:p>
      <w:pPr>
        <w:ind w:left="4" w:firstLine="419"/>
        <w:spacing w:after="0" w:line="272" w:lineRule="auto"/>
        <w:tabs>
          <w:tab w:leader="none" w:pos="75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w:t>
      </w:r>
    </w:p>
    <w:p>
      <w:pPr>
        <w:spacing w:after="0" w:line="1" w:lineRule="exact"/>
        <w:rPr>
          <w:rFonts w:ascii="Times New Roman" w:cs="Times New Roman" w:eastAsia="Times New Roman" w:hAnsi="Times New Roman"/>
          <w:sz w:val="17"/>
          <w:szCs w:val="17"/>
          <w:color w:val="auto"/>
        </w:rPr>
      </w:pPr>
    </w:p>
    <w:p>
      <w:pPr>
        <w:ind w:left="4" w:right="120" w:hanging="4"/>
        <w:spacing w:after="0" w:line="253"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4"/>
          </w:cols>
          <w:pgMar w:left="876" w:top="270" w:right="459" w:bottom="1440" w:gutter="0" w:footer="0" w:header="0"/>
        </w:sectPr>
      </w:pPr>
    </w:p>
    <w:bookmarkStart w:id="20" w:name="page21"/>
    <w:bookmarkEnd w:id="20"/>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All of the outstanding secured and unsecured Indebtedness of the Company or any Subsidiary, or for which the Company or any Subsidiary has commitments is reflected in the financial statements included in the SEC Reports.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82" w:lineRule="exact"/>
        <w:rPr>
          <w:sz w:val="20"/>
          <w:szCs w:val="20"/>
          <w:color w:val="auto"/>
        </w:rPr>
      </w:pPr>
    </w:p>
    <w:p>
      <w:pPr>
        <w:ind w:left="4" w:right="200" w:firstLine="419"/>
        <w:spacing w:after="0" w:line="270" w:lineRule="auto"/>
        <w:tabs>
          <w:tab w:leader="none" w:pos="77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7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1" w:name="page22"/>
    <w:bookmarkEnd w:id="21"/>
    <w:p>
      <w:pPr>
        <w:jc w:val="both"/>
        <w:ind w:firstLine="419"/>
        <w:spacing w:after="0" w:line="266" w:lineRule="auto"/>
        <w:tabs>
          <w:tab w:leader="none" w:pos="7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Accountants</w:t>
      </w:r>
      <w:r>
        <w:rPr>
          <w:rFonts w:ascii="Times New Roman" w:cs="Times New Roman" w:eastAsia="Times New Roman" w:hAnsi="Times New Roman"/>
          <w:sz w:val="18"/>
          <w:szCs w:val="18"/>
          <w:color w:val="auto"/>
        </w:rPr>
        <w:t>. The Company’s accounting firm is KPMG LLP. To the knowledge and belief of the Company, such accounting firm (i) is a registered public accounting firm as required by the Exchange Act and (ii) shall express its opinion with respect to the financial statements to be included in the Company’s Annual Report on Form 10-K for the fiscal year ending January 30, 2021.</w:t>
      </w:r>
    </w:p>
    <w:p>
      <w:pPr>
        <w:spacing w:after="0" w:line="67" w:lineRule="exact"/>
        <w:rPr>
          <w:rFonts w:ascii="Times New Roman" w:cs="Times New Roman" w:eastAsia="Times New Roman" w:hAnsi="Times New Roman"/>
          <w:sz w:val="18"/>
          <w:szCs w:val="18"/>
          <w:color w:val="auto"/>
        </w:rPr>
      </w:pPr>
    </w:p>
    <w:p>
      <w:pPr>
        <w:ind w:firstLine="419"/>
        <w:spacing w:after="0" w:line="254" w:lineRule="auto"/>
        <w:tabs>
          <w:tab w:leader="none" w:pos="7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the Shares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83" w:lineRule="exact"/>
        <w:rPr>
          <w:rFonts w:ascii="Times New Roman" w:cs="Times New Roman" w:eastAsia="Times New Roman" w:hAnsi="Times New Roman"/>
          <w:sz w:val="18"/>
          <w:szCs w:val="18"/>
          <w:color w:val="auto"/>
        </w:rPr>
      </w:pPr>
    </w:p>
    <w:p>
      <w:pPr>
        <w:ind w:firstLine="419"/>
        <w:spacing w:after="0" w:line="253" w:lineRule="auto"/>
        <w:tabs>
          <w:tab w:leader="none" w:pos="7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4.7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79" w:lineRule="exact"/>
        <w:rPr>
          <w:rFonts w:ascii="Times New Roman" w:cs="Times New Roman" w:eastAsia="Times New Roman" w:hAnsi="Times New Roman"/>
          <w:sz w:val="18"/>
          <w:szCs w:val="18"/>
          <w:color w:val="auto"/>
        </w:rPr>
      </w:pPr>
    </w:p>
    <w:p>
      <w:pPr>
        <w:ind w:right="40" w:firstLine="419"/>
        <w:spacing w:after="0" w:line="256" w:lineRule="auto"/>
        <w:tabs>
          <w:tab w:leader="none" w:pos="7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Company’s placement agent in connection with the placement of the Shares and, in the case of clause (iii), compensation paid with respect to prior completed offerings of the Company’s securities.</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00"/>
          </w:cols>
          <w:pgMar w:left="880" w:top="270" w:right="519" w:bottom="1440" w:gutter="0" w:footer="0" w:header="0"/>
        </w:sectPr>
      </w:pPr>
    </w:p>
    <w:bookmarkStart w:id="22" w:name="page23"/>
    <w:bookmarkEnd w:id="22"/>
    <w:p>
      <w:pPr>
        <w:ind w:left="440" w:right="180" w:firstLine="419"/>
        <w:spacing w:after="0" w:line="256" w:lineRule="auto"/>
        <w:tabs>
          <w:tab w:leader="none" w:pos="12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79" w:lineRule="exact"/>
        <w:rPr>
          <w:rFonts w:ascii="Times New Roman" w:cs="Times New Roman" w:eastAsia="Times New Roman" w:hAnsi="Times New Roman"/>
          <w:sz w:val="18"/>
          <w:szCs w:val="18"/>
          <w:color w:val="auto"/>
        </w:rPr>
      </w:pPr>
    </w:p>
    <w:p>
      <w:pPr>
        <w:ind w:left="440" w:right="320" w:firstLine="419"/>
        <w:spacing w:after="0" w:line="266" w:lineRule="auto"/>
        <w:tabs>
          <w:tab w:leader="none" w:pos="11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79"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7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23" w:name="page24"/>
    <w:bookmarkEnd w:id="23"/>
    <w:p>
      <w:pPr>
        <w:ind w:firstLine="419"/>
        <w:spacing w:after="0" w:line="253"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71" w:lineRule="exact"/>
        <w:rPr>
          <w:rFonts w:ascii="Times New Roman" w:cs="Times New Roman" w:eastAsia="Times New Roman" w:hAnsi="Times New Roman"/>
          <w:sz w:val="18"/>
          <w:szCs w:val="18"/>
          <w:color w:val="auto"/>
        </w:rPr>
      </w:pPr>
    </w:p>
    <w:p>
      <w:pPr>
        <w:jc w:val="both"/>
        <w:ind w:right="180" w:firstLine="419"/>
        <w:spacing w:after="0" w:line="266"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Shares, it was, and as of the date hereof it is, and as of the Closing Date it will be, either: (i) an “accredited investor” as defined in Rule 501(a)(1), (a)(2), (a)(3), (a)(7) or (a)(8) under the Securities Act or (ii) a “qualified institutional buyer” as defined in Rule 144A(a) under the Securities Act.</w:t>
      </w:r>
    </w:p>
    <w:p>
      <w:pPr>
        <w:spacing w:after="0" w:line="67" w:lineRule="exact"/>
        <w:rPr>
          <w:rFonts w:ascii="Times New Roman" w:cs="Times New Roman" w:eastAsia="Times New Roman" w:hAnsi="Times New Roman"/>
          <w:sz w:val="18"/>
          <w:szCs w:val="18"/>
          <w:color w:val="auto"/>
        </w:rPr>
      </w:pPr>
    </w:p>
    <w:p>
      <w:pPr>
        <w:jc w:val="both"/>
        <w:ind w:right="60" w:firstLine="419"/>
        <w:spacing w:after="0" w:line="261" w:lineRule="auto"/>
        <w:tabs>
          <w:tab w:leader="none" w:pos="6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71" w:lineRule="exact"/>
        <w:rPr>
          <w:rFonts w:ascii="Times New Roman" w:cs="Times New Roman" w:eastAsia="Times New Roman" w:hAnsi="Times New Roman"/>
          <w:sz w:val="18"/>
          <w:szCs w:val="18"/>
          <w:color w:val="auto"/>
        </w:rPr>
      </w:pPr>
    </w:p>
    <w:p>
      <w:pPr>
        <w:ind w:right="80" w:firstLine="419"/>
        <w:spacing w:after="0" w:line="256" w:lineRule="auto"/>
        <w:tabs>
          <w:tab w:leader="none" w:pos="66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4" w:name="page25"/>
    <w:bookmarkEnd w:id="24"/>
    <w:p>
      <w:pPr>
        <w:ind w:left="44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Shares nor is such information or advice necessary or desired. Neither the Placement Agent nor any Affiliate has made or makes any representation as to the Company or the quality of the Shares and the Placement Agent and any Affiliate may have acquired non-public information with respect to the Company which such Purchaser agrees need not be provided to it. In connection with the issuance of the Shares to such Purchaser, neither the Placement Agent nor any of its Affiliates has acted as a financial advisor or fiduciary to such Purchaser.</w:t>
      </w:r>
    </w:p>
    <w:p>
      <w:pPr>
        <w:spacing w:after="0" w:line="79" w:lineRule="exact"/>
        <w:rPr>
          <w:sz w:val="20"/>
          <w:szCs w:val="20"/>
          <w:color w:val="auto"/>
        </w:rPr>
      </w:pPr>
    </w:p>
    <w:p>
      <w:pPr>
        <w:ind w:left="440" w:firstLine="419"/>
        <w:spacing w:after="0" w:line="253" w:lineRule="auto"/>
        <w:tabs>
          <w:tab w:leader="none" w:pos="108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79"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understands that no United States federal or state agency, or similar agency of any other country, has reviewed, approved, passed upon, or made any recommendation or endorsement of the Company or the offering of the Shares.</w:t>
      </w:r>
    </w:p>
    <w:p>
      <w:pPr>
        <w:spacing w:after="0" w:line="53"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has no present intent to effect a “change of control” of the Company as such term is understood under the rules promulgated pursuant to Section 13(d) of the Exchange Act.</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unless such information has previously been disclosed in accordance with this Section 4.2.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84"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66" w:right="439" w:bottom="1440" w:gutter="0" w:footer="0" w:header="0"/>
        </w:sectPr>
      </w:pPr>
    </w:p>
    <w:bookmarkStart w:id="26" w:name="page27"/>
    <w:bookmarkEnd w:id="26"/>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4.2,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7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4.6,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4.6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8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the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Closing Date, neither the Company nor any Subsidiary shall issue, enter into any agreement to issue or announce the issuance or proposed issuance of any shares of Common Stock or Common Stock Equivalents, which shall include the filing of any new registration statement other than the filing a registration statement, or amendment to a registration statement, on Form S-4 or Form S-8. Notwithstanding the foregoing, this Section 4.7 shall not apply in respect of an Exempt Issuance.</w:t>
      </w:r>
    </w:p>
    <w:p>
      <w:pPr>
        <w:spacing w:after="0" w:line="7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4.9 </w:t>
      </w:r>
      <w:r>
        <w:rPr>
          <w:rFonts w:ascii="Times New Roman" w:cs="Times New Roman" w:eastAsia="Times New Roman" w:hAnsi="Times New Roman"/>
          <w:sz w:val="17"/>
          <w:szCs w:val="17"/>
          <w:u w:val="single" w:color="auto"/>
          <w:color w:val="auto"/>
        </w:rPr>
        <w:t>Certain Transactions and Confidentiality</w:t>
      </w:r>
      <w:r>
        <w:rPr>
          <w:rFonts w:ascii="Times New Roman" w:cs="Times New Roman" w:eastAsia="Times New Roman" w:hAnsi="Times New Roman"/>
          <w:sz w:val="17"/>
          <w:szCs w:val="17"/>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4.2. Each Purchaser, severally and not jointly with the other Purchasers, covenants that until such time as the transactions contemplated by this Agreement are publicly disclosed by the Company pursuant to the initial press release as described in Section 4.2,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4.2,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4.2 and (iii) no Purchaser shall have any duty of confidentiality or duty not to trade in the securities of the Company to the Company or its Subsidiaries after the issuance of the initial press release as described in Section 4.2.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6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Furnishing of Information</w:t>
      </w:r>
      <w:r>
        <w:rPr>
          <w:rFonts w:ascii="Times New Roman" w:cs="Times New Roman" w:eastAsia="Times New Roman" w:hAnsi="Times New Roman"/>
          <w:sz w:val="18"/>
          <w:szCs w:val="18"/>
          <w:color w:val="auto"/>
        </w:rPr>
        <w:t>. Until the earliest of the time that no Purchaser owns Shares, the Company covenants to timely file (or obtain extensions in respect thereof and file within the applicable grace period) all reports required to be filed by the Company after the date hereof pursuant to the Exchange Act.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29" w:name="page30"/>
    <w:bookmarkEnd w:id="29"/>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7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w:t>
      </w:r>
    </w:p>
    <w:p>
      <w:pPr>
        <w:spacing w:after="0" w:line="3" w:lineRule="exact"/>
        <w:rPr>
          <w:sz w:val="20"/>
          <w:szCs w:val="20"/>
          <w:color w:val="auto"/>
        </w:rPr>
      </w:pPr>
    </w:p>
    <w:p>
      <w:pPr>
        <w:ind w:left="4" w:right="40" w:hanging="4"/>
        <w:spacing w:after="0" w:line="25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75% in interest of the Shares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spacing w:after="0" w:line="86"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30" w:name="page31"/>
    <w:bookmarkEnd w:id="30"/>
    <w:p>
      <w:pPr>
        <w:ind w:right="5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w:t>
      </w:r>
    </w:p>
    <w:p>
      <w:pPr>
        <w:ind w:right="120"/>
        <w:spacing w:after="0" w:line="277" w:lineRule="auto"/>
        <w:rPr>
          <w:sz w:val="20"/>
          <w:szCs w:val="20"/>
          <w:color w:val="auto"/>
        </w:rPr>
      </w:pPr>
      <w:r>
        <w:rPr>
          <w:rFonts w:ascii="Times New Roman" w:cs="Times New Roman" w:eastAsia="Times New Roman" w:hAnsi="Times New Roman"/>
          <w:sz w:val="17"/>
          <w:szCs w:val="17"/>
          <w:color w:val="auto"/>
        </w:rPr>
        <w:t>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6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4.6 and this Section 5.8.</w:t>
      </w:r>
    </w:p>
    <w:p>
      <w:pPr>
        <w:spacing w:after="0" w:line="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4.6,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31" w:name="page32"/>
    <w:bookmarkEnd w:id="31"/>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7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75"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7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Dorsey. Dorsey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70" w:right="439" w:bottom="1440" w:gutter="0" w:footer="0" w:header="0"/>
        </w:sectPr>
      </w:pPr>
    </w:p>
    <w:bookmarkStart w:id="32" w:name="page33"/>
    <w:bookmarkEnd w:id="32"/>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5.16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7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54"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5.19 </w:t>
      </w:r>
      <w:r>
        <w:rPr>
          <w:rFonts w:ascii="Times New Roman" w:cs="Times New Roman" w:eastAsia="Times New Roman" w:hAnsi="Times New Roman"/>
          <w:sz w:val="17"/>
          <w:szCs w:val="17"/>
          <w:b w:val="1"/>
          <w:bCs w:val="1"/>
          <w:u w:val="single" w:color="auto"/>
          <w:color w:val="auto"/>
        </w:rPr>
        <w:t>WAIVER OF JURY TRIAL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IN ANY ACTION, SUIT, OR PROCEEDING IN ANY JURISDICTION BROUGHT BY ANY PARTY</w:t>
      </w:r>
    </w:p>
    <w:p>
      <w:pPr>
        <w:spacing w:after="0" w:line="43"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70" w:right="519" w:bottom="1440" w:gutter="0" w:footer="0" w:header="0"/>
        </w:sectPr>
      </w:pPr>
    </w:p>
    <w:bookmarkStart w:id="33" w:name="page34"/>
    <w:bookmarkEnd w:id="3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Stock Purchase Agreement to be duly executed by their respective authorized signatories as of the date first indicated above.</w:t>
      </w:r>
    </w:p>
    <w:p>
      <w:pPr>
        <w:sectPr>
          <w:pgSz w:w="11900" w:h="16838" w:orient="portrait"/>
          <w:cols w:equalWidth="0" w:num="1">
            <w:col w:w="10520"/>
          </w:cols>
          <w:pgMar w:left="440" w:top="270" w:right="9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DESTINATION XL GROUP,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17145</wp:posOffset>
            </wp:positionV>
            <wp:extent cx="16027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 Harvey S. Kanter</w:t>
      </w:r>
    </w:p>
    <w:p>
      <w:pPr>
        <w:spacing w:after="0" w:line="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u w:val="single" w:color="auto"/>
          <w:color w:val="auto"/>
        </w:rPr>
        <w:t>Address for Notice:</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8"/>
          <w:szCs w:val="18"/>
          <w:color w:val="auto"/>
        </w:rPr>
        <w:t>Attn: Robert S. Molloy, Chief Administrative Officer</w:t>
      </w:r>
    </w:p>
    <w:p>
      <w:pPr>
        <w:spacing w:after="0" w:line="9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E-Mail: rmolloy@dxlg.com</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9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One International Place, Suite 2000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Attn: Elizabeth W. Fraser, Esq.</w:t>
      </w:r>
    </w:p>
    <w:p>
      <w:pPr>
        <w:spacing w:after="0" w:line="9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E-mail: frasere@gtlaw.com</w:t>
      </w:r>
    </w:p>
    <w:p>
      <w:pPr>
        <w:spacing w:after="0" w:line="200" w:lineRule="exact"/>
        <w:rPr>
          <w:sz w:val="20"/>
          <w:szCs w:val="20"/>
          <w:color w:val="auto"/>
        </w:rPr>
      </w:pPr>
    </w:p>
    <w:p>
      <w:pPr>
        <w:spacing w:after="0" w:line="201"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9" w:lineRule="exact"/>
        <w:rPr>
          <w:sz w:val="20"/>
          <w:szCs w:val="20"/>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2">
            <w:col w:w="2680" w:space="560"/>
            <w:col w:w="7280"/>
          </w:cols>
          <w:pgMar w:left="440" w:top="270" w:right="939" w:bottom="1440" w:gutter="0" w:footer="0" w:header="0"/>
          <w:type w:val="continuous"/>
        </w:sectPr>
      </w:pPr>
    </w:p>
    <w:bookmarkStart w:id="34" w:name="page35"/>
    <w:bookmarkEnd w:id="34"/>
    <w:p>
      <w:pPr>
        <w:jc w:val="center"/>
        <w:ind w:right="-5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[PURCHASER SIGNATURE PAGES TO STOCK PURCHASE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Stock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933450</wp:posOffset>
            </wp:positionH>
            <wp:positionV relativeFrom="paragraph">
              <wp:posOffset>-7620</wp:posOffset>
            </wp:positionV>
            <wp:extent cx="11423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18415</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-7620</wp:posOffset>
            </wp:positionV>
            <wp:extent cx="457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-7620</wp:posOffset>
            </wp:positionV>
            <wp:extent cx="457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-7620</wp:posOffset>
            </wp:positionV>
            <wp:extent cx="457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-7620</wp:posOffset>
            </wp:positionV>
            <wp:extent cx="457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-7620</wp:posOffset>
            </wp:positionV>
            <wp:extent cx="1142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Shares to Purchaser (if not same as address for notice): Settlement DVP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-7620</wp:posOffset>
            </wp:positionV>
            <wp:extent cx="4572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-7620</wp:posOffset>
            </wp:positionV>
            <wp:extent cx="457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-7620</wp:posOffset>
            </wp:positionV>
            <wp:extent cx="457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[SIGNATURE PAGES CONTINUE]</w:t>
      </w:r>
    </w:p>
    <w:p>
      <w:pPr>
        <w:sectPr>
          <w:pgSz w:w="11900" w:h="16838" w:orient="portrait"/>
          <w:cols w:equalWidth="0" w:num="1">
            <w:col w:w="10440"/>
          </w:cols>
          <w:pgMar w:left="440" w:top="270" w:right="1019" w:bottom="1440" w:gutter="0" w:footer="0" w:header="0"/>
        </w:sectPr>
      </w:pPr>
    </w:p>
    <w:bookmarkStart w:id="35" w:name="page36"/>
    <w:bookmarkEnd w:id="35"/>
    <w:p>
      <w:pPr>
        <w:ind w:left="1008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5,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 Anton Boulevard,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Introduction</w:t>
      </w:r>
      <w:r>
        <w:rPr>
          <w:rFonts w:ascii="Times New Roman" w:cs="Times New Roman" w:eastAsia="Times New Roman" w:hAnsi="Times New Roman"/>
          <w:sz w:val="18"/>
          <w:szCs w:val="18"/>
          <w:color w:val="auto"/>
        </w:rPr>
        <w:t>. Subject to the terms and conditions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Destination XL Group,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agrees to sell up to an aggregate of $5,000,000 of registered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$0.01 par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directly to various investors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through D.A. Davidson &amp;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as placement agent. The documents executed and delivered by the Company and the Investors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(as defined below), including, without limitation, a stock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be collectively referred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purchase price to the Investors for each Share is $0.45. The Placement Agent may retain other brokers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dealers to act as sub-agents or selected-dealers on its behalf in connection with the Offering.</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20" w:firstLine="419"/>
        <w:spacing w:after="0" w:line="252" w:lineRule="auto"/>
        <w:tabs>
          <w:tab w:leader="none" w:pos="11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placement agent in connection with the offering and sale by the Company of the Shares pursuant to the Company’s registration statement on Form S-3 (File No. 333-238929)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terms of such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Investors. The Placement Agent will act on a reasonable best efforts basis and the Company agrees and acknowledges that there is no guarantee of the successful placement of the Shares, or any portion thereof, in the prospective Offering. Under no circumstances will the Placement Agent or any of its “Affiliates” (as defined below) be obligated to underwrite or purchase any of the Shares for its own account or otherwise provide any financing. The Placement Agent shall act solely as the Company’s agent and not as principal. The Placement Agent shall have no authority to bind the Company with respect to any prospective offer to purchase Shares and the Company shall have the sole right to accept offers to purchase Shares and may reject any such offer, in whole or in part. Subject to the terms and conditions hereof, payment of the purchase price for, and delivery of, the Shares shall be made at one or more closings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each Closing occurs,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shall occur through the facilities of The Depository Trust Company’s Deposit and Withdrawal at Custodian (DWAC) service and the Company’s transfer agent. As compensation for services rendered, on each Closing Date, the Company shall pay to the Placement Agent a cash fee equal to 7% of the gross proceeds received by the Company from the sale of the Shares at the closing of the Offering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6" w:name="page37"/>
    <w:bookmarkEnd w:id="36"/>
    <w:p>
      <w:pPr>
        <w:ind w:left="440" w:firstLine="419"/>
        <w:spacing w:after="0" w:line="270" w:lineRule="auto"/>
        <w:tabs>
          <w:tab w:leader="none" w:pos="111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of the Placement Agent’s exclusive engagement will be until the completion of the Offering (the “</w:t>
      </w:r>
      <w:r>
        <w:rPr>
          <w:rFonts w:ascii="Times New Roman" w:cs="Times New Roman" w:eastAsia="Times New Roman" w:hAnsi="Times New Roman"/>
          <w:sz w:val="17"/>
          <w:szCs w:val="17"/>
          <w:u w:val="single" w:color="auto"/>
          <w:color w:val="auto"/>
        </w:rPr>
        <w:t>Exclusive Term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 party hereto may terminate the engagement with respect to itself at any time upon 10 days written notice to the other parties.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Section 1 hereof and which are permitted to be reimbursed under FINRA Rule 5110(f)(2)(D)(i),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w:t>
      </w:r>
    </w:p>
    <w:p>
      <w:pPr>
        <w:spacing w:after="0" w:line="68" w:lineRule="exact"/>
        <w:rPr>
          <w:rFonts w:ascii="Times New Roman" w:cs="Times New Roman" w:eastAsia="Times New Roman" w:hAnsi="Times New Roman"/>
          <w:sz w:val="17"/>
          <w:szCs w:val="17"/>
          <w:color w:val="auto"/>
        </w:rPr>
      </w:pPr>
    </w:p>
    <w:p>
      <w:pPr>
        <w:ind w:left="440" w:hanging="4"/>
        <w:spacing w:after="0" w:line="312" w:lineRule="auto"/>
        <w:tabs>
          <w:tab w:leader="none" w:pos="70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warrants and covenants to the 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as of the date hereof, and as of each Closing Date, as follows:</w:t>
      </w:r>
    </w:p>
    <w:p>
      <w:pPr>
        <w:spacing w:after="0" w:line="51" w:lineRule="exact"/>
        <w:rPr>
          <w:sz w:val="20"/>
          <w:szCs w:val="20"/>
          <w:color w:val="auto"/>
        </w:rPr>
      </w:pPr>
    </w:p>
    <w:p>
      <w:pPr>
        <w:ind w:left="440" w:firstLine="419"/>
        <w:spacing w:after="0" w:line="252" w:lineRule="auto"/>
        <w:tabs>
          <w:tab w:leader="none" w:pos="11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 Filings</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 Registration Statement (as defined below) under the Securities Act, which was declared effective on June 16, 2020 for the registration of the Shares under the Securities Act. Following the determination of pricing among the Company and the prospective Investors introduced to the Company by Placement Agent, the Company will file with the Commission pursuant to Rules 430B and 424(b) under the Securities Act, and the rules and regulations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of the Commission promulgated thereunder, a final prospectus supplement relating to the placement of the Shares, their respective pricings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is hereinafter called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at the time of effectiveness is hereinafter called the “</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and the prospectus supplement to the Base Prospectus that describes placement of the Shares, filed with the Commission pursuant to Rule 424(b), is hereinafter called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The Registration Statement at the time it originally became effective is hereinafter called the “</w:t>
      </w:r>
      <w:r>
        <w:rPr>
          <w:rFonts w:ascii="Times New Roman" w:cs="Times New Roman" w:eastAsia="Times New Roman" w:hAnsi="Times New Roman"/>
          <w:sz w:val="18"/>
          <w:szCs w:val="18"/>
          <w:u w:val="single" w:color="auto"/>
          <w:color w:val="auto"/>
        </w:rPr>
        <w:t>Original Registration Statement</w:t>
      </w:r>
      <w:r>
        <w:rPr>
          <w:rFonts w:ascii="Times New Roman" w:cs="Times New Roman" w:eastAsia="Times New Roman" w:hAnsi="Times New Roman"/>
          <w:sz w:val="18"/>
          <w:szCs w:val="18"/>
          <w:color w:val="auto"/>
        </w:rPr>
        <w:t>.” Any reference in this Agreement to the Registration Statement, the Original Registration Statement, the Base Prospectus, or the Prospectus Supplement shall be deemed to refer to and include the documents incorporated by reference therein (the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if any, which were or are filed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at any given time, as the case may be; and any reference in this Agreement to the terms “amend,” “amendment” or “supplement” with respect to the Registration Statement, the Original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7" w:name="page38"/>
    <w:bookmarkEnd w:id="37"/>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Prospectus or the Prospectus Supplement, as the case may be. As used in this paragraph and elsewhere in this Agreement, “</w:t>
      </w:r>
      <w:r>
        <w:rPr>
          <w:rFonts w:ascii="Times New Roman" w:cs="Times New Roman" w:eastAsia="Times New Roman" w:hAnsi="Times New Roman"/>
          <w:sz w:val="18"/>
          <w:szCs w:val="18"/>
          <w:u w:val="single" w:color="auto"/>
          <w:color w:val="auto"/>
        </w:rPr>
        <w:t>Time of Sale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Package</w:t>
      </w:r>
      <w:r>
        <w:rPr>
          <w:rFonts w:ascii="Times New Roman" w:cs="Times New Roman" w:eastAsia="Times New Roman" w:hAnsi="Times New Roman"/>
          <w:sz w:val="18"/>
          <w:szCs w:val="18"/>
          <w:color w:val="auto"/>
        </w:rPr>
        <w:t xml:space="preserve"> ” means the Base Prospectus, any preliminary prospectus supplement, the Prospectus Supplement, the Purchase Agreement between the Company and the Investors, and any issuer free writing prospectus as defined in Rule 433 of the Act (each, an “</w:t>
      </w:r>
      <w:r>
        <w:rPr>
          <w:rFonts w:ascii="Times New Roman" w:cs="Times New Roman" w:eastAsia="Times New Roman" w:hAnsi="Times New Roman"/>
          <w:sz w:val="18"/>
          <w:szCs w:val="18"/>
          <w:u w:val="single" w:color="auto"/>
          <w:color w:val="auto"/>
        </w:rPr>
        <w:t>Issuer 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8"/>
          <w:szCs w:val="18"/>
          <w:u w:val="single" w:color="auto"/>
          <w:color w:val="auto"/>
        </w:rPr>
        <w:t>any Prospectus</w:t>
      </w:r>
      <w:r>
        <w:rPr>
          <w:rFonts w:ascii="Times New Roman" w:cs="Times New Roman" w:eastAsia="Times New Roman" w:hAnsi="Times New Roman"/>
          <w:sz w:val="18"/>
          <w:szCs w:val="18"/>
          <w:color w:val="auto"/>
        </w:rPr>
        <w:t>” shall mean, as the context requires, the Base Prospectus, the Prospectus Supplement, and any supplement to either thereof. The Company has not received any notice that the Commission has issued or intends to issue a stop order suspending the effectiveness of the Registration Statement or the use of the Base Prospectus or any prospectus supplement or intends to commence a proceeding for any such purpose.</w:t>
      </w:r>
    </w:p>
    <w:p>
      <w:pPr>
        <w:spacing w:after="0" w:line="84" w:lineRule="exact"/>
        <w:rPr>
          <w:sz w:val="20"/>
          <w:szCs w:val="20"/>
          <w:color w:val="auto"/>
        </w:rPr>
      </w:pPr>
    </w:p>
    <w:p>
      <w:pPr>
        <w:ind w:firstLine="419"/>
        <w:spacing w:after="0" w:line="252"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The Original Registration Statement, as amended,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contain any untrue statement of a material fact or omit to state a material fact required to be stated therein or necessary to make the statements therein not misleading. The Base Prospectus and the Prospectus Supplement, each as of its respective date, comply or will comply in all material respects with the Securities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light of the circumstances under which they were made, not misleading. The Incorporated Documents, when they were filed with the Commission, conformed in all material respects to the requirements of the Exchange Act and the applicable Rules and Regulations promulgated thereunder,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there are no documents required to be filed with the Commission in connection with the transaction contemplated hereby that (x) have not been filed as required pursuant to the Securities Act or (y) will not be filed within the requisite time period. Except for this Agreement, there are no contracts or other documents required to be described in the Base Prospectus or Prospectus Supplement, or to be filed as exhibits or schedules to the Registration Statement, which have not been described or filed as required.</w:t>
      </w:r>
    </w:p>
    <w:p>
      <w:pPr>
        <w:spacing w:after="0" w:line="83" w:lineRule="exact"/>
        <w:rPr>
          <w:rFonts w:ascii="Times New Roman" w:cs="Times New Roman" w:eastAsia="Times New Roman" w:hAnsi="Times New Roman"/>
          <w:sz w:val="18"/>
          <w:szCs w:val="18"/>
          <w:color w:val="auto"/>
        </w:rPr>
      </w:pPr>
    </w:p>
    <w:p>
      <w:pPr>
        <w:jc w:val="both"/>
        <w:ind w:right="240" w:firstLine="419"/>
        <w:spacing w:after="0" w:line="312" w:lineRule="auto"/>
        <w:tabs>
          <w:tab w:leader="none" w:pos="667"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Materials</w:t>
      </w:r>
      <w:r>
        <w:rPr>
          <w:rFonts w:ascii="Times New Roman" w:cs="Times New Roman" w:eastAsia="Times New Roman" w:hAnsi="Times New Roman"/>
          <w:sz w:val="17"/>
          <w:szCs w:val="17"/>
          <w:color w:val="auto"/>
        </w:rPr>
        <w:t>. Neither the Company nor any of its directors and officers has distributed and none of them will distribute, prior to each Closing Date, any offering material in connection with the offering and sale of the Shares other than the Time of Sale Disclosure Package.</w:t>
      </w:r>
    </w:p>
    <w:p>
      <w:pPr>
        <w:spacing w:after="0" w:line="31" w:lineRule="exact"/>
        <w:rPr>
          <w:rFonts w:ascii="Times New Roman" w:cs="Times New Roman" w:eastAsia="Times New Roman" w:hAnsi="Times New Roman"/>
          <w:sz w:val="17"/>
          <w:szCs w:val="17"/>
          <w:color w:val="auto"/>
        </w:rPr>
      </w:pPr>
    </w:p>
    <w:p>
      <w:pPr>
        <w:ind w:right="180" w:firstLine="419"/>
        <w:spacing w:after="0" w:line="258" w:lineRule="auto"/>
        <w:tabs>
          <w:tab w:leader="none" w:pos="6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the Time of Sale Disclosure Package and otherwise to carry out its obligations hereunder and thereunder. The execution and delivery of each of this Agreement by the Company and the consummation by it of the transactions contemplated hereby and thereby and under the Base Prospectus have been duly authorized by all necessary action on the part of the Company and no further action is required by the Company, the Company’s Board of Directors (the “</w:t>
      </w:r>
      <w:r>
        <w:rPr>
          <w:rFonts w:ascii="Times New Roman" w:cs="Times New Roman" w:eastAsia="Times New Roman" w:hAnsi="Times New Roman"/>
          <w:sz w:val="18"/>
          <w:szCs w:val="18"/>
          <w:u w:val="single" w:color="auto"/>
          <w:color w:val="auto"/>
        </w:rPr>
        <w:t>Board of</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38" w:name="page39"/>
    <w:bookmarkEnd w:id="38"/>
    <w:p>
      <w:pPr>
        <w:ind w:right="20"/>
        <w:spacing w:after="0" w:line="25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Directors</w:t>
      </w:r>
      <w:r>
        <w:rPr>
          <w:rFonts w:ascii="Times New Roman" w:cs="Times New Roman" w:eastAsia="Times New Roman" w:hAnsi="Times New Roman"/>
          <w:sz w:val="18"/>
          <w:szCs w:val="18"/>
          <w:color w:val="auto"/>
        </w:rPr>
        <w:t>”) or the Company’s stockholders in connection therewith other than in connection with the Required Approvals (as defined below). This Agreement has been duly executed by the Company and, when delivered in accordance with the terms hereof, assuming due authorization, execution and delivery by the Placement Agent, will constitute the valid and binding obligation of the Company enforceable against the Company in accordance with its terms, except (i) as limited by general equitable principles and applicable bankruptcy, insolvency, fraudulent conveyance,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81" w:lineRule="exact"/>
        <w:rPr>
          <w:sz w:val="20"/>
          <w:szCs w:val="20"/>
          <w:color w:val="auto"/>
        </w:rPr>
      </w:pPr>
    </w:p>
    <w:p>
      <w:pPr>
        <w:ind w:firstLine="419"/>
        <w:spacing w:after="0" w:line="253" w:lineRule="auto"/>
        <w:tabs>
          <w:tab w:leader="none" w:pos="6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transactions contemplated pursuant to the Time of Sale Disclosure Package, the issuance and sale of the Shares and the consummation by it of the transactions contemplated hereby and thereby to which it is a party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(as defined in the Purchase Agreement)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 (as defined in the Purchase Agreement).</w:t>
      </w:r>
    </w:p>
    <w:p>
      <w:pPr>
        <w:spacing w:after="0" w:line="79" w:lineRule="exact"/>
        <w:rPr>
          <w:rFonts w:ascii="Times New Roman" w:cs="Times New Roman" w:eastAsia="Times New Roman" w:hAnsi="Times New Roman"/>
          <w:sz w:val="18"/>
          <w:szCs w:val="18"/>
          <w:color w:val="auto"/>
        </w:rPr>
      </w:pPr>
    </w:p>
    <w:p>
      <w:pPr>
        <w:ind w:right="200" w:firstLine="419"/>
        <w:spacing w:after="0" w:line="312" w:lineRule="auto"/>
        <w:tabs>
          <w:tab w:leader="none" w:pos="64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Certificates</w:t>
      </w:r>
      <w:r>
        <w:rPr>
          <w:rFonts w:ascii="Times New Roman" w:cs="Times New Roman" w:eastAsia="Times New Roman" w:hAnsi="Times New Roman"/>
          <w:sz w:val="17"/>
          <w:szCs w:val="17"/>
          <w:color w:val="auto"/>
        </w:rPr>
        <w:t>. Any certificate signed by an officer of the Company and delivered to the Placement Agent or to counsel for the Placement Agent shall be deemed to be a representation and warranty by the Company to the Placement Agent as to the matters set forth therein.</w:t>
      </w:r>
    </w:p>
    <w:p>
      <w:pPr>
        <w:spacing w:after="0" w:line="31" w:lineRule="exact"/>
        <w:rPr>
          <w:rFonts w:ascii="Times New Roman" w:cs="Times New Roman" w:eastAsia="Times New Roman" w:hAnsi="Times New Roman"/>
          <w:sz w:val="17"/>
          <w:szCs w:val="17"/>
          <w:color w:val="auto"/>
        </w:rPr>
      </w:pPr>
    </w:p>
    <w:p>
      <w:pPr>
        <w:ind w:right="820" w:firstLine="419"/>
        <w:spacing w:after="0" w:line="282"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Company acknowledges that the Placement Agent will rely upon the accuracy and truthfulness of the foregoing representations and warranties and hereby consents to such reliance.</w:t>
      </w:r>
    </w:p>
    <w:p>
      <w:pPr>
        <w:spacing w:after="0" w:line="53"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statements (within the meaning of Section 27A of the Securities Act and Section 21E of the Exchange Act) contained in the Time of Sale Disclosure Package has been made or reaffirmed without a reasonable basis or has been disclosed other than in good faith.</w:t>
      </w:r>
    </w:p>
    <w:p>
      <w:pPr>
        <w:spacing w:after="0" w:line="67" w:lineRule="exact"/>
        <w:rPr>
          <w:rFonts w:ascii="Times New Roman" w:cs="Times New Roman" w:eastAsia="Times New Roman" w:hAnsi="Times New Roman"/>
          <w:sz w:val="18"/>
          <w:szCs w:val="18"/>
          <w:color w:val="auto"/>
        </w:rPr>
      </w:pPr>
    </w:p>
    <w:p>
      <w:pPr>
        <w:ind w:right="100" w:firstLine="419"/>
        <w:spacing w:after="0" w:line="266" w:lineRule="auto"/>
        <w:tabs>
          <w:tab w:leader="none" w:pos="63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Any statistical, industry-related and market-related data included or incorporated by reference in the Time of Sale Disclosure Package, are based on or derived from sources that the Company reasonably and in good faith believes to be reliable and accurate, and such data agree with the sources from which they are derived.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39" w:name="page40"/>
    <w:bookmarkEnd w:id="39"/>
    <w:p>
      <w:pPr>
        <w:ind w:left="444" w:right="260" w:firstLine="419"/>
        <w:spacing w:after="0" w:line="282" w:lineRule="auto"/>
        <w:tabs>
          <w:tab w:leader="none" w:pos="10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FINRA Affiliations</w:t>
      </w:r>
      <w:r>
        <w:rPr>
          <w:rFonts w:ascii="Times New Roman" w:cs="Times New Roman" w:eastAsia="Times New Roman" w:hAnsi="Times New Roman"/>
          <w:sz w:val="18"/>
          <w:szCs w:val="18"/>
          <w:color w:val="auto"/>
        </w:rPr>
        <w:t>. There are no affiliations with any FINRA member firm that is participating in the Offering among the Company’s officers, directors or, to the knowledge of the Company, any five percent (5%) or greater stockholder of the Company.</w:t>
      </w:r>
    </w:p>
    <w:p>
      <w:pPr>
        <w:spacing w:after="0" w:line="53" w:lineRule="exact"/>
        <w:rPr>
          <w:rFonts w:ascii="Times New Roman" w:cs="Times New Roman" w:eastAsia="Times New Roman" w:hAnsi="Times New Roman"/>
          <w:sz w:val="18"/>
          <w:szCs w:val="18"/>
          <w:color w:val="auto"/>
        </w:rPr>
      </w:pPr>
    </w:p>
    <w:p>
      <w:pPr>
        <w:ind w:left="444" w:right="340" w:firstLine="419"/>
        <w:spacing w:after="0" w:line="266" w:lineRule="auto"/>
        <w:tabs>
          <w:tab w:leader="none" w:pos="11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Incorporated by Reference</w:t>
      </w:r>
      <w:r>
        <w:rPr>
          <w:rFonts w:ascii="Times New Roman" w:cs="Times New Roman" w:eastAsia="Times New Roman" w:hAnsi="Times New Roman"/>
          <w:sz w:val="18"/>
          <w:szCs w:val="18"/>
          <w:color w:val="auto"/>
        </w:rPr>
        <w:t>. Each of the representations and warranties (together with any related disclosure schedules thereto) made by the Company to the Investors in the Purchase Agreement is hereby incorporated herein by reference (as though fully restated herein) and is hereby made to, and in favor of, the Placement Agent.</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w:t>
      </w:r>
    </w:p>
    <w:p>
      <w:pPr>
        <w:spacing w:after="0" w:line="31" w:lineRule="exact"/>
        <w:rPr>
          <w:sz w:val="20"/>
          <w:szCs w:val="20"/>
          <w:color w:val="auto"/>
        </w:rPr>
      </w:pPr>
    </w:p>
    <w:p>
      <w:pPr>
        <w:ind w:left="4" w:hanging="4"/>
        <w:spacing w:after="0" w:line="253" w:lineRule="auto"/>
        <w:tabs>
          <w:tab w:leader="none" w:pos="2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registered as a broker/dealer under the Exchange Act, (iii) is licensed as a broker/dealer under the laws of the states applicable to the offers and sales of the Shares by such Placement Agent, (iv) is and will be a body corporate validly existing under the laws of its place of incorporation,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spacing w:after="0" w:line="183" w:lineRule="exact"/>
        <w:rPr>
          <w:sz w:val="20"/>
          <w:szCs w:val="20"/>
          <w:color w:val="auto"/>
        </w:rPr>
      </w:pPr>
    </w:p>
    <w:p>
      <w:pPr>
        <w:ind w:left="4"/>
        <w:spacing w:after="0" w:line="259" w:lineRule="auto"/>
        <w:rPr>
          <w:sz w:val="20"/>
          <w:szCs w:val="20"/>
          <w:color w:val="auto"/>
        </w:rPr>
      </w:pPr>
      <w:r>
        <w:rPr>
          <w:rFonts w:ascii="Times New Roman" w:cs="Times New Roman" w:eastAsia="Times New Roman" w:hAnsi="Times New Roman"/>
          <w:sz w:val="18"/>
          <w:szCs w:val="18"/>
          <w:b w:val="1"/>
          <w:bCs w:val="1"/>
          <w:color w:val="auto"/>
        </w:rPr>
        <w:t>Section 4. Delivery and Payment</w:t>
      </w:r>
      <w:r>
        <w:rPr>
          <w:rFonts w:ascii="Times New Roman" w:cs="Times New Roman" w:eastAsia="Times New Roman" w:hAnsi="Times New Roman"/>
          <w:sz w:val="18"/>
          <w:szCs w:val="18"/>
          <w:color w:val="auto"/>
        </w:rPr>
        <w:t>. Each Closing shall occur at the offices of Dorsey &amp; Whitney LLP, 111 South Main Street, Suite 2100, Salt Lake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City, Utah 84111 (“</w:t>
      </w:r>
      <w:r>
        <w:rPr>
          <w:rFonts w:ascii="Times New Roman" w:cs="Times New Roman" w:eastAsia="Times New Roman" w:hAnsi="Times New Roman"/>
          <w:sz w:val="18"/>
          <w:szCs w:val="18"/>
          <w:u w:val="single" w:color="auto"/>
          <w:color w:val="auto"/>
        </w:rPr>
        <w:t>Placement Agent Counsel</w:t>
      </w:r>
      <w:r>
        <w:rPr>
          <w:rFonts w:ascii="Times New Roman" w:cs="Times New Roman" w:eastAsia="Times New Roman" w:hAnsi="Times New Roman"/>
          <w:sz w:val="18"/>
          <w:szCs w:val="18"/>
          <w:color w:val="auto"/>
        </w:rPr>
        <w:t>”) (or at such other place as shall be agreed upon by the Placement Agent and the Company). Subject to the terms and conditions hereof, at each Closing payment of the purchase price for the Shares sold on such Closing Date shall be made by Federal Funds wire transfer, against delivery of such Shares, and such Shares shall be registered in such name or names and shall be in such denominations, as the Placement Agent may request at least one business day before the time of purchase (as defined below).</w:t>
      </w:r>
    </w:p>
    <w:p>
      <w:pPr>
        <w:spacing w:after="0" w:line="183"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Deliveries of the documents with respect to the purchase of the Shares, if any, shall be made at the offices of Placement Agent Counsel. All actions taken at a Closing shall be deemed to have occurred simultaneously.</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5.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121" w:lineRule="exact"/>
        <w:rPr>
          <w:sz w:val="20"/>
          <w:szCs w:val="20"/>
          <w:color w:val="auto"/>
        </w:rPr>
      </w:pPr>
    </w:p>
    <w:p>
      <w:pPr>
        <w:ind w:left="444" w:right="20" w:firstLine="419"/>
        <w:spacing w:after="0" w:line="268" w:lineRule="auto"/>
        <w:tabs>
          <w:tab w:leader="none" w:pos="1111"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Matters</w:t>
      </w:r>
      <w:r>
        <w:rPr>
          <w:rFonts w:ascii="Times New Roman" w:cs="Times New Roman" w:eastAsia="Times New Roman" w:hAnsi="Times New Roman"/>
          <w:sz w:val="17"/>
          <w:szCs w:val="17"/>
          <w:color w:val="auto"/>
        </w:rPr>
        <w:t>. The Company will advise the Placement Agent promptly after it receives notice thereof of the time when any amendment to the Registration Statement has been filed or becomes effective or any supplement to the Base Prospectus or the Prospectus Supplement has been filed and will furnish the Placement Agent with copies thereof. The Company will file promptly all reports and any definitive proxy or information statements required to be filed by the Company with the Commission pursuant to Section 13(a), 14 or 15(d) of the Exchange Act subsequent to the date of any Prospectus and for so long as the delivery of a prospectus is required in connection with the Offering. During the Prospectus Delivery Period (as defined below), the Company will advise the Placement Agent, promptly after it receives notice thereof</w:t>
      </w:r>
    </w:p>
    <w:p>
      <w:pPr>
        <w:spacing w:after="0" w:line="4" w:lineRule="exact"/>
        <w:rPr>
          <w:rFonts w:ascii="Times New Roman" w:cs="Times New Roman" w:eastAsia="Times New Roman" w:hAnsi="Times New Roman"/>
          <w:sz w:val="17"/>
          <w:szCs w:val="17"/>
          <w:color w:val="auto"/>
        </w:rPr>
      </w:pPr>
    </w:p>
    <w:p>
      <w:pPr>
        <w:ind w:left="444" w:right="20" w:hanging="4"/>
        <w:spacing w:after="0" w:line="252" w:lineRule="auto"/>
        <w:tabs>
          <w:tab w:leader="none" w:pos="6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Base Prospectus or the Prospectus Supplement or any prospectus supplement or any amendment or supplement thereto or any post-effective amendment to the Registration Statement, of the suspension of the qualification of the Shares for offering or sale in any jurisdiction, of the institution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40" w:name="page41"/>
    <w:bookmarkEnd w:id="4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threatened institution of any proceeding for any such purpose, or of any request by the Commission for the amending or supplementing of the Registration Statement or a Prospectus or for additional information. The Company shall use its reasonable best efforts to prevent the issuance of any such stop order or prevention or suspension of such use. If the Commission shall enter any such stop order or order or notice of prevention or suspension at any time, the Company will use its reasonable best efforts to obtain the lifting of such order at the earliest possible moment, or will file a new registration statement and use its reasonable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84" w:lineRule="exact"/>
        <w:rPr>
          <w:sz w:val="20"/>
          <w:szCs w:val="20"/>
          <w:color w:val="auto"/>
        </w:rPr>
      </w:pPr>
    </w:p>
    <w:p>
      <w:pPr>
        <w:ind w:right="20" w:firstLine="419"/>
        <w:spacing w:after="0" w:line="253"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will cooperate with the Placement Agent and the Investors in endeavoring to qualify the Shares for sale under the securities laws of such jurisdictions in the United States as the Placement Agent and the Investors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Shares. The Company will advise the Placement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best efforts to obtain the withdrawal thereof at the earliest possible moment.</w:t>
      </w:r>
    </w:p>
    <w:p>
      <w:pPr>
        <w:spacing w:after="0" w:line="83" w:lineRule="exact"/>
        <w:rPr>
          <w:rFonts w:ascii="Times New Roman" w:cs="Times New Roman" w:eastAsia="Times New Roman" w:hAnsi="Times New Roman"/>
          <w:sz w:val="18"/>
          <w:szCs w:val="18"/>
          <w:color w:val="auto"/>
        </w:rPr>
      </w:pPr>
    </w:p>
    <w:p>
      <w:pPr>
        <w:ind w:right="20" w:firstLine="419"/>
        <w:spacing w:after="0" w:line="252" w:lineRule="auto"/>
        <w:tabs>
          <w:tab w:leader="none" w:pos="6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a Prospectus and Other Matters</w:t>
      </w:r>
      <w:r>
        <w:rPr>
          <w:rFonts w:ascii="Times New Roman" w:cs="Times New Roman" w:eastAsia="Times New Roman" w:hAnsi="Times New Roman"/>
          <w:sz w:val="18"/>
          <w:szCs w:val="18"/>
          <w:color w:val="auto"/>
        </w:rPr>
        <w:t>. The Company will comply in all material respects with the Securities Act and the Exchange Act, and the rules and regulations of the Commission thereunder, so as to permit the completion of the distribution of the Shares as contemplated in this Agreement, the Incorporated Documents and any Prospectus. If during the period in which a prospectus is required by law to be delivered in connection with the distribution of Shares contemplated by the Incorporated Documents or any Prospectus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in connection with the Offering or supplementing the Incorporated Documents or any Prospectus in connection with the Offering, the Company will</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41" w:name="page42"/>
    <w:bookmarkEnd w:id="41"/>
    <w:p>
      <w:pPr>
        <w:ind w:right="10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furnish the Placement Agent with a copy of such proposed amendment or supplement and will not file any such amendment or supplement to which the Placement Agent reasonably objects within two business days;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file or furnish any document or report determined by the Company to be required to be filed or furnished pursuant to the Securities Act or the Exchange Act or the rules and regulations promulgated thereunder within the time period required for such filing regardless of such objection by the Placement Agent.</w:t>
      </w:r>
    </w:p>
    <w:p>
      <w:pPr>
        <w:spacing w:after="0" w:line="56" w:lineRule="exact"/>
        <w:rPr>
          <w:sz w:val="20"/>
          <w:szCs w:val="20"/>
          <w:color w:val="auto"/>
        </w:rPr>
      </w:pPr>
    </w:p>
    <w:p>
      <w:pPr>
        <w:ind w:right="200" w:firstLine="419"/>
        <w:spacing w:after="0" w:line="266"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a Prospectus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later of the last Closing Date of the Offering, as many copies of any Prospectus or prospectus supplement and any amendments and supplements thereto, as the Placement Agent may reasonably request.</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6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The Company covenants that it will not, unless it obtains the prior written consent of the Placement Agent, make any offer relating to the Shares that would constitute an issuer free writing prospectus (as defined in Rule 433 of the Securities Act) (“</w:t>
      </w:r>
      <w:r>
        <w:rPr>
          <w:rFonts w:ascii="Times New Roman" w:cs="Times New Roman" w:eastAsia="Times New Roman" w:hAnsi="Times New Roman"/>
          <w:sz w:val="18"/>
          <w:szCs w:val="18"/>
          <w:u w:val="single" w:color="auto"/>
          <w:color w:val="auto"/>
        </w:rPr>
        <w:t>Company Free Writing Prospectus</w:t>
      </w:r>
      <w:r>
        <w:rPr>
          <w:rFonts w:ascii="Times New Roman" w:cs="Times New Roman" w:eastAsia="Times New Roman" w:hAnsi="Times New Roman"/>
          <w:sz w:val="18"/>
          <w:szCs w:val="18"/>
          <w:color w:val="auto"/>
        </w:rPr>
        <w:t>”) or that would otherwise constitute a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of the Securities Act) required to be filed by the Company with the Commission or retained by the Company under Rule 433 of the Securities Act. In the event that the Placement Agent expressly consents in writing to any such free writing prospectus (a “</w:t>
      </w:r>
      <w:r>
        <w:rPr>
          <w:rFonts w:ascii="Times New Roman" w:cs="Times New Roman" w:eastAsia="Times New Roman" w:hAnsi="Times New Roman"/>
          <w:sz w:val="18"/>
          <w:szCs w:val="18"/>
          <w:u w:val="single" w:color="auto"/>
          <w:color w:val="auto"/>
        </w:rPr>
        <w:t>Permitted Free Writing Prospectus</w:t>
      </w:r>
      <w:r>
        <w:rPr>
          <w:rFonts w:ascii="Times New Roman" w:cs="Times New Roman" w:eastAsia="Times New Roman" w:hAnsi="Times New Roman"/>
          <w:sz w:val="18"/>
          <w:szCs w:val="18"/>
          <w:color w:val="auto"/>
        </w:rPr>
        <w:t>”), the Company covenants that it shall (i) treat each Permitted Free Writing Prospectus as an Company Free Writing Prospectus, and (ii) comply with the requirements of Rule 164 and 433 of the Securities Act applicable to such Permitted Free Writing Prospectus, including in respect of timely filing with the Commission, legending and record keeping.</w:t>
      </w:r>
    </w:p>
    <w:p>
      <w:pPr>
        <w:spacing w:after="0" w:line="8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will maintain, at its expense, a registrar and transfer agent for the Common Stock.</w:t>
      </w:r>
    </w:p>
    <w:p>
      <w:pPr>
        <w:spacing w:after="0" w:line="117"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As soon as practicable and in accordance with applicable requirements under the Securities Act, but in any event not later than 18 months after the last Closing Date, the Company will make generally available to its security holders and to the Placement Agent an earnings statement, covering a period of at least 12 consecutive months beginning after the last Closing Date, that satisfies the provisions of Section 11(a) and Rule 158 under the Securities Act.</w:t>
      </w:r>
    </w:p>
    <w:p>
      <w:pPr>
        <w:spacing w:after="0" w:line="71" w:lineRule="exact"/>
        <w:rPr>
          <w:rFonts w:ascii="Times New Roman" w:cs="Times New Roman" w:eastAsia="Times New Roman" w:hAnsi="Times New Roman"/>
          <w:sz w:val="18"/>
          <w:szCs w:val="18"/>
          <w:color w:val="auto"/>
        </w:rPr>
      </w:pPr>
    </w:p>
    <w:p>
      <w:pPr>
        <w:ind w:right="240" w:firstLine="419"/>
        <w:spacing w:after="0" w:line="266"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During the Prospectus Delivery Period, the Company will duly file, on a timely basis, with the Commission and the Trading Market (as defined in the Purchase Agreement) all reports and documents required to be filed under the Exchange Act within the time periods and in the manner required by the Exchange Act.</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115" w:lineRule="exact"/>
        <w:rPr>
          <w:rFonts w:ascii="Times New Roman" w:cs="Times New Roman" w:eastAsia="Times New Roman" w:hAnsi="Times New Roman"/>
          <w:sz w:val="18"/>
          <w:szCs w:val="18"/>
          <w:color w:val="auto"/>
        </w:rPr>
      </w:pPr>
    </w:p>
    <w:p>
      <w:pPr>
        <w:jc w:val="both"/>
        <w:ind w:right="660" w:firstLine="419"/>
        <w:spacing w:after="0" w:line="315" w:lineRule="auto"/>
        <w:tabs>
          <w:tab w:leader="none" w:pos="63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Manipulation of Price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28" w:lineRule="exact"/>
        <w:rPr>
          <w:rFonts w:ascii="Times New Roman" w:cs="Times New Roman" w:eastAsia="Times New Roman" w:hAnsi="Times New Roman"/>
          <w:sz w:val="17"/>
          <w:szCs w:val="17"/>
          <w:color w:val="auto"/>
        </w:rPr>
      </w:pPr>
    </w:p>
    <w:p>
      <w:pPr>
        <w:jc w:val="both"/>
        <w:ind w:right="180" w:firstLine="419"/>
        <w:spacing w:after="0" w:line="266"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42" w:name="page43"/>
    <w:bookmarkEnd w:id="42"/>
    <w:p>
      <w:pPr>
        <w:ind w:left="440" w:right="360" w:firstLine="419"/>
        <w:spacing w:after="0" w:line="282"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Announcement of Offering</w:t>
      </w:r>
      <w:r>
        <w:rPr>
          <w:rFonts w:ascii="Times New Roman" w:cs="Times New Roman" w:eastAsia="Times New Roman" w:hAnsi="Times New Roman"/>
          <w:sz w:val="18"/>
          <w:szCs w:val="18"/>
          <w:color w:val="auto"/>
        </w:rPr>
        <w:t>. The Company acknowledges and agrees that the Placement Agent may, subsequent to the Closing, make public its involvement with the Offering.</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The Company confirms that it will rely on its own counsel and accountants for legal and accounting advice.</w:t>
      </w:r>
    </w:p>
    <w:p>
      <w:pPr>
        <w:spacing w:after="0" w:line="22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Section 6.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 accuracy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representations and warranties on the part of the Company set forth in Section 2 hereof, in each case as of the date hereof and as of each Closing Date as though then made, to the timely performance by each of the Company of its covenants and other obligations hereunder on and as of such dates, and to each of the following additional conditions:</w:t>
      </w:r>
    </w:p>
    <w:p>
      <w:pPr>
        <w:spacing w:after="0" w:line="72" w:lineRule="exact"/>
        <w:rPr>
          <w:sz w:val="20"/>
          <w:szCs w:val="20"/>
          <w:color w:val="auto"/>
        </w:rPr>
      </w:pPr>
    </w:p>
    <w:p>
      <w:pPr>
        <w:ind w:left="440" w:right="40" w:firstLine="419"/>
        <w:spacing w:after="0" w:line="255" w:lineRule="auto"/>
        <w:tabs>
          <w:tab w:leader="none" w:pos="11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 Comfort Letter</w:t>
      </w:r>
      <w:r>
        <w:rPr>
          <w:rFonts w:ascii="Times New Roman" w:cs="Times New Roman" w:eastAsia="Times New Roman" w:hAnsi="Times New Roman"/>
          <w:sz w:val="18"/>
          <w:szCs w:val="18"/>
          <w:color w:val="auto"/>
        </w:rPr>
        <w:t>. On the date hereof, the Placement Agent shall have received, and the Company shall have caused to be delivered to the Placement Agent, a letter from KPMG LLP (the independent registered public accounting firm of the Company), addressed to the Placement Agent, dated as of the date hereof, in form and substance reasonably satisfactory to the Placement Agent.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Shares as contemplated by such Prospectus.</w:t>
      </w:r>
    </w:p>
    <w:p>
      <w:pPr>
        <w:spacing w:after="0" w:line="80"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the FINRA.</w:t>
      </w:r>
      <w:r>
        <w:rPr>
          <w:rFonts w:ascii="Times New Roman" w:cs="Times New Roman" w:eastAsia="Times New Roman" w:hAnsi="Times New Roman"/>
          <w:sz w:val="18"/>
          <w:szCs w:val="18"/>
          <w:color w:val="auto"/>
        </w:rPr>
        <w:t xml:space="preserve"> Each Prospectus (in accordance with Rule 424(b)) and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threatened by the Commission; no order preventing or suspending the use of any Prospectus shall have been issued and no proceeding for that purpose shall have been initiated or threatened by the Commission; no order having the effect of ceasing or suspending the distribution of the Shares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the FINRA shall have raised no objection to the fairness and reasonableness of the placement terms and arrangements.</w:t>
      </w:r>
    </w:p>
    <w:p>
      <w:pPr>
        <w:spacing w:after="0" w:line="86"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in connection with this Agreement, the Registration Statement and each Prospectus, and the registration, sale and delivery of the Shares, shall have been completed or resolved in a manner reasonably satisfactory to the Placement Agent’s counsel, and such counsel shall have been furnished with such information as it may reasonably have requested to enable such counsel to pass upon the matters referred to in this Section 5.</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Omitted.</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The Placement Agent shall have received on each Closing Date the favorable opinion of US legal counsel to the Company, dated as of such Closing Date, including, without limitation, a negative assurance letter addressed to the Placement Agent and in form and substance reasonably satisfactory to the Placement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3" w:name="page44"/>
    <w:bookmarkEnd w:id="43"/>
    <w:p>
      <w:pPr>
        <w:ind w:right="20" w:firstLine="419"/>
        <w:spacing w:after="0" w:line="261" w:lineRule="auto"/>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Officers’ Certificate</w:t>
      </w:r>
      <w:r>
        <w:rPr>
          <w:rFonts w:ascii="Times New Roman" w:cs="Times New Roman" w:eastAsia="Times New Roman" w:hAnsi="Times New Roman"/>
          <w:sz w:val="18"/>
          <w:szCs w:val="18"/>
          <w:color w:val="auto"/>
        </w:rPr>
        <w:t>. The Placement Agent shall have received on each Closing Date a certificate of the Company, dated as of such Closing Date, signed by the Chief Executive Officer and Chief Financial Officer of the Company, to the effect that, and the Placement Agent shall be satisfied that, the signers of such certificate have reviewed the Registration Statement, the Incorporated Documents, any Prospectus Supplement, and this Agreement and to the further effect that:</w:t>
      </w:r>
    </w:p>
    <w:p>
      <w:pPr>
        <w:spacing w:after="0" w:line="71" w:lineRule="exact"/>
        <w:rPr>
          <w:rFonts w:ascii="Times New Roman" w:cs="Times New Roman" w:eastAsia="Times New Roman" w:hAnsi="Times New Roman"/>
          <w:sz w:val="18"/>
          <w:szCs w:val="18"/>
          <w:color w:val="auto"/>
        </w:rPr>
      </w:pPr>
    </w:p>
    <w:p>
      <w:pPr>
        <w:ind w:left="540" w:right="160" w:firstLine="408"/>
        <w:spacing w:after="0" w:line="266" w:lineRule="auto"/>
        <w:tabs>
          <w:tab w:leader="none" w:pos="115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in all material respects, as if made on and as of such Closing Date, and the Company has complied with all the agreements and satisfied all the conditions on its part to be performed or satisfied at or prior to such Closing Date;</w:t>
      </w:r>
    </w:p>
    <w:p>
      <w:pPr>
        <w:spacing w:after="0" w:line="67"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0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any Prospectus has been issued and no proceedings for that purpose have been instituted or are pending or, to the Company’s knowledge, threatened under the Securities Act; no order having the effect of ceasing or suspending the distribution of the Shares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spacing w:after="0" w:line="79" w:lineRule="exact"/>
        <w:rPr>
          <w:rFonts w:ascii="Times New Roman" w:cs="Times New Roman" w:eastAsia="Times New Roman" w:hAnsi="Times New Roman"/>
          <w:sz w:val="18"/>
          <w:szCs w:val="18"/>
          <w:color w:val="auto"/>
        </w:rPr>
      </w:pPr>
    </w:p>
    <w:p>
      <w:pPr>
        <w:ind w:left="540" w:firstLine="408"/>
        <w:spacing w:after="0" w:line="253" w:lineRule="auto"/>
        <w:tabs>
          <w:tab w:leader="none" w:pos="125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the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spacing w:after="0" w:line="81" w:lineRule="exact"/>
        <w:rPr>
          <w:rFonts w:ascii="Times New Roman" w:cs="Times New Roman" w:eastAsia="Times New Roman" w:hAnsi="Times New Roman"/>
          <w:sz w:val="18"/>
          <w:szCs w:val="18"/>
          <w:color w:val="auto"/>
        </w:rPr>
      </w:pPr>
    </w:p>
    <w:p>
      <w:pPr>
        <w:ind w:left="540" w:right="60" w:firstLine="408"/>
        <w:spacing w:after="0" w:line="257" w:lineRule="auto"/>
        <w:tabs>
          <w:tab w:leader="none" w:pos="1246"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the Incorporated Documents and any Prospectus, there has not been: (a) any Material Adverse Change (as defined in the Purchase Agreement); (b) any transaction that is material to the Company and the Subsidiaries taken as a whole, except transactions entered into in the ordinary course of business;</w:t>
      </w:r>
    </w:p>
    <w:p>
      <w:pPr>
        <w:spacing w:after="0" w:line="1"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direct or contingent, that is material to the Company and the Subsidiaries taken as a whole, incurred</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44" w:name="page45"/>
    <w:bookmarkEnd w:id="44"/>
    <w:p>
      <w:pPr>
        <w:ind w:left="980" w:right="2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 Company or any Subsidiary, except obligations incurred in the ordinary course of business; (d) any material change in the capital stock (except changes thereto resulting from the exercise of outstanding stock options or warrants) or outstanding indebtedness of the Company or any Subsidiary; (e) any dividend or distribution of any kind declared, paid or made on the capital stock of the Company; or</w:t>
      </w:r>
    </w:p>
    <w:p>
      <w:pPr>
        <w:spacing w:after="0" w:line="1" w:lineRule="exact"/>
        <w:rPr>
          <w:sz w:val="20"/>
          <w:szCs w:val="20"/>
          <w:color w:val="auto"/>
        </w:rPr>
      </w:pPr>
    </w:p>
    <w:p>
      <w:pPr>
        <w:ind w:left="980" w:right="220" w:firstLine="7"/>
        <w:spacing w:after="0" w:line="260" w:lineRule="auto"/>
        <w:tabs>
          <w:tab w:leader="none" w:pos="120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loss or damage (whether or not insured) to the property of the Company or any Subsidiary which has been sustained or will have been sustained which has a Material Adverse Effect.</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Bring-down Comfort Letter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On each Closing Date, the Placement Agent shall have received from KPMG LLP, or such other independent registered public accounting firm of the Company, a letter dated as of such Closing Date, in form and substance satisfactory to the Placement Agent, to the effect that they reaffirm the statements made in the letter furnished pursuant to subsection (a) of this Section 5, except that the specified date referred to therein for the carrying out of procedures shall be no more than three business days prior to such Closing Date.</w:t>
      </w:r>
    </w:p>
    <w:p>
      <w:pPr>
        <w:spacing w:after="0" w:line="7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xml:space="preserve">. On the date hereof, the Placement Agent shall have received the executed lock-up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from each of the parties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0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shall be registered under the Exchange Act and shall be listed or quoted on the Trading Market, and the Company shall not have taken any action designed to terminate, or likely to have the effect of terminating, the registration of the Common Stock under the Exchange Act or delisting or suspending from trading or being quoted the Common Stock on the Trading Market, nor shall the Company have received any information suggesting that the Commission or the Trading Market is contemplating terminating such registration or listing.</w:t>
      </w:r>
    </w:p>
    <w:p>
      <w:pPr>
        <w:spacing w:after="0" w:line="75"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0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On or before each Closing Date, the Placement Agent and counsel for the Placement Agent shall have received such information and documents as they may reasonably require for the purposes of enabling them to pass upon the issuance and sale of the Shares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If any condition specified in this Section 6 is not satisfied when and as required to be satisfied, this Agreement may be terminated by the Placement Agent by notice to the Company at any time on or prior to a Closing Date, which termination shall be without liability on the part of any party to any other party, except that Section 7 (Payment of Expenses), Section 8 (Indemnification and Contribution) and Section 9 (Representations and Indemnities to Survive Delivery) shall at all times be effective and shall survive such termination.</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Section 7. Payment of Expenses</w:t>
      </w:r>
      <w:r>
        <w:rPr>
          <w:rFonts w:ascii="Times New Roman" w:cs="Times New Roman" w:eastAsia="Times New Roman" w:hAnsi="Times New Roman"/>
          <w:sz w:val="18"/>
          <w:szCs w:val="18"/>
          <w:color w:val="auto"/>
        </w:rPr>
        <w:t>. The Company agrees to pay all costs, fees and expenses incurred by the Company in connection with the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obligations hereunder and in connection with the transactions contemplated hereby, including, without limitation: (i) all expenses incident to the issuance, delivery and qualification of the Shares (including all printing and engraving costs); (ii) all fees and expenses of the registrar and transfer agent of the Common Stock;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Base Prospectus and the Prospectus Supplement, and all amendments and supplements thereto, and this Agreement; (vi) all filing fees, reasonable attorneys’ fees and expenses incurred by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5" w:name="page46"/>
    <w:bookmarkEnd w:id="45"/>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the Placement Agent in connection with qualifying or registering (or obtaining exemptions from the qualification or registration of) all or any part of the Shares for offer and sale under the state securities or blue sky laws or the securities laws of any other country, and, if requested by the Placement Agent, preparing and printing a “</w:t>
      </w:r>
      <w:r>
        <w:rPr>
          <w:rFonts w:ascii="Times New Roman" w:cs="Times New Roman" w:eastAsia="Times New Roman" w:hAnsi="Times New Roman"/>
          <w:sz w:val="18"/>
          <w:szCs w:val="18"/>
          <w:u w:val="single" w:color="auto"/>
          <w:color w:val="auto"/>
        </w:rPr>
        <w:t>Blue Sky Survey</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International Blue Sky Survey</w:t>
      </w:r>
      <w:r>
        <w:rPr>
          <w:rFonts w:ascii="Times New Roman" w:cs="Times New Roman" w:eastAsia="Times New Roman" w:hAnsi="Times New Roman"/>
          <w:sz w:val="18"/>
          <w:szCs w:val="18"/>
          <w:color w:val="auto"/>
        </w:rPr>
        <w:t>” or other memorandum, and any supplements thereto, advising the Placement Agent of such qualifications, registrations and exemptions; (vii) if applicable, the filing fees incident to the review and approval by the FINRA of the Placement Agent’s participation in the offering and distribution of the Shares; (viii) the fees and expenses associated with including the Shares on the Trading Market; and (ix) all other fees, costs and expenses referred to in Part II of the Registration Statement. Notwithstanding anything herein to the contrary, the Placement Agent will pay all of its fees and expenses and the fees and expenses of its counsel and other advisors.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Indemnification and Contribution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40" w:firstLine="419"/>
        <w:spacing w:after="0" w:line="252" w:lineRule="auto"/>
        <w:tabs>
          <w:tab w:leader="none" w:pos="1108"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agents and employees of the Placement Agent, its affiliates and each such controlling person (the Placement Agent, and each such entity or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one counsel for all Indemnified Persons, except as otherwise expressly provided herein)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w:t>
      </w:r>
    </w:p>
    <w:p>
      <w:pPr>
        <w:spacing w:after="0" w:line="3" w:lineRule="exact"/>
        <w:rPr>
          <w:rFonts w:ascii="Times New Roman" w:cs="Times New Roman" w:eastAsia="Times New Roman" w:hAnsi="Times New Roman"/>
          <w:sz w:val="18"/>
          <w:szCs w:val="18"/>
          <w:color w:val="auto"/>
        </w:rPr>
      </w:pPr>
    </w:p>
    <w:p>
      <w:pPr>
        <w:ind w:left="440" w:hanging="4"/>
        <w:spacing w:after="0" w:line="251" w:lineRule="auto"/>
        <w:tabs>
          <w:tab w:leader="none" w:pos="70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solely from such Indemnified Person’s (x) gross negligence or willful misconduct in connection with any of the advice, actions, inactions or services referred to above or (y) use of any offering materials or information concerning the Company in connection with the offer or sale of the Shares in the Offering which were not authorized for such use by the Company and which use constitutes gross negligence or willful misconduct. The Company also agrees to reimburse each Indemnified Person for all Expenses as they are incurred in connection with enforcing such Indemnified Person’s rights under this Agreement.</w:t>
      </w:r>
    </w:p>
    <w:p>
      <w:pPr>
        <w:spacing w:after="0" w:line="85" w:lineRule="exact"/>
        <w:rPr>
          <w:rFonts w:ascii="Times New Roman" w:cs="Times New Roman" w:eastAsia="Times New Roman" w:hAnsi="Times New Roman"/>
          <w:sz w:val="18"/>
          <w:szCs w:val="18"/>
          <w:color w:val="auto"/>
        </w:rPr>
      </w:pPr>
    </w:p>
    <w:p>
      <w:pPr>
        <w:ind w:left="440" w:right="200" w:firstLine="419"/>
        <w:spacing w:after="0" w:line="258" w:lineRule="auto"/>
        <w:tabs>
          <w:tab w:leader="none" w:pos="11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by an Indemnified Person of actual notice of an action against such Indemnified Person with respect to which indemnity may be sought under this Agreement, such Indemnified Person shall promptly notify the Company in writing; provided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action including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46" w:name="page47"/>
    <w:bookmarkEnd w:id="4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provided that the Company shall not in such event be responsible hereunder for the fees and expenses of more than one firm of separate counsel for all 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88" w:lineRule="exact"/>
        <w:rPr>
          <w:sz w:val="20"/>
          <w:szCs w:val="20"/>
          <w:color w:val="auto"/>
        </w:rPr>
      </w:pPr>
    </w:p>
    <w:p>
      <w:pPr>
        <w:ind w:firstLine="419"/>
        <w:spacing w:after="0" w:line="252" w:lineRule="auto"/>
        <w:tabs>
          <w:tab w:leader="none" w:pos="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paid to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89"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solely from such Indemnified Person’s gross negligence or willful misconduct in connection with any such advice, actions, inactions or services.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47" w:name="page48"/>
    <w:bookmarkEnd w:id="47"/>
    <w:p>
      <w:pPr>
        <w:ind w:left="440" w:firstLine="419"/>
        <w:spacing w:after="0" w:line="266" w:lineRule="auto"/>
        <w:tabs>
          <w:tab w:leader="none" w:pos="11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Section 9. Representations and Indemnities to Survive Delivery</w:t>
      </w:r>
      <w:r>
        <w:rPr>
          <w:rFonts w:ascii="Times New Roman" w:cs="Times New Roman" w:eastAsia="Times New Roman" w:hAnsi="Times New Roman"/>
          <w:sz w:val="18"/>
          <w:szCs w:val="18"/>
          <w:color w:val="auto"/>
        </w:rPr>
        <w:t>. The respective indemnities, agreements, representations, warranties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partners, officers or directors or any controlling person, as the case may be, and will survive delivery of and payment for the Shares sold hereunder and any termination of this Agreement. A successor to a Placement Agent, or to the Company, its directors or officers or any person controlling the Company, shall be entitled to the benefits of the indemnity, contribution and reimbursement agreements contained in this Agreement.</w:t>
      </w:r>
    </w:p>
    <w:p>
      <w:pPr>
        <w:spacing w:after="0" w:line="18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Section 10. Notices</w:t>
      </w:r>
      <w:r>
        <w:rPr>
          <w:rFonts w:ascii="Times New Roman" w:cs="Times New Roman" w:eastAsia="Times New Roman" w:hAnsi="Times New Roman"/>
          <w:sz w:val="18"/>
          <w:szCs w:val="18"/>
          <w:color w:val="auto"/>
        </w:rPr>
        <w:t>. All communications hereunder shall be in writing and shall be mailed, hand delivered or e-mailed and confirmed to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as follows: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Placement Agent to the address set forth above, attention: Eric Rindahl, email: (714) 850-8384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Dorsey &amp; Whitney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 South Main Street, Suite 2100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taylor.nolan@dorsey.com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Nolan Taylor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PStratton@DXLG.com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Peter H. Stratton, Jr.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International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frasere@gtlaw.com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Elizabeth Fraser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8" w:name="page49"/>
    <w:bookmarkEnd w:id="48"/>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directors and controlling persons referred to in Section 8 hereof, and to their respective successors, and personal representative, and no other person will have any right or obligation hereunder.</w:t>
      </w:r>
    </w:p>
    <w:p>
      <w:pPr>
        <w:spacing w:after="0" w:line="17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Section 12.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b w:val="1"/>
          <w:bCs w:val="1"/>
          <w:color w:val="auto"/>
        </w:rPr>
        <w:t>Section 13. Governing Law Provisions</w:t>
      </w:r>
      <w:r>
        <w:rPr>
          <w:rFonts w:ascii="Times New Roman" w:cs="Times New Roman" w:eastAsia="Times New Roman" w:hAnsi="Times New Roman"/>
          <w:sz w:val="18"/>
          <w:szCs w:val="18"/>
          <w:color w:val="auto"/>
        </w:rPr>
        <w:t>. This Agreement shall be deemed to have been made and delivered in New York City and both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transactions contemplated hereby shall be governed as to validity, interpretation, construction, effect and in all other respects by the internal laws of the State of New York, without regard to the conflict of laws principles thereof. Each of the Placement Agent and the Company: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Placement Agent and the Company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Placement Agent mailed by certified mail to the Placement Agent’s address shall be deemed in every respect effective service of process upon the Placement Agent, in any such suit, action or proceeding. Notwithstanding any provision of this Agreement to the contrary, the Company agrees that neither the Placement Agent nor its affiliates, and the respective officers, directors, employees, agents and representatives of the Placement Agent, its affiliates and each other person, if any, controlling the Placement Agent or any of its affiliates, shall have any liability (whether direct or indirect, in contract or tort or otherwise) to the Company for or in connection with the engagement and transaction described herein except for any such liability for losses, claims, damages or liabilities incurred by Placement Agent that are finally judicially determined to have resulted from the , willful misconduct or gross negligence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General Provisions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40" w:right="120" w:firstLine="419"/>
        <w:spacing w:after="0" w:line="254"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 Notwithstanding anything herein to the contrary, the Engagement Letter shall continue to be effective and the terms therein shall continue to survive and be enforceable by the Placement Agent in accordance with its terms, provided that, in the event of a conflict between the terms of the Engagement Letter and this Agreement, the terms of this Agreement shall prevail.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49" w:name="page50"/>
    <w:bookmarkEnd w:id="49"/>
    <w:p>
      <w:pPr>
        <w:ind w:firstLine="419"/>
        <w:spacing w:after="0" w:line="266" w:lineRule="auto"/>
        <w:tabs>
          <w:tab w:leader="none" w:pos="6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acknowledges that in connection with the offering of the Shares: (i) the Placement Agent has acted at arms length, are not agents of, and owe no fiduciary duties to the Company or any other person, (ii) the Placement Agent owes the Company only those duties and obligations set forth in this Agreement and (iii) the Placement Agent may have interests that differ from those of the Company.</w:t>
      </w:r>
    </w:p>
    <w:p>
      <w:pPr>
        <w:spacing w:after="0" w:line="17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00"/>
          </w:cols>
          <w:pgMar w:left="880" w:top="270" w:right="519" w:bottom="1440" w:gutter="0" w:footer="0" w:header="0"/>
        </w:sectPr>
      </w:pPr>
    </w:p>
    <w:bookmarkStart w:id="50" w:name="page51"/>
    <w:bookmarkEnd w:id="5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of our agreement, please sign below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DESTINATION XL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Harvey S. Kanter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Placement Agency Agreement is hereby confirmed and accepted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 DAVIDSON &amp; CO.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Eric Rindahl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Eric Rindahl</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260"/>
          </w:cols>
          <w:pgMar w:left="440" w:top="270" w:right="119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___,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Massachusetts 02021</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 Davidson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Placement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611 Anton Boulevard, Suite 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230" w:lineRule="exact"/>
        <w:rPr>
          <w:sz w:val="20"/>
          <w:szCs w:val="20"/>
          <w:color w:val="auto"/>
        </w:rPr>
      </w:pPr>
    </w:p>
    <w:p>
      <w:pPr>
        <w:ind w:right="49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Destination XL Group, Inc. (the “Company”) - Restriction on Stock 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Dear Sirs and Madams:</w:t>
      </w:r>
    </w:p>
    <w:p>
      <w:pPr>
        <w:spacing w:after="0" w:line="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irrevocably agrees that, from the date hereof until the 30-day anniversary of the Closing Date (such period, the “</w:t>
      </w:r>
      <w:r>
        <w:rPr>
          <w:rFonts w:ascii="Times New Roman" w:cs="Times New Roman" w:eastAsia="Times New Roman" w:hAnsi="Times New Roman"/>
          <w:sz w:val="18"/>
          <w:szCs w:val="18"/>
          <w:u w:val="single" w:color="auto"/>
          <w:color w:val="auto"/>
        </w:rPr>
        <w:t>Restriction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designed to, or might reasonably be expected to, result in the disposition (whether by actual disposition or effective economic disposition due to cash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or otherwise) by the undersigned or any Affiliate of the undersigned or any person in privity with the undersigned), directly or indirectly,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 or increase a put equivalent position or liquidate or decrease a call equivalent position within the meaning of Section 16 of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shares of common stock of the Company or securities 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exchangeable or exercisable into, shares of common stock of the Company beneficially owned, held or hereafter acquired by the undersigned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Beneficial ownership shall be calculated in accordance with Section 13(d) of the Exchange Act. The Placement Agent may consent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release from the Restriction Period if, in its sole and absolute discretion, the market for the Securities would not be adversely impacted by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cases of financial emergency. The restrictions contained in this letter agreement shall not apply to (i) transfers of shares of common stock (a)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bona fide gift or gifts, (b) by will, other testamentary document or intestate succession to the legal representative, heir, beneficiary or a member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 family of the undersigned, (c) by operation of law, such as pursuant to a qualified domestic order or as required by a divorce settlement, (d)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trust, partnership, limited liability company or other legal entity commonly used for estate planning purposes which is established for the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 benefit of the undersigned or a member of members of the immediate family of the undersigned, (e) if the undersigned is a trust,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beneficiary of such trust, (f) to the undersigned’s Affiliates (g) pursuant to a written trading plan for the sale or other disposition of Common Stock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purposes of complying with Rule 10b5-1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clauses (a)-(e), that (A) such transfer shall not involve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for value, (B) the transferee agrees in writing with the Placement Agent and the Company to be bound by the terms of this letter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 such transfer would not require any filing under Section 16(a) of the Exchange Act and no such filing is voluntarily made (other than a filing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Form 5 made after the expiration of the Restriction Period; (ii) the establishment of a trading plan pursuant to Rule 10b5-1</w:t>
      </w:r>
    </w:p>
    <w:p>
      <w:pPr>
        <w:sectPr>
          <w:pgSz w:w="11900" w:h="16838" w:orient="portrait"/>
          <w:cols w:equalWidth="0" w:num="1">
            <w:col w:w="11020"/>
          </w:cols>
          <w:pgMar w:left="440" w:top="266" w:right="439" w:bottom="1440" w:gutter="0" w:footer="0" w:header="0"/>
        </w:sectPr>
      </w:pPr>
    </w:p>
    <w:bookmarkStart w:id="52" w:name="page53"/>
    <w:bookmarkEnd w:id="52"/>
    <w:p>
      <w:pPr>
        <w:ind w:left="4"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promulgated under the Exchange Act, provided that (a) such plan does not provide for the transfer of common stock or any securities convertible into or exercisable or exchangeable for common stock during the Restriction Period and (b) no filing or public announcement under the Exchange Act or otherwise is required or voluntarily made by or on behalf of the undersigned or the Company in connection with the establishment of such plan, and</w:t>
      </w:r>
    </w:p>
    <w:p>
      <w:pPr>
        <w:spacing w:after="0" w:line="1" w:lineRule="exact"/>
        <w:rPr>
          <w:sz w:val="20"/>
          <w:szCs w:val="20"/>
          <w:color w:val="auto"/>
        </w:rPr>
      </w:pPr>
    </w:p>
    <w:p>
      <w:pPr>
        <w:ind w:left="4" w:hanging="4"/>
        <w:spacing w:after="0" w:line="253"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in connection with the “net” or “cashless” exercise of options or other rights to purchase shares of Common Stock granted pursuant to an equity incentive plan, stock purchase plan or other arrangement described in the Final Prospectus in satisfaction of any tax withholding obligations through cashless surrender or otherwise, provided, that any shares of Common Stock issued upon exercise of such option or other rights shall remain subject to the terms of this Lock-Up Agreement.</w:t>
      </w:r>
    </w:p>
    <w:p>
      <w:pPr>
        <w:spacing w:after="0" w:line="189"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the Placement Agent to perform under the Placement Agency Agreement and that the Placement Agent (which shall be a third-party beneficiary of this letter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Placement Agency Agreement.</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each of the Company, the Placement Agent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w:t>
      </w:r>
    </w:p>
    <w:p>
      <w:pPr>
        <w:spacing w:after="0" w:line="5" w:lineRule="exact"/>
        <w:rPr>
          <w:sz w:val="20"/>
          <w:szCs w:val="20"/>
          <w:color w:val="auto"/>
        </w:rPr>
      </w:pPr>
    </w:p>
    <w:p>
      <w:pPr>
        <w:ind w:left="4" w:right="260" w:hanging="4"/>
        <w:spacing w:after="0" w:line="252" w:lineRule="auto"/>
        <w:tabs>
          <w:tab w:leader="none" w:pos="31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Placement Agency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letter agreement does not intend to create any relationship between the undersigned and the Placement Agent and that no issuance or sale of the Securities is created or intended by virtue of this letter agreement.</w:t>
      </w:r>
    </w:p>
    <w:p>
      <w:pPr>
        <w:spacing w:after="0" w:line="189" w:lineRule="exact"/>
        <w:rPr>
          <w:rFonts w:ascii="Times New Roman" w:cs="Times New Roman" w:eastAsia="Times New Roman" w:hAnsi="Times New Roman"/>
          <w:sz w:val="18"/>
          <w:szCs w:val="18"/>
          <w:color w:val="auto"/>
        </w:rPr>
      </w:pPr>
    </w:p>
    <w:p>
      <w:pPr>
        <w:ind w:left="4344" w:hanging="325"/>
        <w:spacing w:after="0"/>
        <w:tabs>
          <w:tab w:leader="none" w:pos="434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w:t>
      </w:r>
    </w:p>
    <w:p>
      <w:pPr>
        <w:sectPr>
          <w:pgSz w:w="11900" w:h="16838" w:orient="portrait"/>
          <w:cols w:equalWidth="0" w:num="1">
            <w:col w:w="11004"/>
          </w:cols>
          <w:pgMar w:left="436" w:top="270" w:right="459" w:bottom="1440" w:gutter="0" w:footer="0" w:header="0"/>
        </w:sectPr>
      </w:pPr>
    </w:p>
    <w:bookmarkStart w:id="53" w:name="page54"/>
    <w:bookmarkEnd w:id="53"/>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furtherance of the foregoing, the Company and its transfer agent and registrar are hereby authorized to decline to make any transfer of lock-up shares if such transfer would constitute a violation or breach of this letter. This letter shall be binding on the undersigned and the respective successors, heirs, personal representatives and assigns of the undersigned. Capitalized terms used but not defined herein have the respective meanings assigned to such terms in the Placement Agency Agreement.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ectPr>
          <w:pgSz w:w="11900" w:h="16838" w:orient="portrait"/>
          <w:cols w:equalWidth="0" w:num="1">
            <w:col w:w="10860"/>
          </w:cols>
          <w:pgMar w:left="440" w:top="270" w:right="599" w:bottom="1440" w:gutter="0" w:footer="0" w:header="0"/>
        </w:sectPr>
      </w:pPr>
    </w:p>
    <w:bookmarkStart w:id="54" w:name="page55"/>
    <w:bookmarkEnd w:id="54"/>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right"/>
        <w:ind w:right="3699"/>
        <w:spacing w:after="0"/>
        <w:rPr>
          <w:sz w:val="20"/>
          <w:szCs w:val="20"/>
          <w:color w:val="auto"/>
        </w:rPr>
      </w:pPr>
      <w:r>
        <w:rPr>
          <w:rFonts w:ascii="Times New Roman" w:cs="Times New Roman" w:eastAsia="Times New Roman" w:hAnsi="Times New Roman"/>
          <w:sz w:val="18"/>
          <w:szCs w:val="18"/>
          <w:b w:val="1"/>
          <w:bCs w:val="1"/>
          <w:color w:val="auto"/>
        </w:rPr>
        <w:t>LOCK-UP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Harvey Kanter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Stratton, Jr.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Molloy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Lionel Findlay Conacher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Willem Mesdag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Mitchell Presser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Boyle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Ivy Ross</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1"/>
      <w:numFmt w:val="decimal"/>
      <w:start w:val="104"/>
    </w:lvl>
  </w:abstractNum>
  <w:abstractNum w:abstractNumId="2">
    <w:nsid w:val="3A95F874"/>
    <w:multiLevelType w:val="hybridMultilevel"/>
    <w:lvl w:ilvl="0">
      <w:lvlJc w:val="left"/>
      <w:lvlText w:val="(%1)"/>
      <w:numFmt w:val="lowerRoman"/>
      <w:start w:val="2"/>
    </w:lvl>
  </w:abstractNum>
  <w:abstractNum w:abstractNumId="3">
    <w:nsid w:val="8138641"/>
    <w:multiLevelType w:val="hybridMultilevel"/>
    <w:lvl w:ilvl="0">
      <w:lvlJc w:val="left"/>
      <w:lvlText w:val="(%1)"/>
      <w:numFmt w:val="lowerLetter"/>
      <w:start w:val="2"/>
    </w:lvl>
  </w:abstractNum>
  <w:abstractNum w:abstractNumId="4">
    <w:nsid w:val="1E7FF521"/>
    <w:multiLevelType w:val="hybridMultilevel"/>
    <w:lvl w:ilvl="0">
      <w:lvlJc w:val="left"/>
      <w:lvlText w:val="(%1)"/>
      <w:numFmt w:val="lowerLetter"/>
      <w:start w:val="1"/>
    </w:lvl>
    <w:lvl w:ilvl="1">
      <w:lvlJc w:val="left"/>
      <w:lvlText w:val="(%2)"/>
      <w:numFmt w:val="lowerRoman"/>
      <w:start w:val="1"/>
    </w:lvl>
  </w:abstractNum>
  <w:abstractNum w:abstractNumId="5">
    <w:nsid w:val="7C3DBD3D"/>
    <w:multiLevelType w:val="hybridMultilevel"/>
    <w:lvl w:ilvl="0">
      <w:lvlJc w:val="left"/>
      <w:lvlText w:val="%1"/>
      <w:numFmt w:val="lowerLetter"/>
      <w:start w:val="1"/>
    </w:lvl>
    <w:lvl w:ilvl="1">
      <w:lvlJc w:val="left"/>
      <w:lvlText w:val="(%2)"/>
      <w:numFmt w:val="lowerRoman"/>
      <w:start w:val="4"/>
    </w:lvl>
  </w:abstractNum>
  <w:abstractNum w:abstractNumId="6">
    <w:nsid w:val="737B8DDC"/>
    <w:multiLevelType w:val="hybridMultilevel"/>
    <w:lvl w:ilvl="0">
      <w:lvlJc w:val="left"/>
      <w:lvlText w:val="(%1)"/>
      <w:numFmt w:val="lowerLetter"/>
      <w:start w:val="2"/>
    </w:lvl>
    <w:lvl w:ilvl="1">
      <w:lvlJc w:val="left"/>
      <w:lvlText w:val="(%2)"/>
      <w:numFmt w:val="lowerRoman"/>
      <w:start w:val="1"/>
    </w:lvl>
  </w:abstractNum>
  <w:abstractNum w:abstractNumId="7">
    <w:nsid w:val="6CEAF087"/>
    <w:multiLevelType w:val="hybridMultilevel"/>
    <w:lvl w:ilvl="0">
      <w:lvlJc w:val="left"/>
      <w:lvlText w:val="(%1)"/>
      <w:numFmt w:val="lowerLetter"/>
      <w:start w:val="1"/>
    </w:lvl>
    <w:lvl w:ilvl="1">
      <w:lvlJc w:val="left"/>
      <w:lvlText w:val="(%2)"/>
      <w:numFmt w:val="lowerRoman"/>
      <w:start w:val="1"/>
    </w:lvl>
  </w:abstractNum>
  <w:abstractNum w:abstractNumId="8">
    <w:nsid w:val="22221A70"/>
    <w:multiLevelType w:val="hybridMultilevel"/>
    <w:lvl w:ilvl="0">
      <w:lvlJc w:val="left"/>
      <w:lvlText w:val="(%1)"/>
      <w:numFmt w:val="lowerRoman"/>
      <w:start w:val="3"/>
    </w:lvl>
  </w:abstractNum>
  <w:abstractNum w:abstractNumId="9">
    <w:nsid w:val="4516DDE9"/>
    <w:multiLevelType w:val="hybridMultilevel"/>
    <w:lvl w:ilvl="0">
      <w:lvlJc w:val="left"/>
      <w:lvlText w:val="(%1)"/>
      <w:numFmt w:val="lowerLetter"/>
      <w:start w:val="1"/>
    </w:lvl>
  </w:abstractNum>
  <w:abstractNum w:abstractNumId="10">
    <w:nsid w:val="3006C83E"/>
    <w:multiLevelType w:val="hybridMultilevel"/>
    <w:lvl w:ilvl="0">
      <w:lvlJc w:val="left"/>
      <w:lvlText w:val="%1"/>
      <w:numFmt w:val="lowerLetter"/>
      <w:start w:val="1"/>
    </w:lvl>
    <w:lvl w:ilvl="1">
      <w:lvlJc w:val="left"/>
      <w:lvlText w:val="(%2)"/>
      <w:numFmt w:val="lowerLetter"/>
      <w:start w:val="3"/>
    </w:lvl>
  </w:abstractNum>
  <w:abstractNum w:abstractNumId="11">
    <w:nsid w:val="614FD4A1"/>
    <w:multiLevelType w:val="hybridMultilevel"/>
    <w:lvl w:ilvl="0">
      <w:lvlJc w:val="left"/>
      <w:lvlText w:val="(%1)"/>
      <w:numFmt w:val="lowerLetter"/>
      <w:start w:val="61"/>
    </w:lvl>
    <w:lvl w:ilvl="1">
      <w:lvlJc w:val="left"/>
      <w:lvlText w:val="%2"/>
      <w:numFmt w:val="lowerLetter"/>
      <w:start w:val="1"/>
    </w:lvl>
  </w:abstractNum>
  <w:abstractNum w:abstractNumId="12">
    <w:nsid w:val="419AC241"/>
    <w:multiLevelType w:val="hybridMultilevel"/>
    <w:lvl w:ilvl="0">
      <w:lvlJc w:val="left"/>
      <w:lvlText w:val="(%1)"/>
      <w:numFmt w:val="lowerLetter"/>
      <w:start w:val="35"/>
    </w:lvl>
    <w:lvl w:ilvl="1">
      <w:lvlJc w:val="left"/>
      <w:lvlText w:val="%2"/>
      <w:numFmt w:val="lowerLetter"/>
      <w:start w:val="1"/>
    </w:lvl>
  </w:abstractNum>
  <w:abstractNum w:abstractNumId="13">
    <w:nsid w:val="5577F8E1"/>
    <w:multiLevelType w:val="hybridMultilevel"/>
    <w:lvl w:ilvl="0">
      <w:lvlJc w:val="left"/>
      <w:lvlText w:val="(%1)"/>
      <w:numFmt w:val="lowerLetter"/>
      <w:start w:val="5"/>
    </w:lvl>
  </w:abstractNum>
  <w:abstractNum w:abstractNumId="14">
    <w:nsid w:val="440BADFC"/>
    <w:multiLevelType w:val="hybridMultilevel"/>
    <w:lvl w:ilvl="0">
      <w:lvlJc w:val="left"/>
      <w:lvlText w:val="(%1)"/>
      <w:numFmt w:val="lowerLetter"/>
      <w:start w:val="7"/>
    </w:lvl>
  </w:abstractNum>
  <w:abstractNum w:abstractNumId="15">
    <w:nsid w:val="5072367"/>
    <w:multiLevelType w:val="hybridMultilevel"/>
    <w:lvl w:ilvl="0">
      <w:lvlJc w:val="left"/>
      <w:lvlText w:val="(%1)"/>
      <w:numFmt w:val="lowerLetter"/>
      <w:start w:val="9"/>
    </w:lvl>
  </w:abstractNum>
  <w:abstractNum w:abstractNumId="16">
    <w:nsid w:val="3804823E"/>
    <w:multiLevelType w:val="hybridMultilevel"/>
    <w:lvl w:ilvl="0">
      <w:lvlJc w:val="left"/>
      <w:lvlText w:val="(%1)"/>
      <w:numFmt w:val="lowerLetter"/>
      <w:start w:val="11"/>
    </w:lvl>
  </w:abstractNum>
  <w:abstractNum w:abstractNumId="17">
    <w:nsid w:val="77465F01"/>
    <w:multiLevelType w:val="hybridMultilevel"/>
    <w:lvl w:ilvl="0">
      <w:lvlJc w:val="left"/>
      <w:lvlText w:val="%1"/>
      <w:numFmt w:val="lowerLetter"/>
      <w:start w:val="1"/>
    </w:lvl>
    <w:lvl w:ilvl="1">
      <w:lvlJc w:val="left"/>
      <w:lvlText w:val="(%2)"/>
      <w:numFmt w:val="lowerLetter"/>
      <w:start w:val="14"/>
    </w:lvl>
  </w:abstractNum>
  <w:abstractNum w:abstractNumId="18">
    <w:nsid w:val="7724C67E"/>
    <w:multiLevelType w:val="hybridMultilevel"/>
    <w:lvl w:ilvl="0">
      <w:lvlJc w:val="left"/>
      <w:lvlText w:val="(%1)"/>
      <w:numFmt w:val="lowerLetter"/>
      <w:start w:val="35"/>
    </w:lvl>
    <w:lvl w:ilvl="1">
      <w:lvlJc w:val="left"/>
      <w:lvlText w:val="(%2)"/>
      <w:numFmt w:val="lowerLetter"/>
      <w:start w:val="16"/>
    </w:lvl>
  </w:abstractNum>
  <w:abstractNum w:abstractNumId="19">
    <w:nsid w:val="5C482A97"/>
    <w:multiLevelType w:val="hybridMultilevel"/>
    <w:lvl w:ilvl="0">
      <w:lvlJc w:val="left"/>
      <w:lvlText w:val="(%1)"/>
      <w:numFmt w:val="lowerLetter"/>
      <w:start w:val="17"/>
    </w:lvl>
  </w:abstractNum>
  <w:abstractNum w:abstractNumId="20">
    <w:nsid w:val="2463B9EA"/>
    <w:multiLevelType w:val="hybridMultilevel"/>
    <w:lvl w:ilvl="0">
      <w:lvlJc w:val="left"/>
      <w:lvlText w:val="(%1)"/>
      <w:numFmt w:val="lowerLetter"/>
      <w:start w:val="20"/>
    </w:lvl>
  </w:abstractNum>
  <w:abstractNum w:abstractNumId="21">
    <w:nsid w:val="5E884ADC"/>
    <w:multiLevelType w:val="hybridMultilevel"/>
    <w:lvl w:ilvl="0">
      <w:lvlJc w:val="left"/>
      <w:lvlText w:val="(%1)"/>
      <w:numFmt w:val="lowerLetter"/>
      <w:start w:val="24"/>
    </w:lvl>
  </w:abstractNum>
  <w:abstractNum w:abstractNumId="22">
    <w:nsid w:val="51EAD36B"/>
    <w:multiLevelType w:val="hybridMultilevel"/>
    <w:lvl w:ilvl="0">
      <w:lvlJc w:val="left"/>
      <w:lvlText w:val="%1"/>
      <w:numFmt w:val="lowerLetter"/>
      <w:start w:val="1"/>
    </w:lvl>
    <w:lvl w:ilvl="1">
      <w:lvlJc w:val="left"/>
      <w:lvlText w:val="(%2)"/>
      <w:numFmt w:val="lowerLetter"/>
      <w:start w:val="27"/>
    </w:lvl>
  </w:abstractNum>
  <w:abstractNum w:abstractNumId="23">
    <w:nsid w:val="2D517796"/>
    <w:multiLevelType w:val="hybridMultilevel"/>
    <w:lvl w:ilvl="0">
      <w:lvlJc w:val="left"/>
      <w:lvlText w:val="(%1)"/>
      <w:numFmt w:val="lowerLetter"/>
      <w:start w:val="35"/>
    </w:lvl>
    <w:lvl w:ilvl="1">
      <w:lvlJc w:val="left"/>
      <w:lvlText w:val="%2"/>
      <w:numFmt w:val="lowerLetter"/>
      <w:start w:val="1"/>
    </w:lvl>
  </w:abstractNum>
  <w:abstractNum w:abstractNumId="24">
    <w:nsid w:val="580BD78F"/>
    <w:multiLevelType w:val="hybridMultilevel"/>
    <w:lvl w:ilvl="0">
      <w:lvlJc w:val="left"/>
      <w:lvlText w:val="%1"/>
      <w:numFmt w:val="lowerLetter"/>
      <w:start w:val="1"/>
    </w:lvl>
    <w:lvl w:ilvl="1">
      <w:lvlJc w:val="left"/>
      <w:lvlText w:val="(%2)"/>
      <w:numFmt w:val="lowerLetter"/>
      <w:start w:val="28"/>
    </w:lvl>
  </w:abstractNum>
  <w:abstractNum w:abstractNumId="25">
    <w:nsid w:val="153EA438"/>
    <w:multiLevelType w:val="hybridMultilevel"/>
    <w:lvl w:ilvl="0">
      <w:lvlJc w:val="left"/>
      <w:lvlText w:val="(%1)"/>
      <w:numFmt w:val="lowerLetter"/>
      <w:start w:val="61"/>
    </w:lvl>
    <w:lvl w:ilvl="1">
      <w:lvlJc w:val="left"/>
      <w:lvlText w:val="(%2)"/>
      <w:numFmt w:val="lowerLetter"/>
      <w:start w:val="29"/>
    </w:lvl>
  </w:abstractNum>
  <w:abstractNum w:abstractNumId="26">
    <w:nsid w:val="3855585C"/>
    <w:multiLevelType w:val="hybridMultilevel"/>
    <w:lvl w:ilvl="0">
      <w:lvlJc w:val="left"/>
      <w:lvlText w:val="(%1)"/>
      <w:numFmt w:val="lowerLetter"/>
      <w:start w:val="30"/>
    </w:lvl>
  </w:abstractNum>
  <w:abstractNum w:abstractNumId="27">
    <w:nsid w:val="70A64E2A"/>
    <w:multiLevelType w:val="hybridMultilevel"/>
    <w:lvl w:ilvl="0">
      <w:lvlJc w:val="left"/>
      <w:lvlText w:val="(%1)"/>
      <w:numFmt w:val="lowerLetter"/>
      <w:start w:val="34"/>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6"/>
    </w:lvl>
  </w:abstractNum>
  <w:abstractNum w:abstractNumId="30">
    <w:nsid w:val="1D4ED43B"/>
    <w:multiLevelType w:val="hybridMultilevel"/>
    <w:lvl w:ilvl="0">
      <w:lvlJc w:val="left"/>
      <w:lvlText w:val="(%1)"/>
      <w:numFmt w:val="lowerLetter"/>
      <w:start w:val="2"/>
    </w:lvl>
  </w:abstractNum>
  <w:abstractNum w:abstractNumId="31">
    <w:nsid w:val="725A06FB"/>
    <w:multiLevelType w:val="hybridMultilevel"/>
    <w:lvl w:ilvl="0">
      <w:lvlJc w:val="left"/>
      <w:lvlText w:val="(%1)"/>
      <w:numFmt w:val="lowerLetter"/>
      <w:start w:val="1"/>
    </w:lvl>
  </w:abstractNum>
  <w:abstractNum w:abstractNumId="32">
    <w:nsid w:val="2CD89A32"/>
    <w:multiLevelType w:val="hybridMultilevel"/>
    <w:lvl w:ilvl="0">
      <w:lvlJc w:val="left"/>
      <w:lvlText w:val="%1"/>
      <w:numFmt w:val="lowerLetter"/>
      <w:start w:val="1"/>
    </w:lvl>
    <w:lvl w:ilvl="1">
      <w:lvlJc w:val="left"/>
      <w:lvlText w:val="(%2)"/>
      <w:numFmt w:val="lowerLetter"/>
      <w:start w:val="2"/>
    </w:lvl>
  </w:abstractNum>
  <w:abstractNum w:abstractNumId="33">
    <w:nsid w:val="57E4CCAF"/>
    <w:multiLevelType w:val="hybridMultilevel"/>
    <w:lvl w:ilvl="0">
      <w:lvlJc w:val="left"/>
      <w:lvlText w:val="(%1)"/>
      <w:numFmt w:val="lowerLetter"/>
      <w:start w:val="35"/>
    </w:lvl>
    <w:lvl w:ilvl="1">
      <w:lvlJc w:val="left"/>
      <w:lvlText w:val="%2"/>
      <w:numFmt w:val="lowerLetter"/>
      <w:start w:val="1"/>
    </w:lvl>
  </w:abstractNum>
  <w:abstractNum w:abstractNumId="34">
    <w:nsid w:val="7A6D8D3C"/>
    <w:multiLevelType w:val="hybridMultilevel"/>
    <w:lvl w:ilvl="0">
      <w:lvlJc w:val="left"/>
      <w:lvlText w:val="(%1)"/>
      <w:numFmt w:val="lowerLetter"/>
      <w:start w:val="1"/>
    </w:lvl>
  </w:abstractNum>
  <w:abstractNum w:abstractNumId="35">
    <w:nsid w:val="4B588F54"/>
    <w:multiLevelType w:val="hybridMultilevel"/>
    <w:lvl w:ilvl="0">
      <w:lvlJc w:val="left"/>
      <w:lvlText w:val="(%1)"/>
      <w:numFmt w:val="lowerLetter"/>
      <w:start w:val="2"/>
    </w:lvl>
  </w:abstractNum>
  <w:abstractNum w:abstractNumId="36">
    <w:nsid w:val="542289EC"/>
    <w:multiLevelType w:val="hybridMultilevel"/>
    <w:lvl w:ilvl="0">
      <w:lvlJc w:val="left"/>
      <w:lvlText w:val="(%1)"/>
      <w:numFmt w:val="lowerLetter"/>
      <w:start w:val="5"/>
    </w:lvl>
  </w:abstractNum>
  <w:abstractNum w:abstractNumId="37">
    <w:nsid w:val="6DE91B18"/>
    <w:multiLevelType w:val="hybridMultilevel"/>
    <w:lvl w:ilvl="0">
      <w:lvlJc w:val="left"/>
      <w:lvlText w:val="(%1)"/>
      <w:numFmt w:val="lowerLetter"/>
      <w:start w:val="10"/>
    </w:lvl>
  </w:abstractNum>
  <w:abstractNum w:abstractNumId="38">
    <w:nsid w:val="38437FDB"/>
    <w:multiLevelType w:val="hybridMultilevel"/>
    <w:lvl w:ilvl="0">
      <w:lvlJc w:val="left"/>
      <w:lvlText w:val="(%1)"/>
      <w:numFmt w:val="lowerRoman"/>
      <w:start w:val="2"/>
    </w:lvl>
  </w:abstractNum>
  <w:abstractNum w:abstractNumId="39">
    <w:nsid w:val="7644A45C"/>
    <w:multiLevelType w:val="hybridMultilevel"/>
    <w:lvl w:ilvl="0">
      <w:lvlJc w:val="left"/>
      <w:lvlText w:val="%1"/>
      <w:numFmt w:val="lowerLetter"/>
      <w:start w:val="1"/>
    </w:lvl>
    <w:lvl w:ilvl="1">
      <w:lvlJc w:val="left"/>
      <w:lvlText w:val="(%2)"/>
      <w:numFmt w:val="lowerLetter"/>
      <w:start w:val="1"/>
    </w:lvl>
  </w:abstractNum>
  <w:abstractNum w:abstractNumId="40">
    <w:nsid w:val="32FFF902"/>
    <w:multiLevelType w:val="hybridMultilevel"/>
    <w:lvl w:ilvl="0">
      <w:lvlJc w:val="left"/>
      <w:lvlText w:val="(%1)"/>
      <w:numFmt w:val="lowerLetter"/>
      <w:start w:val="9"/>
    </w:lvl>
    <w:lvl w:ilvl="1">
      <w:lvlJc w:val="left"/>
      <w:lvlText w:val="%2"/>
      <w:numFmt w:val="lowerLetter"/>
      <w:start w:val="1"/>
    </w:lvl>
  </w:abstractNum>
  <w:abstractNum w:abstractNumId="41">
    <w:nsid w:val="684A481A"/>
    <w:multiLevelType w:val="hybridMultilevel"/>
    <w:lvl w:ilvl="0">
      <w:lvlJc w:val="left"/>
      <w:lvlText w:val="(%1)"/>
      <w:numFmt w:val="lowerLetter"/>
      <w:start w:val="2"/>
    </w:lvl>
  </w:abstractNum>
  <w:abstractNum w:abstractNumId="42">
    <w:nsid w:val="579478FE"/>
    <w:multiLevelType w:val="hybridMultilevel"/>
    <w:lvl w:ilvl="0">
      <w:lvlJc w:val="left"/>
      <w:lvlText w:val="(%1)"/>
      <w:numFmt w:val="lowerLetter"/>
      <w:start w:val="4"/>
    </w:lvl>
  </w:abstractNum>
  <w:abstractNum w:abstractNumId="43">
    <w:nsid w:val="749ABB43"/>
    <w:multiLevelType w:val="hybridMultilevel"/>
    <w:lvl w:ilvl="0">
      <w:lvlJc w:val="left"/>
      <w:lvlText w:val="(%1)"/>
      <w:numFmt w:val="lowerLetter"/>
      <w:start w:val="12"/>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6"/>
    </w:lvl>
    <w:lvl w:ilvl="1">
      <w:lvlJc w:val="left"/>
      <w:lvlText w:val="(%2)"/>
      <w:numFmt w:val="lowerLetter"/>
      <w:start w:val="2"/>
    </w:lvl>
    <w:lvl w:ilvl="2">
      <w:lvlJc w:val="left"/>
      <w:lvlText w:val="(%3)"/>
      <w:numFmt w:val="lowerRoman"/>
      <w:start w:val="1"/>
    </w:lvl>
  </w:abstractNum>
  <w:abstractNum w:abstractNumId="46">
    <w:nsid w:val="79A1DEAA"/>
    <w:multiLevelType w:val="hybridMultilevel"/>
    <w:lvl w:ilvl="0">
      <w:lvlJc w:val="left"/>
      <w:lvlText w:val="%1"/>
      <w:numFmt w:val="lowerLetter"/>
      <w:start w:val="1"/>
    </w:lvl>
    <w:lvl w:ilvl="1">
      <w:lvlJc w:val="left"/>
      <w:lvlText w:val="(%2)"/>
      <w:numFmt w:val="lowerLetter"/>
      <w:start w:val="6"/>
    </w:lvl>
  </w:abstractNum>
  <w:abstractNum w:abstractNumId="47">
    <w:nsid w:val="75C6C33A"/>
    <w:multiLevelType w:val="hybridMultilevel"/>
    <w:lvl w:ilvl="0">
      <w:lvlJc w:val="left"/>
      <w:lvlText w:val="(%1)"/>
      <w:numFmt w:val="lowerLetter"/>
      <w:start w:val="7"/>
    </w:lvl>
    <w:lvl w:ilvl="1">
      <w:lvlJc w:val="left"/>
      <w:lvlText w:val="%2"/>
      <w:numFmt w:val="lowerLetter"/>
      <w:start w:val="1"/>
    </w:lvl>
  </w:abstractNum>
  <w:abstractNum w:abstractNumId="48">
    <w:nsid w:val="12E685FB"/>
    <w:multiLevelType w:val="hybridMultilevel"/>
    <w:lvl w:ilvl="0">
      <w:lvlJc w:val="left"/>
      <w:lvlText w:val="%1"/>
      <w:numFmt w:val="lowerLetter"/>
      <w:start w:val="1"/>
    </w:lvl>
    <w:lvl w:ilvl="1">
      <w:lvlJc w:val="left"/>
      <w:lvlText w:val="(%2)"/>
      <w:numFmt w:val="lowerLetter"/>
      <w:start w:val="1"/>
    </w:lvl>
  </w:abstractNum>
  <w:abstractNum w:abstractNumId="49">
    <w:nsid w:val="70C6A529"/>
    <w:multiLevelType w:val="hybridMultilevel"/>
    <w:lvl w:ilvl="0">
      <w:lvlJc w:val="left"/>
      <w:lvlText w:val="(%1)"/>
      <w:numFmt w:val="lowerLetter"/>
      <w:start w:val="35"/>
    </w:lvl>
    <w:lvl w:ilvl="1">
      <w:lvlJc w:val="left"/>
      <w:lvlText w:val="(%2)"/>
      <w:numFmt w:val="lowerLetter"/>
      <w:start w:val="2"/>
    </w:lvl>
  </w:abstractNum>
  <w:abstractNum w:abstractNumId="50">
    <w:nsid w:val="520EEDD1"/>
    <w:multiLevelType w:val="hybridMultilevel"/>
    <w:lvl w:ilvl="0">
      <w:lvlJc w:val="left"/>
      <w:lvlText w:val="(%1)"/>
      <w:numFmt w:val="lowerLetter"/>
      <w:start w:val="3"/>
    </w:lvl>
  </w:abstractNum>
  <w:abstractNum w:abstractNumId="51">
    <w:nsid w:val="374A3FE6"/>
    <w:multiLevelType w:val="hybridMultilevel"/>
    <w:lvl w:ilvl="0">
      <w:lvlJc w:val="left"/>
      <w:lvlText w:val="(%1)"/>
      <w:numFmt w:val="lowerLetter"/>
      <w:start w:val="5"/>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lowerLetter"/>
      <w:start w:val="2"/>
    </w:lvl>
  </w:abstractNum>
  <w:abstractNum w:abstractNumId="54">
    <w:nsid w:val="649BB77C"/>
    <w:multiLevelType w:val="hybridMultilevel"/>
    <w:lvl w:ilvl="0">
      <w:lvlJc w:val="left"/>
      <w:lvlText w:val="(%1)"/>
      <w:numFmt w:val="lowerRoman"/>
      <w:start w:val="3"/>
    </w:lvl>
  </w:abstractNum>
  <w:abstractNum w:abstractNumId="55">
    <w:nsid w:val="275AC794"/>
    <w:multiLevelType w:val="hybridMultilevel"/>
    <w:lvl w:ilvl="0">
      <w:lvlJc w:val="left"/>
      <w:lvlText w:val="(%1)"/>
      <w:numFmt w:val="lowerRoman"/>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2021-02-05T16:57:23Z</dcterms:created>
  <dcterms:modified xsi:type="dcterms:W3CDTF">2021-02-05T16:57:23Z</dcterms:modified>
</cp:coreProperties>
</file>