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ind w:left="3280"/>
        <w:spacing w:after="0" w:line="238" w:lineRule="auto"/>
        <w:rPr>
          <w:sz w:val="20"/>
          <w:szCs w:val="20"/>
          <w:color w:val="auto"/>
        </w:rPr>
      </w:pPr>
      <w:r>
        <w:rPr>
          <w:rFonts w:ascii="Courier New" w:cs="Courier New" w:eastAsia="Courier New" w:hAnsi="Courier New"/>
          <w:sz w:val="18"/>
          <w:szCs w:val="18"/>
          <w:color w:val="auto"/>
        </w:rPr>
        <w:t>(AMENDMENT NO. 26)*</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 Jewelcor Companies</w:t>
      </w:r>
    </w:p>
    <w:p>
      <w:pPr>
        <w:jc w:val="center"/>
        <w:ind w:right="1879"/>
        <w:spacing w:after="0"/>
        <w:rPr>
          <w:sz w:val="20"/>
          <w:szCs w:val="20"/>
          <w:color w:val="auto"/>
        </w:rPr>
      </w:pPr>
      <w:r>
        <w:rPr>
          <w:rFonts w:ascii="Courier New" w:cs="Courier New" w:eastAsia="Courier New" w:hAnsi="Courier New"/>
          <w:sz w:val="18"/>
          <w:szCs w:val="18"/>
          <w:color w:val="auto"/>
        </w:rPr>
        <w:t>100 N. Wilkes-Barre Blvd.</w:t>
      </w:r>
    </w:p>
    <w:p>
      <w:pPr>
        <w:jc w:val="center"/>
        <w:ind w:right="1779"/>
        <w:spacing w:after="0" w:line="237" w:lineRule="auto"/>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(570)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SEPTEMBER 12, 2000</w:t>
      </w:r>
    </w:p>
    <w:p>
      <w:pPr>
        <w:jc w:val="center"/>
        <w:ind w:right="187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subject of this Schedule 13D, and is filing this schedule because of Rule 13d-1(b) or (4), check the following box.</w:t>
      </w:r>
    </w:p>
    <w:p>
      <w:pPr>
        <w:spacing w:after="0" w:line="209" w:lineRule="exact"/>
        <w:rPr>
          <w:sz w:val="24"/>
          <w:szCs w:val="24"/>
          <w:color w:val="auto"/>
        </w:rPr>
      </w:pPr>
    </w:p>
    <w:p>
      <w:pPr>
        <w:ind w:right="177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following pages)</w:t>
      </w:r>
    </w:p>
    <w:p>
      <w:pPr>
        <w:spacing w:after="0" w:line="238" w:lineRule="auto"/>
        <w:tabs>
          <w:tab w:leader="none" w:pos="1140" w:val="left"/>
        </w:tabs>
        <w:rPr>
          <w:sz w:val="20"/>
          <w:szCs w:val="20"/>
          <w:color w:val="auto"/>
        </w:rPr>
      </w:pPr>
      <w:r>
        <w:rPr>
          <w:rFonts w:ascii="Courier New" w:cs="Courier New" w:eastAsia="Courier New" w:hAnsi="Courier New"/>
          <w:sz w:val="18"/>
          <w:szCs w:val="18"/>
          <w:color w:val="auto"/>
        </w:rPr>
        <w:t>Page 1 of</w:t>
        <w:tab/>
        <w:t>pages</w:t>
      </w:r>
    </w:p>
    <w:p>
      <w:pPr>
        <w:spacing w:after="0"/>
        <w:rPr>
          <w:sz w:val="20"/>
          <w:szCs w:val="20"/>
          <w:color w:val="auto"/>
        </w:rPr>
      </w:pPr>
      <w:r>
        <w:rPr>
          <w:rFonts w:ascii="Courier New" w:cs="Courier New" w:eastAsia="Courier New" w:hAnsi="Courier New"/>
          <w:sz w:val="18"/>
          <w:szCs w:val="18"/>
          <w:color w:val="auto"/>
        </w:rPr>
        <w:t>Index to Exhibits on Page</w:t>
      </w:r>
    </w:p>
    <w:p>
      <w:pPr>
        <w:spacing w:after="0" w:line="200" w:lineRule="exact"/>
        <w:rPr>
          <w:sz w:val="24"/>
          <w:szCs w:val="24"/>
          <w:color w:val="auto"/>
        </w:rPr>
      </w:pPr>
    </w:p>
    <w:p>
      <w:pPr>
        <w:spacing w:after="0" w:line="37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2 of Pages</w:t>
      </w:r>
    </w:p>
    <w:p>
      <w:pPr>
        <w:spacing w:after="0" w:line="201"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Seymour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Holtzman</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4"/>
          <w:szCs w:val="24"/>
          <w:color w:val="auto"/>
        </w:rPr>
      </w:pPr>
    </w:p>
    <w:p>
      <w:pPr>
        <w:ind w:left="860" w:right="347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4"/>
          <w:szCs w:val="24"/>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U.S.</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2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60" w:type="dxa"/>
            <w:vAlign w:val="bottom"/>
            <w:gridSpan w:val="2"/>
          </w:tcPr>
          <w:p>
            <w:pPr>
              <w:jc w:val="right"/>
              <w:ind w:right="852"/>
              <w:spacing w:after="0" w:line="203" w:lineRule="exact"/>
              <w:rPr>
                <w:sz w:val="20"/>
                <w:szCs w:val="20"/>
                <w:color w:val="auto"/>
              </w:rPr>
            </w:pPr>
            <w:r>
              <w:rPr>
                <w:rFonts w:ascii="Courier New" w:cs="Courier New" w:eastAsia="Courier New" w:hAnsi="Courier New"/>
                <w:sz w:val="18"/>
                <w:szCs w:val="18"/>
                <w:color w:val="auto"/>
              </w:rPr>
              <w:t>7,285</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0 -</w:t>
            </w:r>
          </w:p>
        </w:tc>
      </w:tr>
    </w:tbl>
    <w:p>
      <w:pPr>
        <w:sectPr>
          <w:pgSz w:w="11900" w:h="16838" w:orient="portrait"/>
          <w:cols w:equalWidth="0" w:num="1">
            <w:col w:w="10219"/>
          </w:cols>
          <w:pgMar w:left="240" w:top="447"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7,285</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7,285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.04%</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136" w:right="1440" w:bottom="1440"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3 of Pages</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580"/>
              <w:spacing w:after="0"/>
              <w:rPr>
                <w:sz w:val="20"/>
                <w:szCs w:val="20"/>
                <w:color w:val="auto"/>
              </w:rPr>
            </w:pPr>
            <w:r>
              <w:rPr>
                <w:rFonts w:ascii="Courier New" w:cs="Courier New" w:eastAsia="Courier New" w:hAnsi="Courier New"/>
                <w:sz w:val="18"/>
                <w:szCs w:val="18"/>
                <w:color w:val="auto"/>
              </w:rPr>
              <w:t>Evelyn Holtzman</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860" w:right="3479" w:hanging="852"/>
        <w:spacing w:after="0" w:line="235"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919"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4 of Pages</w:t>
      </w:r>
    </w:p>
    <w:p>
      <w:pPr>
        <w:spacing w:after="0" w:line="201" w:lineRule="exact"/>
        <w:rPr>
          <w:sz w:val="20"/>
          <w:szCs w:val="20"/>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"Jewelcor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Management, Inc."</w:t>
            </w:r>
          </w:p>
        </w:tc>
        <w:tc>
          <w:tcPr>
            <w:tcW w:w="9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Federal Identification No.  23-2331228</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679" w:hanging="852"/>
        <w:spacing w:after="0" w:line="536" w:lineRule="auto"/>
        <w:tabs>
          <w:tab w:leader="none" w:pos="8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235"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860" w:hanging="852"/>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U.S. Nevada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2,474,671</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2,474,671</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2,474,671</w:t>
      </w:r>
    </w:p>
    <w:p>
      <w:pPr>
        <w:spacing w:after="0" w:line="1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15.1%</w:t>
      </w:r>
    </w:p>
    <w:p>
      <w:pPr>
        <w:spacing w:after="0" w:line="206" w:lineRule="exact"/>
        <w:rPr>
          <w:rFonts w:ascii="Courier New" w:cs="Courier New" w:eastAsia="Courier New" w:hAnsi="Courier New"/>
          <w:sz w:val="18"/>
          <w:szCs w:val="18"/>
          <w:color w:val="auto"/>
        </w:rPr>
      </w:pPr>
    </w:p>
    <w:p>
      <w:pPr>
        <w:ind w:left="860" w:right="6739" w:hanging="852"/>
        <w:spacing w:after="0" w:line="470"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214"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919" w:right="1440" w:bottom="1440" w:gutter="0" w:footer="0" w:header="0"/>
        </w:sectPr>
      </w:pPr>
    </w:p>
    <w:bookmarkStart w:id="4" w:name="page5"/>
    <w:bookmarkEnd w:id="4"/>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5 of Pages</w:t>
      </w:r>
    </w:p>
    <w:p>
      <w:pPr>
        <w:spacing w:after="0" w:line="201" w:lineRule="exact"/>
        <w:rPr>
          <w:sz w:val="20"/>
          <w:szCs w:val="20"/>
          <w:color w:val="auto"/>
        </w:rPr>
      </w:pPr>
    </w:p>
    <w:p>
      <w:pPr>
        <w:ind w:left="860" w:hanging="8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S.H. Holdings, Inc.</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860" w:right="3479" w:hanging="852"/>
        <w:spacing w:after="0" w:line="235" w:lineRule="auto"/>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Delaware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w:t>
      </w:r>
    </w:p>
    <w:p>
      <w:pPr>
        <w:spacing w:after="0" w:line="207"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919" w:right="1440" w:bottom="1440" w:gutter="0" w:footer="0" w:header="0"/>
        </w:sectPr>
      </w:pPr>
    </w:p>
    <w:bookmarkStart w:id="5" w:name="page6"/>
    <w:bookmarkEnd w:id="5"/>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 w:leader="none" w:pos="652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8"/>
          <w:szCs w:val="18"/>
          <w:color w:val="auto"/>
        </w:rPr>
        <w:t>Page 6</w:t>
      </w:r>
      <w:r>
        <w:rPr>
          <w:sz w:val="20"/>
          <w:szCs w:val="20"/>
          <w:color w:val="auto"/>
        </w:rPr>
        <w:tab/>
      </w:r>
      <w:r>
        <w:rPr>
          <w:rFonts w:ascii="Courier New" w:cs="Courier New" w:eastAsia="Courier New" w:hAnsi="Courier New"/>
          <w:sz w:val="16"/>
          <w:szCs w:val="16"/>
          <w:color w:val="auto"/>
        </w:rPr>
        <w:t>of Pages</w:t>
      </w:r>
    </w:p>
    <w:p>
      <w:pPr>
        <w:spacing w:after="0" w:line="201" w:lineRule="exact"/>
        <w:rPr>
          <w:sz w:val="20"/>
          <w:szCs w:val="20"/>
          <w:color w:val="auto"/>
        </w:rPr>
      </w:pPr>
    </w:p>
    <w:p>
      <w:pPr>
        <w:ind w:left="860" w:hanging="8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Jewelcor Inc.</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679" w:hanging="852"/>
        <w:spacing w:after="0" w:line="536" w:lineRule="auto"/>
        <w:tabs>
          <w:tab w:leader="none" w:pos="8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235"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860" w:hanging="852"/>
        <w:spacing w:after="0"/>
        <w:tabs>
          <w:tab w:leader="none" w:pos="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U.S. Pennsylvania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860" w:right="673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2"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112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This Statement on Schedule 13D ("Schedule 13D") relates to the common stock (the "Common Stock") of Designs, Inc. (the "Company"). The principal executive offices of the Company are located at 66 B Street, Needham, Massachusetts 02194.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 3 is hereby supplementally amended as follows: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On June 26, 2000, the Company issued to Seymour Holtzman 2,285 shares of Common Stock in lieu of certain director's fees for Mr. Holtzman's participation in meetings of the Company's Board of Directors and certain of its committees.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On June 26, 2000, 15,000 Non-Qualified Stock Options were granted by the Company to Mr. Holtzman pursuant to the Company's 1992 Stock Incentive Plan, as amended. These options vest and become exercisable in three equal installments on June 26, 2000, June 26, 2001 and June 26, 2002.</w:t>
      </w:r>
    </w:p>
    <w:p>
      <w:pPr>
        <w:spacing w:after="0" w:line="207" w:lineRule="exact"/>
        <w:rPr>
          <w:sz w:val="20"/>
          <w:szCs w:val="20"/>
          <w:color w:val="auto"/>
        </w:rPr>
      </w:pPr>
    </w:p>
    <w:p>
      <w:pPr>
        <w:jc w:val="both"/>
        <w:ind w:right="2419" w:firstLine="527"/>
        <w:spacing w:after="0" w:line="275" w:lineRule="auto"/>
        <w:rPr>
          <w:sz w:val="20"/>
          <w:szCs w:val="20"/>
          <w:color w:val="auto"/>
        </w:rPr>
      </w:pPr>
      <w:r>
        <w:rPr>
          <w:rFonts w:ascii="Courier New" w:cs="Courier New" w:eastAsia="Courier New" w:hAnsi="Courier New"/>
          <w:sz w:val="16"/>
          <w:szCs w:val="16"/>
          <w:color w:val="auto"/>
        </w:rPr>
        <w:t>On April 11, 2000, 15,000 Non-Qualified Stock Options were granted by the Company to Mr. Holtzman pursuant to the Company's 1992 Stock Incentive Plan, as amended. These options vest and become exercisable in three equal installments on April 11, 2001, April 11, 2002 and April 11, 2003.</w:t>
      </w:r>
    </w:p>
    <w:p>
      <w:pPr>
        <w:spacing w:after="0" w:line="182"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On September 12, 2000, Jewelcor Management, Inc. ("JMI") purchased 10,000 shares of Common Stock at a total cost (including fees) of $23,525.00 from funds borrowed by JMI against its margin account with Bear Stearns Securities.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Item 4 is hereby supplementally amended as follows:</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As originally reported by JMI in its amendment to Schedule 13D filed with the Securities and Exchange Commission on October 29, 1999, the Company entered into a consulting agreement with JMI to assist in developing and implementing a strategic plan for the Company and for other related consulting services as may be agreed upon between JMI and the Company. As compensation for these services, JMI was given the right to receive a non-qualified stock option to purchase up to 400,000 shares of the Company's Common Stock, exercisable at the closing price on October 28, 1999. Any remaining compensation due would be paid to JMI in cash or stock. A copy of</w:t>
      </w:r>
    </w:p>
    <w:p>
      <w:pPr>
        <w:spacing w:after="0" w:line="11"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the definitive consulting agreement between the Company and JMI with respect to such consulting services was attached to JMI's March 31, 2000 filing of its amendment to Schedule 13D with the Securities and Exchange Commission.</w:t>
      </w:r>
    </w:p>
    <w:p>
      <w:pPr>
        <w:spacing w:after="0" w:line="178" w:lineRule="exact"/>
        <w:rPr>
          <w:sz w:val="20"/>
          <w:szCs w:val="20"/>
          <w:color w:val="auto"/>
        </w:rPr>
      </w:pPr>
    </w:p>
    <w:p>
      <w:pPr>
        <w:ind w:right="2099" w:firstLine="1159"/>
        <w:spacing w:after="0" w:line="268" w:lineRule="auto"/>
        <w:rPr>
          <w:sz w:val="20"/>
          <w:szCs w:val="20"/>
          <w:color w:val="auto"/>
        </w:rPr>
      </w:pPr>
      <w:r>
        <w:rPr>
          <w:rFonts w:ascii="Courier New" w:cs="Courier New" w:eastAsia="Courier New" w:hAnsi="Courier New"/>
          <w:sz w:val="16"/>
          <w:szCs w:val="16"/>
          <w:color w:val="auto"/>
        </w:rPr>
        <w:t>On June 26, 2000, the Board of Directors of the Company authorized the extension of JMI's consulting agreement for a period of one year. However, the terms of such extension have not been finalized. As set forth in the Company's Form 10-Q filed on September 12, 2000, the compensation</w:t>
      </w:r>
    </w:p>
    <w:p>
      <w:pPr>
        <w:spacing w:after="0" w:line="1"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to be received by JMI for its consulting services shall be $20,000 per month, payable in Common Stock as determined by the closing price of the Common Stock on the last day of each fiscal month. Seymour Holtzman, Chairman of the Board of Directors of the Company, is President and Chief Executive Officer of JMI.</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5 is hereby supplementally amended as follows:</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JMI beneficially owns an aggregate of 2,474,671 shares of Common Stock. Based upon the Company's Form 10-Q filed September 12, 2000 which reports the number of outstanding shares of the Company to be 16,336,555, JMI beneficially owns approximately 15.1% of said outstanding shares.</w:t>
      </w:r>
    </w:p>
    <w:p>
      <w:pPr>
        <w:spacing w:after="0" w:line="207" w:lineRule="exact"/>
        <w:rPr>
          <w:sz w:val="20"/>
          <w:szCs w:val="20"/>
          <w:color w:val="auto"/>
        </w:rPr>
      </w:pPr>
    </w:p>
    <w:p>
      <w:pPr>
        <w:ind w:right="2319" w:firstLine="843"/>
        <w:spacing w:after="0" w:line="279" w:lineRule="auto"/>
        <w:rPr>
          <w:sz w:val="20"/>
          <w:szCs w:val="20"/>
          <w:color w:val="auto"/>
        </w:rPr>
      </w:pPr>
      <w:r>
        <w:rPr>
          <w:rFonts w:ascii="Courier New" w:cs="Courier New" w:eastAsia="Courier New" w:hAnsi="Courier New"/>
          <w:sz w:val="16"/>
          <w:szCs w:val="16"/>
          <w:color w:val="auto"/>
        </w:rPr>
        <w:t>As of September 12, 2000, the Reporting Persons own an aggregate of 2,481,956 shares of Common Stock which, based on there being 16,336,555 outstanding shares of the Company, represents 15.2% of said outstanding</w:t>
      </w:r>
    </w:p>
    <w:p>
      <w:pPr>
        <w:sectPr>
          <w:pgSz w:w="11900" w:h="16838" w:orient="portrait"/>
          <w:cols w:equalWidth="0" w:num="1">
            <w:col w:w="10219"/>
          </w:cols>
          <w:pgMar w:left="240" w:top="717"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shares.</w:t>
      </w:r>
    </w:p>
    <w:p>
      <w:pPr>
        <w:spacing w:after="0" w:line="207"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7" w:lineRule="exact"/>
        <w:rPr>
          <w:sz w:val="20"/>
          <w:szCs w:val="20"/>
          <w:color w:val="auto"/>
        </w:rPr>
      </w:pPr>
    </w:p>
    <w:p>
      <w:pPr>
        <w:ind w:right="2199" w:firstLine="851"/>
        <w:spacing w:after="0" w:line="236" w:lineRule="auto"/>
        <w:tabs>
          <w:tab w:leader="none" w:pos="1159"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listing of the shares of Common Stock that were acquired by the Reporting Persons in the sixty days prior to September 12, 2000 is filed herewith as Exhibit A.</w:t>
      </w:r>
    </w:p>
    <w:p>
      <w:pPr>
        <w:sectPr>
          <w:pgSz w:w="11900" w:h="16838" w:orient="portrait"/>
          <w:cols w:equalWidth="0" w:num="1">
            <w:col w:w="10219"/>
          </w:cols>
          <w:pgMar w:left="240" w:top="136" w:right="1440" w:bottom="1440" w:gutter="0" w:footer="0" w:header="0"/>
        </w:sectPr>
      </w:pPr>
    </w:p>
    <w:bookmarkStart w:id="8" w:name="page9"/>
    <w:bookmarkEnd w:id="8"/>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their knowledge, the undersigned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September 18, 2000</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jc w:val="right"/>
        <w:ind w:right="5159"/>
        <w:spacing w:after="0" w:line="238" w:lineRule="auto"/>
        <w:rPr>
          <w:sz w:val="20"/>
          <w:szCs w:val="20"/>
          <w:color w:val="auto"/>
        </w:rPr>
      </w:pPr>
      <w:r>
        <w:rPr>
          <w:rFonts w:ascii="Courier New" w:cs="Courier New" w:eastAsia="Courier New" w:hAnsi="Courier New"/>
          <w:sz w:val="18"/>
          <w:szCs w:val="18"/>
          <w:color w:val="auto"/>
        </w:rPr>
        <w:t>Seymour Holtzman</w:t>
      </w:r>
    </w:p>
    <w:p>
      <w:pPr>
        <w:spacing w:after="0" w:line="202"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jc w:val="right"/>
        <w:ind w:right="5259"/>
        <w:spacing w:after="0" w:line="238" w:lineRule="auto"/>
        <w:rPr>
          <w:sz w:val="20"/>
          <w:szCs w:val="20"/>
          <w:color w:val="auto"/>
        </w:rPr>
      </w:pPr>
      <w:r>
        <w:rPr>
          <w:rFonts w:ascii="Courier New" w:cs="Courier New" w:eastAsia="Courier New" w:hAnsi="Courier New"/>
          <w:sz w:val="18"/>
          <w:szCs w:val="18"/>
          <w:color w:val="auto"/>
        </w:rPr>
        <w:t>Evelyn Holtzman</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ectPr>
          <w:pgSz w:w="11900" w:h="16838" w:orient="portrait"/>
          <w:cols w:equalWidth="0" w:num="1">
            <w:col w:w="10219"/>
          </w:cols>
          <w:pgMar w:left="240" w:top="717" w:right="1440" w:bottom="1440" w:gutter="0" w:footer="0" w:header="0"/>
        </w:sectPr>
      </w:pPr>
    </w:p>
    <w:bookmarkStart w:id="9" w:name="page10"/>
    <w:bookmarkEnd w:id="9"/>
    <w:p>
      <w:pPr>
        <w:ind w:left="5380"/>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LIST OF TRANSACTIONS</w:t>
      </w:r>
    </w:p>
    <w:p>
      <w:pPr>
        <w:spacing w:after="0" w:line="207" w:lineRule="exact"/>
        <w:rPr>
          <w:sz w:val="20"/>
          <w:szCs w:val="20"/>
          <w:color w:val="auto"/>
        </w:rPr>
      </w:pPr>
    </w:p>
    <w:p>
      <w:pPr>
        <w:ind w:left="6640"/>
        <w:spacing w:after="0"/>
        <w:rPr>
          <w:sz w:val="20"/>
          <w:szCs w:val="20"/>
          <w:color w:val="auto"/>
        </w:rPr>
      </w:pPr>
      <w:r>
        <w:rPr>
          <w:rFonts w:ascii="Courier New" w:cs="Courier New" w:eastAsia="Courier New" w:hAnsi="Courier New"/>
          <w:sz w:val="16"/>
          <w:szCs w:val="16"/>
          <w:color w:val="auto"/>
        </w:rPr>
        <w:t>TOTAL COST/</w:t>
      </w:r>
    </w:p>
    <w:p>
      <w:pPr>
        <w:sectPr>
          <w:pgSz w:w="11900" w:h="16838" w:orient="portrait"/>
          <w:cols w:equalWidth="0" w:num="1">
            <w:col w:w="10219"/>
          </w:cols>
          <w:pgMar w:left="240" w:top="1122" w:right="1440" w:bottom="1440" w:gutter="0" w:footer="0" w:header="0"/>
        </w:sectPr>
      </w:pPr>
    </w:p>
    <w:p>
      <w:pPr>
        <w:spacing w:after="0" w:line="224"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DATE PURCHASED -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PURCHASED/SOLD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THROUGH</w:t>
      </w:r>
    </w:p>
    <w:p>
      <w:pPr>
        <w:ind w:left="20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NUMBER OF SHARES</w:t>
      </w:r>
    </w:p>
    <w:p>
      <w:pPr>
        <w:spacing w:after="0" w:line="238" w:lineRule="auto"/>
        <w:tabs>
          <w:tab w:leader="none" w:pos="1460" w:val="left"/>
        </w:tabs>
        <w:rPr>
          <w:sz w:val="20"/>
          <w:szCs w:val="20"/>
          <w:color w:val="auto"/>
        </w:rPr>
      </w:pPr>
      <w:r>
        <w:rPr>
          <w:rFonts w:ascii="Courier New" w:cs="Courier New" w:eastAsia="Courier New" w:hAnsi="Courier New"/>
          <w:sz w:val="18"/>
          <w:szCs w:val="18"/>
          <w:color w:val="auto"/>
        </w:rPr>
        <w:t>PURCHASED/</w:t>
      </w:r>
      <w:r>
        <w:rPr>
          <w:sz w:val="20"/>
          <w:szCs w:val="20"/>
          <w:color w:val="auto"/>
        </w:rPr>
        <w:tab/>
      </w:r>
      <w:r>
        <w:rPr>
          <w:rFonts w:ascii="Courier New" w:cs="Courier New" w:eastAsia="Courier New" w:hAnsi="Courier New"/>
          <w:sz w:val="18"/>
          <w:szCs w:val="18"/>
          <w:color w:val="auto"/>
        </w:rPr>
        <w:t>INCLUDING FEES</w:t>
      </w:r>
    </w:p>
    <w:p>
      <w:pPr>
        <w:spacing w:after="0" w:line="5" w:lineRule="exact"/>
        <w:rPr>
          <w:sz w:val="20"/>
          <w:szCs w:val="20"/>
          <w:color w:val="auto"/>
        </w:rPr>
      </w:pPr>
    </w:p>
    <w:p>
      <w:pPr>
        <w:ind w:left="200"/>
        <w:spacing w:after="0"/>
        <w:tabs>
          <w:tab w:leader="none" w:pos="23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3">
            <w:col w:w="1700" w:space="420"/>
            <w:col w:w="1700" w:space="720"/>
            <w:col w:w="5679"/>
          </w:cols>
          <w:pgMar w:left="240" w:top="1122" w:right="1440" w:bottom="1440" w:gutter="0" w:footer="0" w:header="0"/>
          <w:type w:val="continuous"/>
        </w:sectPr>
      </w:pPr>
    </w:p>
    <w:p>
      <w:pPr>
        <w:ind w:left="2000"/>
        <w:spacing w:after="0"/>
        <w:rPr>
          <w:sz w:val="20"/>
          <w:szCs w:val="20"/>
          <w:color w:val="auto"/>
        </w:rPr>
      </w:pPr>
      <w:r>
        <w:rPr>
          <w:rFonts w:ascii="Courier New" w:cs="Courier New" w:eastAsia="Courier New" w:hAnsi="Courier New"/>
          <w:sz w:val="16"/>
          <w:szCs w:val="16"/>
          <w:color w:val="auto"/>
        </w:rPr>
        <w:t>JEWELECOR MGT. INC.</w:t>
      </w:r>
    </w:p>
    <w:p>
      <w:pPr>
        <w:sectPr>
          <w:pgSz w:w="11900" w:h="16838" w:orient="portrait"/>
          <w:cols w:equalWidth="0" w:num="1">
            <w:col w:w="10219"/>
          </w:cols>
          <w:pgMar w:left="240" w:top="1122"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9/12/00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$23,525.00</w:t>
      </w:r>
    </w:p>
    <w:p>
      <w:pPr>
        <w:spacing w:after="0" w:line="21" w:lineRule="exact"/>
        <w:rPr>
          <w:sz w:val="20"/>
          <w:szCs w:val="20"/>
          <w:color w:val="auto"/>
        </w:rPr>
      </w:pPr>
    </w:p>
    <w:p>
      <w:pPr>
        <w:sectPr>
          <w:pgSz w:w="11900" w:h="16838" w:orient="portrait"/>
          <w:cols w:equalWidth="0" w:num="3">
            <w:col w:w="4440" w:space="720"/>
            <w:col w:w="1080" w:space="720"/>
            <w:col w:w="3259"/>
          </w:cols>
          <w:pgMar w:left="240" w:top="1122" w:right="1440" w:bottom="1440" w:gutter="0" w:footer="0" w:header="0"/>
          <w:type w:val="continuous"/>
        </w:sectPr>
      </w:pPr>
    </w:p>
    <w:p>
      <w:pPr>
        <w:ind w:left="2000"/>
        <w:spacing w:after="0"/>
        <w:rPr>
          <w:sz w:val="20"/>
          <w:szCs w:val="20"/>
          <w:color w:val="auto"/>
        </w:rPr>
      </w:pPr>
      <w:r>
        <w:rPr>
          <w:rFonts w:ascii="Courier New" w:cs="Courier New" w:eastAsia="Courier New" w:hAnsi="Courier New"/>
          <w:sz w:val="16"/>
          <w:szCs w:val="16"/>
          <w:color w:val="auto"/>
        </w:rPr>
        <w:t>SEYMOUR HOLTZMAN</w:t>
      </w:r>
    </w:p>
    <w:p>
      <w:pPr>
        <w:sectPr>
          <w:pgSz w:w="11900" w:h="16838" w:orient="portrait"/>
          <w:cols w:equalWidth="0" w:num="1">
            <w:col w:w="10219"/>
          </w:cols>
          <w:pgMar w:left="240" w:top="1122"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6/26/00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2,285*</w:t>
      </w:r>
    </w:p>
    <w:p>
      <w:pPr>
        <w:spacing w:after="0" w:line="200" w:lineRule="exact"/>
        <w:rPr>
          <w:sz w:val="20"/>
          <w:szCs w:val="20"/>
          <w:color w:val="auto"/>
        </w:rPr>
      </w:pPr>
    </w:p>
    <w:p>
      <w:pPr>
        <w:sectPr>
          <w:pgSz w:w="11900" w:h="16838" w:orient="portrait"/>
          <w:cols w:equalWidth="0" w:num="2">
            <w:col w:w="4560" w:space="720"/>
            <w:col w:w="4939"/>
          </w:cols>
          <w:pgMar w:left="240" w:top="1122" w:right="1440" w:bottom="1440" w:gutter="0" w:footer="0" w:header="0"/>
          <w:type w:val="continuous"/>
        </w:sectPr>
      </w:pPr>
    </w:p>
    <w:p>
      <w:pPr>
        <w:spacing w:after="0" w:line="226"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*On June 26, 2000, the Company issued to Seymour Holtzman 2,285 shares of Common Stock in lieu of certain director's fees for Mr. Holtzman's participation in meetings of the Company's Board of Directors and certain of its committees.</w:t>
      </w:r>
    </w:p>
    <w:sectPr>
      <w:pgSz w:w="11900" w:h="16838" w:orient="portrait"/>
      <w:cols w:equalWidth="0" w:num="1">
        <w:col w:w="10219"/>
      </w:cols>
      <w:pgMar w:left="240" w:top="112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bullet"/>
      <w:start w:val="1"/>
    </w:lvl>
  </w:abstractNum>
  <w:abstractNum w:abstractNumId="2">
    <w:nsid w:val="519B500D"/>
    <w:multiLevelType w:val="hybridMultilevel"/>
    <w:lvl w:ilvl="0">
      <w:lvlJc w:val="left"/>
      <w:lvlText w:val="3"/>
      <w:numFmt w:val="bullet"/>
      <w:start w:val="1"/>
    </w:lvl>
  </w:abstractNum>
  <w:abstractNum w:abstractNumId="3">
    <w:nsid w:val="431BD7B7"/>
    <w:multiLevelType w:val="hybridMultilevel"/>
    <w:lvl w:ilvl="0">
      <w:lvlJc w:val="left"/>
      <w:lvlText w:val="4"/>
      <w:numFmt w:val="bullet"/>
      <w:start w:val="1"/>
    </w:lvl>
  </w:abstractNum>
  <w:abstractNum w:abstractNumId="4">
    <w:nsid w:val="3F2DBA31"/>
    <w:multiLevelType w:val="hybridMultilevel"/>
    <w:lvl w:ilvl="0">
      <w:lvlJc w:val="left"/>
      <w:lvlText w:val="5"/>
      <w:numFmt w:val="bullet"/>
      <w:start w:val="1"/>
    </w:lvl>
  </w:abstractNum>
  <w:abstractNum w:abstractNumId="5">
    <w:nsid w:val="7C83E458"/>
    <w:multiLevelType w:val="hybridMultilevel"/>
    <w:lvl w:ilvl="0">
      <w:lvlJc w:val="left"/>
      <w:lvlText w:val="6"/>
      <w:numFmt w:val="bullet"/>
      <w:start w:val="1"/>
    </w:lvl>
  </w:abstractNum>
  <w:abstractNum w:abstractNumId="6">
    <w:nsid w:val="257130A3"/>
    <w:multiLevelType w:val="hybridMultilevel"/>
    <w:lvl w:ilvl="0">
      <w:lvlJc w:val="left"/>
      <w:lvlText w:val="%1"/>
      <w:numFmt w:val="decimal"/>
      <w:start w:val="11"/>
    </w:lvl>
  </w:abstractNum>
  <w:abstractNum w:abstractNumId="7">
    <w:nsid w:val="62BBD95A"/>
    <w:multiLevelType w:val="hybridMultilevel"/>
    <w:lvl w:ilvl="0">
      <w:lvlJc w:val="left"/>
      <w:lvlText w:val="1"/>
      <w:numFmt w:val="bullet"/>
      <w:start w:val="1"/>
    </w:lvl>
  </w:abstractNum>
  <w:abstractNum w:abstractNumId="8">
    <w:nsid w:val="436C6125"/>
    <w:multiLevelType w:val="hybridMultilevel"/>
    <w:lvl w:ilvl="0">
      <w:lvlJc w:val="left"/>
      <w:lvlText w:val="3"/>
      <w:numFmt w:val="bullet"/>
      <w:start w:val="1"/>
    </w:lvl>
  </w:abstractNum>
  <w:abstractNum w:abstractNumId="9">
    <w:nsid w:val="628C895D"/>
    <w:multiLevelType w:val="hybridMultilevel"/>
    <w:lvl w:ilvl="0">
      <w:lvlJc w:val="left"/>
      <w:lvlText w:val="4"/>
      <w:numFmt w:val="bullet"/>
      <w:start w:val="1"/>
    </w:lvl>
  </w:abstractNum>
  <w:abstractNum w:abstractNumId="10">
    <w:nsid w:val="333AB105"/>
    <w:multiLevelType w:val="hybridMultilevel"/>
    <w:lvl w:ilvl="0">
      <w:lvlJc w:val="left"/>
      <w:lvlText w:val="5"/>
      <w:numFmt w:val="bullet"/>
      <w:start w:val="1"/>
    </w:lvl>
  </w:abstractNum>
  <w:abstractNum w:abstractNumId="11">
    <w:nsid w:val="721DA317"/>
    <w:multiLevelType w:val="hybridMultilevel"/>
    <w:lvl w:ilvl="0">
      <w:lvlJc w:val="left"/>
      <w:lvlText w:val="6"/>
      <w:numFmt w:val="bullet"/>
      <w:start w:val="1"/>
    </w:lvl>
  </w:abstractNum>
  <w:abstractNum w:abstractNumId="12">
    <w:nsid w:val="2443A858"/>
    <w:multiLevelType w:val="hybridMultilevel"/>
    <w:lvl w:ilvl="0">
      <w:lvlJc w:val="left"/>
      <w:lvlText w:val="%1"/>
      <w:numFmt w:val="decimal"/>
      <w:start w:val="11"/>
    </w:lvl>
  </w:abstractNum>
  <w:abstractNum w:abstractNumId="13">
    <w:nsid w:val="2D1D5AE9"/>
    <w:multiLevelType w:val="hybridMultilevel"/>
    <w:lvl w:ilvl="0">
      <w:lvlJc w:val="left"/>
      <w:lvlText w:val="1"/>
      <w:numFmt w:val="bullet"/>
      <w:start w:val="1"/>
    </w:lvl>
  </w:abstractNum>
  <w:abstractNum w:abstractNumId="14">
    <w:nsid w:val="6763845E"/>
    <w:multiLevelType w:val="hybridMultilevel"/>
    <w:lvl w:ilvl="0">
      <w:lvlJc w:val="left"/>
      <w:lvlText w:val="3"/>
      <w:numFmt w:val="bullet"/>
      <w:start w:val="1"/>
    </w:lvl>
  </w:abstractNum>
  <w:abstractNum w:abstractNumId="15">
    <w:nsid w:val="75A2A8D4"/>
    <w:multiLevelType w:val="hybridMultilevel"/>
    <w:lvl w:ilvl="0">
      <w:lvlJc w:val="left"/>
      <w:lvlText w:val="4"/>
      <w:numFmt w:val="bullet"/>
      <w:start w:val="1"/>
    </w:lvl>
  </w:abstractNum>
  <w:abstractNum w:abstractNumId="16">
    <w:nsid w:val="8EDBDAB"/>
    <w:multiLevelType w:val="hybridMultilevel"/>
    <w:lvl w:ilvl="0">
      <w:lvlJc w:val="left"/>
      <w:lvlText w:val="5"/>
      <w:numFmt w:val="bullet"/>
      <w:start w:val="1"/>
    </w:lvl>
  </w:abstractNum>
  <w:abstractNum w:abstractNumId="17">
    <w:nsid w:val="79838CB2"/>
    <w:multiLevelType w:val="hybridMultilevel"/>
    <w:lvl w:ilvl="0">
      <w:lvlJc w:val="left"/>
      <w:lvlText w:val="6"/>
      <w:numFmt w:val="bullet"/>
      <w:start w:val="1"/>
    </w:lvl>
  </w:abstractNum>
  <w:abstractNum w:abstractNumId="18">
    <w:nsid w:val="4353D0CD"/>
    <w:multiLevelType w:val="hybridMultilevel"/>
    <w:lvl w:ilvl="0">
      <w:lvlJc w:val="left"/>
      <w:lvlText w:val="%1"/>
      <w:numFmt w:val="decimal"/>
      <w:start w:val="11"/>
    </w:lvl>
  </w:abstractNum>
  <w:abstractNum w:abstractNumId="19">
    <w:nsid w:val="B03E0C6"/>
    <w:multiLevelType w:val="hybridMultilevel"/>
    <w:lvl w:ilvl="0">
      <w:lvlJc w:val="left"/>
      <w:lvlText w:val="1"/>
      <w:numFmt w:val="bullet"/>
      <w:start w:val="1"/>
    </w:lvl>
  </w:abstractNum>
  <w:abstractNum w:abstractNumId="20">
    <w:nsid w:val="189A769B"/>
    <w:multiLevelType w:val="hybridMultilevel"/>
    <w:lvl w:ilvl="0">
      <w:lvlJc w:val="left"/>
      <w:lvlText w:val="3"/>
      <w:numFmt w:val="bullet"/>
      <w:start w:val="1"/>
    </w:lvl>
  </w:abstractNum>
  <w:abstractNum w:abstractNumId="21">
    <w:nsid w:val="54E49EB4"/>
    <w:multiLevelType w:val="hybridMultilevel"/>
    <w:lvl w:ilvl="0">
      <w:lvlJc w:val="left"/>
      <w:lvlText w:val="4"/>
      <w:numFmt w:val="bullet"/>
      <w:start w:val="1"/>
    </w:lvl>
  </w:abstractNum>
  <w:abstractNum w:abstractNumId="22">
    <w:nsid w:val="71F32454"/>
    <w:multiLevelType w:val="hybridMultilevel"/>
    <w:lvl w:ilvl="0">
      <w:lvlJc w:val="left"/>
      <w:lvlText w:val="5"/>
      <w:numFmt w:val="bullet"/>
      <w:start w:val="1"/>
    </w:lvl>
  </w:abstractNum>
  <w:abstractNum w:abstractNumId="23">
    <w:nsid w:val="2CA88611"/>
    <w:multiLevelType w:val="hybridMultilevel"/>
    <w:lvl w:ilvl="0">
      <w:lvlJc w:val="left"/>
      <w:lvlText w:val="6"/>
      <w:numFmt w:val="bullet"/>
      <w:start w:val="1"/>
    </w:lvl>
  </w:abstractNum>
  <w:abstractNum w:abstractNumId="24">
    <w:nsid w:val="836C40E"/>
    <w:multiLevelType w:val="hybridMultilevel"/>
    <w:lvl w:ilvl="0">
      <w:lvlJc w:val="left"/>
      <w:lvlText w:val="%1"/>
      <w:numFmt w:val="decimal"/>
      <w:start w:val="11"/>
    </w:lvl>
  </w:abstractNum>
  <w:abstractNum w:abstractNumId="25">
    <w:nsid w:val="2901D82"/>
    <w:multiLevelType w:val="hybridMultilevel"/>
    <w:lvl w:ilvl="0">
      <w:lvlJc w:val="left"/>
      <w:lvlText w:val="1"/>
      <w:numFmt w:val="bullet"/>
      <w:start w:val="1"/>
    </w:lvl>
  </w:abstractNum>
  <w:abstractNum w:abstractNumId="26">
    <w:nsid w:val="3A95F874"/>
    <w:multiLevelType w:val="hybridMultilevel"/>
    <w:lvl w:ilvl="0">
      <w:lvlJc w:val="left"/>
      <w:lvlText w:val="3"/>
      <w:numFmt w:val="bullet"/>
      <w:start w:val="1"/>
    </w:lvl>
  </w:abstractNum>
  <w:abstractNum w:abstractNumId="27">
    <w:nsid w:val="8138641"/>
    <w:multiLevelType w:val="hybridMultilevel"/>
    <w:lvl w:ilvl="0">
      <w:lvlJc w:val="left"/>
      <w:lvlText w:val="4"/>
      <w:numFmt w:val="bullet"/>
      <w:start w:val="1"/>
    </w:lvl>
  </w:abstractNum>
  <w:abstractNum w:abstractNumId="28">
    <w:nsid w:val="1E7FF521"/>
    <w:multiLevelType w:val="hybridMultilevel"/>
    <w:lvl w:ilvl="0">
      <w:lvlJc w:val="left"/>
      <w:lvlText w:val="5"/>
      <w:numFmt w:val="bullet"/>
      <w:start w:val="1"/>
    </w:lvl>
  </w:abstractNum>
  <w:abstractNum w:abstractNumId="29">
    <w:nsid w:val="7C3DBD3D"/>
    <w:multiLevelType w:val="hybridMultilevel"/>
    <w:lvl w:ilvl="0">
      <w:lvlJc w:val="left"/>
      <w:lvlText w:val="6"/>
      <w:numFmt w:val="bullet"/>
      <w:start w:val="1"/>
    </w:lvl>
  </w:abstractNum>
  <w:abstractNum w:abstractNumId="30">
    <w:nsid w:val="737B8DDC"/>
    <w:multiLevelType w:val="hybridMultilevel"/>
    <w:lvl w:ilvl="0">
      <w:lvlJc w:val="left"/>
      <w:lvlText w:val="%1"/>
      <w:numFmt w:val="decimal"/>
      <w:start w:val="1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2019-12-11T18:38:52Z</dcterms:created>
  <dcterms:modified xsi:type="dcterms:W3CDTF">2019-12-11T18:38:52Z</dcterms:modified>
</cp:coreProperties>
</file>