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1700"/>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rPr>
          <w:sz w:val="20"/>
          <w:szCs w:val="20"/>
          <w:color w:val="auto"/>
        </w:rPr>
      </w:pPr>
      <w:r>
        <w:rPr>
          <w:rFonts w:ascii="Courier New" w:cs="Courier New" w:eastAsia="Courier New" w:hAnsi="Courier New"/>
          <w:sz w:val="18"/>
          <w:szCs w:val="18"/>
          <w:color w:val="auto"/>
        </w:rPr>
        <w:t>Stamford, CT 06902</w:t>
      </w:r>
    </w:p>
    <w:p>
      <w:pPr>
        <w:ind w:left="4120" w:hanging="636"/>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jc w:val="center"/>
        <w:ind w:right="1679"/>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26,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160" w:space="540"/>
            <w:col w:w="1380" w:space="720"/>
            <w:col w:w="44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 ](b) [X]</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7,943,651</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1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31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WITH</w:t>
            </w:r>
          </w:p>
        </w:tc>
        <w:tc>
          <w:tcPr>
            <w:tcW w:w="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7,943,651</w:t>
            </w:r>
          </w:p>
        </w:tc>
      </w:tr>
    </w:tbl>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2320" w:hanging="627"/>
        <w:spacing w:after="0"/>
        <w:tabs>
          <w:tab w:leader="none" w:pos="23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7,943,651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IF THE AGGREGATE AMOUNT IN ROW (11) EXCLUDES CERTAIN 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22.7%</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Schedule 13D (the "Schedule 13D") initially filed by Chilton Investment Company, LLC (the "Reporting Person") on May 9, 2006 relating to the common stock, par value $0.01 per share (the "Common Stock") of Casual Male Retail Group, Inc., a Delaware corporation (the "Issuer"), as amended by Amendment No. 1 to the Schedule 13D filed on June 9, 2006 is hereby amended by this Amendment No. 2 to the Schedule 13D to report a change in beneficial ownership. The Schedule 13D is amended as follows:</w:t>
      </w:r>
    </w:p>
    <w:p>
      <w:pPr>
        <w:spacing w:after="0" w:line="205"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5(a) is hereby supplemented by the addition of the following:</w:t>
      </w:r>
    </w:p>
    <w:p>
      <w:pPr>
        <w:spacing w:after="0" w:line="207" w:lineRule="exact"/>
        <w:rPr>
          <w:sz w:val="20"/>
          <w:szCs w:val="20"/>
          <w:color w:val="auto"/>
        </w:rPr>
      </w:pPr>
    </w:p>
    <w:p>
      <w:pPr>
        <w:ind w:right="1779" w:firstLine="1272"/>
        <w:spacing w:after="0" w:line="23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Reporting Person is deemed to be the beneficial owner (through its control of the Client Accounts) of 7,943,651 shares (including 690,092 shares that can be acquired by the Client Accounts pursuant to immediately convertible 5% convertible senior subordinated noted due 2024) representing 22.68% of the Issuer's Common Stock. The foregoing calculations are based on 35,022,367 shares of Common Stock issued and outstanding as of June 15, 2006 according to publicly available filings of the Issuer together with 690,092 shares that can be acquired by the Client Accounts pursuant to immediately convertible 5% convertible senior subordinated notes due 2024 for a total of 35,712,459 shares.</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5(c) is hereby supplemented by the addition of the following:</w:t>
      </w:r>
    </w:p>
    <w:p>
      <w:pPr>
        <w:spacing w:after="0" w:line="207" w:lineRule="exact"/>
        <w:rPr>
          <w:sz w:val="20"/>
          <w:szCs w:val="20"/>
          <w:color w:val="auto"/>
        </w:rPr>
      </w:pPr>
    </w:p>
    <w:p>
      <w:pPr>
        <w:ind w:right="1779" w:firstLine="1272"/>
        <w:spacing w:after="0" w:line="290"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the price per share of all transactions effected by the Reporting Person since its last filing are as follows:</w:t>
      </w:r>
    </w:p>
    <w:p>
      <w:pPr>
        <w:spacing w:after="0" w:line="170" w:lineRule="exact"/>
        <w:rPr>
          <w:sz w:val="20"/>
          <w:szCs w:val="20"/>
          <w:color w:val="auto"/>
        </w:rPr>
      </w:pPr>
    </w:p>
    <w:p>
      <w:pPr>
        <w:ind w:left="1280" w:right="21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14, 2006, 6,890 shares of Common Stock were sold through Merrill Lynch at a price per share of $9.6200.</w:t>
      </w:r>
    </w:p>
    <w:p>
      <w:pPr>
        <w:spacing w:after="0" w:line="208" w:lineRule="exact"/>
        <w:rPr>
          <w:rFonts w:ascii="Courier New" w:cs="Courier New" w:eastAsia="Courier New" w:hAnsi="Courier New"/>
          <w:sz w:val="18"/>
          <w:szCs w:val="18"/>
          <w:color w:val="auto"/>
        </w:rPr>
      </w:pPr>
    </w:p>
    <w:p>
      <w:pPr>
        <w:ind w:left="1280" w:right="2319" w:hanging="640"/>
        <w:spacing w:after="0" w:line="236"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16, 2006, 1,349 shares of Common Stock were purchased through Credit Suisse First Boston ALGO at a price per share of $9.7326.</w:t>
      </w:r>
    </w:p>
    <w:p>
      <w:pPr>
        <w:spacing w:after="0" w:line="208" w:lineRule="exact"/>
        <w:rPr>
          <w:rFonts w:ascii="Courier New" w:cs="Courier New" w:eastAsia="Courier New" w:hAnsi="Courier New"/>
          <w:sz w:val="18"/>
          <w:szCs w:val="18"/>
          <w:color w:val="auto"/>
        </w:rPr>
      </w:pPr>
    </w:p>
    <w:p>
      <w:pPr>
        <w:ind w:left="1280" w:right="24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20, 2006, 61,947 shares of Common Stock were purchased through Weeden &amp; Co. at a price per share of $9.8256.</w:t>
      </w:r>
    </w:p>
    <w:p>
      <w:pPr>
        <w:spacing w:after="0" w:line="169" w:lineRule="exact"/>
        <w:rPr>
          <w:rFonts w:ascii="Courier New" w:cs="Courier New" w:eastAsia="Courier New" w:hAnsi="Courier New"/>
          <w:sz w:val="16"/>
          <w:szCs w:val="16"/>
          <w:color w:val="auto"/>
        </w:rPr>
      </w:pP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21, 2006, 10,940 shares of Common Stock were sold through Merrill Lynch ALGO at a price per share of $9.7773.</w:t>
      </w:r>
    </w:p>
    <w:p>
      <w:pPr>
        <w:spacing w:after="0" w:line="208" w:lineRule="exact"/>
        <w:rPr>
          <w:rFonts w:ascii="Courier New" w:cs="Courier New" w:eastAsia="Courier New" w:hAnsi="Courier New"/>
          <w:sz w:val="18"/>
          <w:szCs w:val="18"/>
          <w:color w:val="auto"/>
        </w:rPr>
      </w:pPr>
    </w:p>
    <w:p>
      <w:pPr>
        <w:ind w:left="1280" w:right="24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26, 2006, 75,000 shares of Common Stock were purchased through Weeden &amp; Co. at a price per share of $9.7598.</w:t>
      </w:r>
    </w:p>
    <w:p>
      <w:pPr>
        <w:spacing w:after="0" w:line="169" w:lineRule="exact"/>
        <w:rPr>
          <w:rFonts w:ascii="Courier New" w:cs="Courier New" w:eastAsia="Courier New" w:hAnsi="Courier New"/>
          <w:sz w:val="16"/>
          <w:szCs w:val="16"/>
          <w:color w:val="auto"/>
        </w:rPr>
      </w:pPr>
    </w:p>
    <w:p>
      <w:pPr>
        <w:jc w:val="both"/>
        <w:ind w:left="1280" w:right="2319" w:hanging="640"/>
        <w:spacing w:after="0" w:line="236"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26, 2006, 125,000 shares of Common Stock were purchased through Credit Suisse First Boston ALGO at a price per share of $9.7598.</w:t>
      </w:r>
    </w:p>
    <w:p>
      <w:pPr>
        <w:spacing w:after="0" w:line="208" w:lineRule="exact"/>
        <w:rPr>
          <w:rFonts w:ascii="Courier New" w:cs="Courier New" w:eastAsia="Courier New" w:hAnsi="Courier New"/>
          <w:sz w:val="18"/>
          <w:szCs w:val="18"/>
          <w:color w:val="auto"/>
        </w:rPr>
      </w:pPr>
    </w:p>
    <w:p>
      <w:pPr>
        <w:ind w:left="1280" w:right="24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27, 2006, 80,000 shares of Common Stock were purchased through Weeden &amp; Co. at a price per share of $9.6000.</w:t>
      </w:r>
    </w:p>
    <w:p>
      <w:pPr>
        <w:spacing w:after="0" w:line="169" w:lineRule="exact"/>
        <w:rPr>
          <w:rFonts w:ascii="Courier New" w:cs="Courier New" w:eastAsia="Courier New" w:hAnsi="Courier New"/>
          <w:sz w:val="16"/>
          <w:szCs w:val="16"/>
          <w:color w:val="auto"/>
        </w:rPr>
      </w:pPr>
    </w:p>
    <w:p>
      <w:pPr>
        <w:ind w:left="1280" w:right="24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27, 2006, 20,000 shares of Common Stock were purchased through ITG Channel at a price per share of $9.5550.</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24" w:lineRule="exact"/>
        <w:rPr>
          <w:sz w:val="20"/>
          <w:szCs w:val="20"/>
          <w:color w:val="auto"/>
        </w:rPr>
      </w:pPr>
    </w:p>
    <w:p>
      <w:pPr>
        <w:ind w:left="1280" w:right="2519" w:hanging="640"/>
        <w:spacing w:after="0" w:line="290"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28, 2006, 1,422 shares of Common Stock were purchased through Merrill Lynch ALGO at a price per share of $9.6393.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29, 2006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jc w:val="center"/>
        <w:ind w:right="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Steinthal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James Steinthal</w:t>
      </w:r>
    </w:p>
    <w:p>
      <w:pPr>
        <w:ind w:left="4440"/>
        <w:spacing w:after="0" w:line="237"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20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3"/>
    </w:lvl>
  </w:abstractNum>
  <w:abstractNum w:abstractNumId="14">
    <w:nsid w:val="41A7C4C9"/>
    <w:multiLevelType w:val="hybridMultilevel"/>
    <w:lvl w:ilvl="0">
      <w:lvlJc w:val="left"/>
      <w:lvlText w:val="o"/>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2019-12-12T11:06:59Z</dcterms:created>
  <dcterms:modified xsi:type="dcterms:W3CDTF">2019-12-12T11:06:59Z</dcterms:modified>
</cp:coreProperties>
</file>